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widowControl/>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jc w:val="center"/>
      </w:pPr>
      <w:r>
        <w:rPr>
          <w:rFonts w:hint="eastAsia" w:ascii="宋体" w:hAnsi="宋体" w:eastAsia="宋体" w:cs="宋体"/>
          <w:color w:val="444444"/>
          <w:sz w:val="28"/>
          <w:szCs w:val="28"/>
          <w:shd w:val="clear" w:color="040000" w:fill="FFFFFF"/>
        </w:rPr>
        <w:t> </w:t>
      </w:r>
    </w:p>
    <w:p>
      <w:pPr>
        <w:pStyle w:val="4"/>
        <w:widowControl/>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jc w:val="center"/>
      </w:pPr>
      <w:r>
        <w:rPr>
          <w:rFonts w:hint="eastAsia" w:ascii="宋体" w:hAnsi="宋体" w:eastAsia="宋体" w:cs="宋体"/>
          <w:color w:val="444444"/>
          <w:kern w:val="0"/>
          <w:sz w:val="28"/>
          <w:szCs w:val="28"/>
          <w:shd w:val="clear" w:color="050000" w:fill="FFFFFF"/>
        </w:rPr>
        <w:t>第五部分</w:t>
      </w:r>
    </w:p>
    <w:p>
      <w:pPr>
        <w:pStyle w:val="4"/>
        <w:widowControl/>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jc w:val="center"/>
      </w:pPr>
      <w:r>
        <w:rPr>
          <w:rFonts w:hint="eastAsia" w:ascii="宋体" w:hAnsi="宋体" w:eastAsia="宋体" w:cs="宋体"/>
          <w:color w:val="444444"/>
          <w:sz w:val="28"/>
          <w:szCs w:val="28"/>
          <w:shd w:val="clear" w:color="040000" w:fill="FFFFFF"/>
        </w:rPr>
        <w:t> </w:t>
      </w:r>
    </w:p>
    <w:p>
      <w:pPr>
        <w:pStyle w:val="4"/>
        <w:widowControl/>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jc w:val="center"/>
      </w:pPr>
      <w:r>
        <w:rPr>
          <w:rFonts w:hint="eastAsia" w:ascii="宋体" w:hAnsi="宋体" w:eastAsia="宋体" w:cs="宋体"/>
          <w:color w:val="444444"/>
          <w:kern w:val="0"/>
          <w:sz w:val="28"/>
          <w:szCs w:val="28"/>
          <w:shd w:val="clear" w:color="050000" w:fill="FFFFFF"/>
        </w:rPr>
        <w:t>附件</w:t>
      </w:r>
    </w:p>
    <w:p>
      <w:pPr>
        <w:pStyle w:val="4"/>
        <w:widowControl/>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jc w:val="left"/>
      </w:pPr>
      <w:r>
        <w:rPr>
          <w:rFonts w:hint="eastAsia" w:ascii="宋体" w:hAnsi="宋体" w:eastAsia="宋体" w:cs="宋体"/>
          <w:color w:val="444444"/>
          <w:sz w:val="28"/>
          <w:szCs w:val="28"/>
          <w:shd w:val="clear" w:color="040000" w:fill="FFFFFF"/>
        </w:rPr>
        <w:t> </w:t>
      </w:r>
    </w:p>
    <w:p>
      <w:pPr>
        <w:pStyle w:val="4"/>
        <w:widowControl/>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firstLine="883" w:firstLineChars="200"/>
        <w:jc w:val="both"/>
        <w:rPr>
          <w:rFonts w:hint="eastAsia" w:ascii="宋体" w:hAnsi="宋体" w:eastAsia="宋体" w:cs="宋体"/>
          <w:sz w:val="44"/>
          <w:szCs w:val="44"/>
          <w:lang w:eastAsia="zh-CN"/>
        </w:rPr>
      </w:pPr>
      <w:r>
        <w:rPr>
          <w:rFonts w:hint="eastAsia" w:ascii="宋体" w:hAnsi="宋体" w:eastAsia="宋体" w:cs="宋体"/>
          <w:b/>
          <w:bCs/>
          <w:color w:val="444444"/>
          <w:sz w:val="44"/>
          <w:szCs w:val="44"/>
          <w:shd w:val="clear" w:color="060000" w:fill="FFFFFF"/>
        </w:rPr>
        <w:t>2021年度部门整体支出绩效评价报告</w:t>
      </w:r>
    </w:p>
    <w:p>
      <w:pPr>
        <w:pStyle w:val="4"/>
        <w:widowControl/>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jc w:val="left"/>
        <w:rPr>
          <w:rFonts w:hint="eastAsia" w:ascii="宋体" w:hAnsi="宋体" w:eastAsia="宋体" w:cs="宋体"/>
          <w:sz w:val="28"/>
          <w:szCs w:val="28"/>
        </w:rPr>
      </w:pPr>
      <w:r>
        <w:rPr>
          <w:rFonts w:hint="eastAsia" w:ascii="宋体" w:hAnsi="宋体" w:eastAsia="宋体" w:cs="宋体"/>
          <w:color w:val="444444"/>
          <w:kern w:val="0"/>
          <w:sz w:val="28"/>
          <w:szCs w:val="28"/>
          <w:shd w:val="clear" w:color="050000" w:fill="FFFFFF"/>
        </w:rPr>
        <w:t>一、部门概况</w:t>
      </w:r>
    </w:p>
    <w:p>
      <w:pPr>
        <w:pStyle w:val="4"/>
        <w:widowControl/>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jc w:val="left"/>
        <w:rPr>
          <w:rFonts w:hint="eastAsia" w:ascii="宋体" w:hAnsi="宋体" w:eastAsia="宋体" w:cs="宋体"/>
          <w:color w:val="444444"/>
          <w:kern w:val="0"/>
          <w:sz w:val="28"/>
          <w:szCs w:val="28"/>
          <w:shd w:val="clear" w:color="050000" w:fill="FFFFFF"/>
        </w:rPr>
      </w:pPr>
      <w:r>
        <w:rPr>
          <w:rFonts w:hint="eastAsia" w:ascii="宋体" w:hAnsi="宋体" w:eastAsia="宋体" w:cs="宋体"/>
          <w:color w:val="444444"/>
          <w:kern w:val="0"/>
          <w:sz w:val="28"/>
          <w:szCs w:val="28"/>
          <w:shd w:val="clear" w:color="050000" w:fill="FFFFFF"/>
        </w:rPr>
        <w:t>（一）基本情况</w:t>
      </w:r>
    </w:p>
    <w:p>
      <w:pPr>
        <w:pStyle w:val="4"/>
        <w:widowControl/>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jc w:val="left"/>
        <w:rPr>
          <w:rFonts w:hint="eastAsia" w:ascii="宋体" w:hAnsi="宋体" w:eastAsia="宋体" w:cs="宋体"/>
          <w:color w:val="444444"/>
          <w:kern w:val="0"/>
          <w:sz w:val="28"/>
          <w:szCs w:val="28"/>
          <w:shd w:val="clear" w:color="050000" w:fill="FFFFFF"/>
        </w:rPr>
      </w:pPr>
      <w:r>
        <w:rPr>
          <w:rFonts w:hint="eastAsia" w:ascii="宋体" w:hAnsi="宋体" w:eastAsia="宋体" w:cs="宋体"/>
          <w:color w:val="444444"/>
          <w:kern w:val="0"/>
          <w:sz w:val="28"/>
          <w:szCs w:val="28"/>
          <w:shd w:val="clear" w:color="050000" w:fill="FFFFFF"/>
        </w:rPr>
        <w:t>（1）主要职能</w:t>
      </w:r>
    </w:p>
    <w:p>
      <w:pPr>
        <w:pStyle w:val="4"/>
        <w:widowControl/>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jc w:val="left"/>
        <w:rPr>
          <w:rFonts w:hint="eastAsia" w:ascii="宋体" w:hAnsi="宋体" w:cs="宋体"/>
          <w:color w:val="444444"/>
          <w:kern w:val="0"/>
          <w:sz w:val="28"/>
          <w:szCs w:val="28"/>
          <w:shd w:val="clear" w:color="050000" w:fill="FFFFFF"/>
          <w:lang w:val="en-US" w:eastAsia="zh-CN"/>
        </w:rPr>
      </w:pPr>
      <w:r>
        <w:rPr>
          <w:rFonts w:hint="eastAsia" w:ascii="宋体" w:hAnsi="宋体" w:cs="宋体"/>
          <w:color w:val="444444"/>
          <w:kern w:val="0"/>
          <w:sz w:val="28"/>
          <w:szCs w:val="28"/>
          <w:shd w:val="clear" w:color="050000" w:fill="FFFFFF"/>
          <w:lang w:val="en-US" w:eastAsia="zh-CN"/>
        </w:rPr>
        <w:t xml:space="preserve">  1、依据国家的《机关事业单位工作人员基本养老保险经办规程》，承担全区机关事业单位工作人员基本养老保险经办事务工作；拟定全区机关事业单位工作人员基本养老金社会化发放和管理规范，承担区直管理机关事业单位基本养老金社会化发放及退休人员社会化管理事务性服务工作；按全区统一规划，参与社会保障卡的发放工作，落实养老保险政策制度，开展基金管理、行政审批相关事务性工作。为编制全区机关事业单位工作人员基本养老保险基金预决算提供服务保障。承担全区职业年金经办工作，代理委托人集中行使委托职责并负责职业年金基金账户管理。负责全区机关事业单位工作人员基本养老保险数据信息资源的集中管理和分析应用；负责区直管机关事业单位工作人员基本养老保险个人权益记录管理与服务。</w:t>
      </w:r>
    </w:p>
    <w:p>
      <w:pPr>
        <w:pStyle w:val="4"/>
        <w:widowControl/>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jc w:val="left"/>
        <w:rPr>
          <w:rFonts w:hint="eastAsia" w:ascii="宋体" w:hAnsi="宋体" w:cs="宋体"/>
          <w:color w:val="444444"/>
          <w:kern w:val="0"/>
          <w:sz w:val="28"/>
          <w:szCs w:val="28"/>
          <w:shd w:val="clear" w:color="050000" w:fill="FFFFFF"/>
          <w:lang w:val="en-US" w:eastAsia="zh-CN"/>
        </w:rPr>
      </w:pPr>
      <w:r>
        <w:rPr>
          <w:rFonts w:hint="eastAsia" w:ascii="宋体" w:hAnsi="宋体" w:cs="宋体"/>
          <w:color w:val="444444"/>
          <w:kern w:val="0"/>
          <w:sz w:val="28"/>
          <w:szCs w:val="28"/>
          <w:shd w:val="clear" w:color="050000" w:fill="FFFFFF"/>
          <w:lang w:val="en-US" w:eastAsia="zh-CN"/>
        </w:rPr>
        <w:t>2、负责组织指导乡（街道）开展城乡居民养老保险工作；制定全区城乡居民养老保险业务经办工作规程和操作流程，并组织实施相关事务性工作；配合相关部门制定全区城乡居民养老保险基金财务管理办法和基金会计核算办法实施细则；承担养老金发放、关系转移、制度衔接、业务档案管理和社会化管理服务工作；参与制定和分解全区和同级财政对城乡居民养老保险的补助资金计划，制定全区城乡居民养老保险个人账户结余资金上解计划，配合财政部门做好财政补助资金的结算和划拨工作；配合相关部门做好全区城乡居民养老保险基金运营工作；为编制全区城乡居民养老保险基金预决算提供服务保障；负责城乡居民养老保险个人权益记录管理和数据应用分析工作；参与全区全民登记管理；组织全区开展城乡居民养老保险政策宣传、经办人员培训等工作；做好城镇独生子女父母奖励金、原中小学民办教师和代课教师生活困难补助、老年乡村医生生活困难补助、乡（街道）老放映员生活困难补助等资金代发的事务性工作。</w:t>
      </w:r>
    </w:p>
    <w:p>
      <w:pPr>
        <w:pStyle w:val="4"/>
        <w:widowControl/>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jc w:val="left"/>
        <w:rPr>
          <w:rFonts w:hint="eastAsia" w:ascii="宋体" w:hAnsi="宋体" w:eastAsia="宋体" w:cs="宋体"/>
          <w:color w:val="444444"/>
          <w:kern w:val="0"/>
          <w:sz w:val="28"/>
          <w:szCs w:val="28"/>
          <w:shd w:val="clear" w:color="050000" w:fill="FFFFFF"/>
          <w:lang w:val="en-US" w:eastAsia="zh-CN"/>
        </w:rPr>
      </w:pPr>
      <w:r>
        <w:rPr>
          <w:rFonts w:hint="eastAsia" w:ascii="宋体" w:hAnsi="宋体" w:cs="宋体"/>
          <w:color w:val="444444"/>
          <w:kern w:val="0"/>
          <w:sz w:val="28"/>
          <w:szCs w:val="28"/>
          <w:shd w:val="clear" w:color="050000" w:fill="FFFFFF"/>
          <w:lang w:val="en-US" w:eastAsia="zh-CN"/>
        </w:rPr>
        <w:t>3、负责区本级国有、城镇集体、外商投资、城镇私营企业职工、个体工商户和灵活就业人员的基本养老保险个人账户及档案的建立、记录和管理；办理养老保险关系和基金转移手续；管理企业养老保险基金；为参保人员提供基本养老保险咨询、查询及事务性服务。完成区人社局交办的其他工作。</w:t>
      </w:r>
    </w:p>
    <w:p>
      <w:pPr>
        <w:pStyle w:val="4"/>
        <w:widowControl/>
        <w:numPr>
          <w:ilvl w:val="0"/>
          <w:numId w:val="1"/>
        </w:numPr>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jc w:val="left"/>
        <w:rPr>
          <w:rFonts w:hint="eastAsia" w:ascii="宋体" w:hAnsi="宋体" w:eastAsia="宋体" w:cs="宋体"/>
          <w:color w:val="444444"/>
          <w:kern w:val="0"/>
          <w:sz w:val="28"/>
          <w:szCs w:val="28"/>
          <w:shd w:val="clear" w:color="050000" w:fill="FFFFFF"/>
        </w:rPr>
      </w:pPr>
      <w:r>
        <w:rPr>
          <w:rFonts w:hint="eastAsia" w:ascii="宋体" w:hAnsi="宋体" w:eastAsia="宋体" w:cs="宋体"/>
          <w:color w:val="444444"/>
          <w:kern w:val="0"/>
          <w:sz w:val="28"/>
          <w:szCs w:val="28"/>
          <w:shd w:val="clear" w:color="050000" w:fill="FFFFFF"/>
        </w:rPr>
        <w:t>机构情况</w:t>
      </w:r>
    </w:p>
    <w:p>
      <w:pPr>
        <w:pStyle w:val="4"/>
        <w:widowControl/>
        <w:numPr>
          <w:ilvl w:val="0"/>
          <w:numId w:val="0"/>
        </w:numPr>
        <w:pBdr>
          <w:top w:val="none" w:color="auto" w:sz="0" w:space="0"/>
          <w:left w:val="none" w:color="auto" w:sz="0" w:space="0"/>
          <w:bottom w:val="none" w:color="auto" w:sz="0" w:space="0"/>
          <w:right w:val="none" w:color="auto" w:sz="0" w:space="0"/>
        </w:pBdr>
        <w:spacing w:before="0" w:beforeAutospacing="0" w:after="300" w:afterAutospacing="0" w:line="600" w:lineRule="atLeast"/>
        <w:ind w:right="0" w:firstLine="280" w:firstLineChars="100"/>
        <w:jc w:val="left"/>
        <w:rPr>
          <w:rFonts w:hint="eastAsia" w:ascii="宋体" w:hAnsi="宋体" w:eastAsia="宋体" w:cs="宋体"/>
          <w:color w:val="444444"/>
          <w:kern w:val="0"/>
          <w:sz w:val="28"/>
          <w:szCs w:val="28"/>
          <w:shd w:val="clear" w:color="050000" w:fill="FFFFFF"/>
        </w:rPr>
      </w:pPr>
      <w:r>
        <w:rPr>
          <w:rFonts w:hint="eastAsia" w:ascii="宋体" w:hAnsi="宋体" w:eastAsia="宋体" w:cs="宋体"/>
          <w:color w:val="444444"/>
          <w:kern w:val="0"/>
          <w:sz w:val="28"/>
          <w:szCs w:val="28"/>
          <w:shd w:val="clear" w:color="050000" w:fill="FFFFFF"/>
        </w:rPr>
        <w:t>纳入202</w:t>
      </w:r>
      <w:r>
        <w:rPr>
          <w:rFonts w:hint="eastAsia" w:ascii="宋体" w:hAnsi="宋体" w:cs="宋体"/>
          <w:color w:val="444444"/>
          <w:kern w:val="0"/>
          <w:sz w:val="28"/>
          <w:szCs w:val="28"/>
          <w:shd w:val="clear" w:color="050000" w:fill="FFFFFF"/>
          <w:lang w:val="en-US" w:eastAsia="zh-CN"/>
        </w:rPr>
        <w:t>1</w:t>
      </w:r>
      <w:r>
        <w:rPr>
          <w:rFonts w:hint="eastAsia" w:ascii="宋体" w:hAnsi="宋体" w:eastAsia="宋体" w:cs="宋体"/>
          <w:color w:val="444444"/>
          <w:kern w:val="0"/>
          <w:sz w:val="28"/>
          <w:szCs w:val="28"/>
          <w:shd w:val="clear" w:color="050000" w:fill="FFFFFF"/>
        </w:rPr>
        <w:t>年部门</w:t>
      </w:r>
      <w:r>
        <w:rPr>
          <w:rFonts w:hint="eastAsia" w:ascii="宋体" w:hAnsi="宋体" w:cs="宋体"/>
          <w:color w:val="444444"/>
          <w:kern w:val="0"/>
          <w:sz w:val="28"/>
          <w:szCs w:val="28"/>
          <w:shd w:val="clear" w:color="050000" w:fill="FFFFFF"/>
          <w:lang w:eastAsia="zh-CN"/>
        </w:rPr>
        <w:t>决算</w:t>
      </w:r>
      <w:r>
        <w:rPr>
          <w:rFonts w:hint="eastAsia" w:ascii="宋体" w:hAnsi="宋体" w:eastAsia="宋体" w:cs="宋体"/>
          <w:color w:val="444444"/>
          <w:kern w:val="0"/>
          <w:sz w:val="28"/>
          <w:szCs w:val="28"/>
          <w:shd w:val="clear" w:color="050000" w:fill="FFFFFF"/>
        </w:rPr>
        <w:t>编报的单位1个，包含邵阳市北塔区社会养老保险服务中心，本部门无内设机构。</w:t>
      </w:r>
    </w:p>
    <w:p>
      <w:pPr>
        <w:pStyle w:val="4"/>
        <w:widowControl/>
        <w:numPr>
          <w:ilvl w:val="0"/>
          <w:numId w:val="2"/>
        </w:numPr>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jc w:val="left"/>
        <w:rPr>
          <w:rFonts w:hint="eastAsia" w:ascii="宋体" w:hAnsi="宋体" w:eastAsia="宋体" w:cs="宋体"/>
          <w:color w:val="444444"/>
          <w:kern w:val="0"/>
          <w:sz w:val="28"/>
          <w:szCs w:val="28"/>
          <w:shd w:val="clear" w:color="050000" w:fill="FFFFFF"/>
        </w:rPr>
      </w:pPr>
      <w:r>
        <w:rPr>
          <w:rFonts w:hint="eastAsia" w:ascii="宋体" w:hAnsi="宋体" w:eastAsia="宋体" w:cs="宋体"/>
          <w:color w:val="444444"/>
          <w:kern w:val="0"/>
          <w:sz w:val="28"/>
          <w:szCs w:val="28"/>
          <w:shd w:val="clear" w:color="050000" w:fill="FFFFFF"/>
        </w:rPr>
        <w:t>人员情况</w:t>
      </w:r>
    </w:p>
    <w:p>
      <w:pPr>
        <w:pStyle w:val="4"/>
        <w:widowControl/>
        <w:numPr>
          <w:ilvl w:val="0"/>
          <w:numId w:val="0"/>
        </w:numPr>
        <w:pBdr>
          <w:top w:val="none" w:color="auto" w:sz="0" w:space="0"/>
          <w:left w:val="none" w:color="auto" w:sz="0" w:space="0"/>
          <w:bottom w:val="none" w:color="auto" w:sz="0" w:space="0"/>
          <w:right w:val="none" w:color="auto" w:sz="0" w:space="0"/>
        </w:pBdr>
        <w:spacing w:before="0" w:beforeAutospacing="0" w:after="300" w:afterAutospacing="0" w:line="600" w:lineRule="atLeast"/>
        <w:ind w:right="0"/>
        <w:jc w:val="left"/>
        <w:rPr>
          <w:rFonts w:hint="eastAsia" w:ascii="宋体" w:hAnsi="宋体" w:eastAsia="宋体" w:cs="宋体"/>
          <w:color w:val="444444"/>
          <w:kern w:val="0"/>
          <w:sz w:val="28"/>
          <w:szCs w:val="28"/>
          <w:shd w:val="clear" w:color="050000" w:fill="FFFFFF"/>
        </w:rPr>
      </w:pPr>
      <w:r>
        <w:rPr>
          <w:rFonts w:hint="eastAsia" w:ascii="宋体" w:hAnsi="宋体" w:cs="宋体"/>
          <w:color w:val="444444"/>
          <w:kern w:val="0"/>
          <w:sz w:val="28"/>
          <w:szCs w:val="28"/>
          <w:shd w:val="clear" w:color="050000" w:fill="FFFFFF"/>
          <w:lang w:val="en-US" w:eastAsia="zh-CN"/>
        </w:rPr>
        <w:t xml:space="preserve">   </w:t>
      </w:r>
      <w:r>
        <w:rPr>
          <w:rFonts w:hint="eastAsia" w:ascii="宋体" w:hAnsi="宋体" w:eastAsia="宋体" w:cs="宋体"/>
          <w:color w:val="444444"/>
          <w:kern w:val="0"/>
          <w:sz w:val="28"/>
          <w:szCs w:val="28"/>
          <w:shd w:val="clear" w:color="050000" w:fill="FFFFFF"/>
        </w:rPr>
        <w:t>邵阳市北塔区社会养老保险服务中心事业编制15人。其中在职15人，离退休4人。</w:t>
      </w:r>
    </w:p>
    <w:p>
      <w:pPr>
        <w:pStyle w:val="4"/>
        <w:widowControl/>
        <w:numPr>
          <w:ilvl w:val="0"/>
          <w:numId w:val="0"/>
        </w:numPr>
        <w:pBdr>
          <w:top w:val="none" w:color="auto" w:sz="0" w:space="0"/>
          <w:left w:val="none" w:color="auto" w:sz="0" w:space="0"/>
          <w:bottom w:val="none" w:color="auto" w:sz="0" w:space="0"/>
          <w:right w:val="none" w:color="auto" w:sz="0" w:space="0"/>
        </w:pBdr>
        <w:spacing w:before="0" w:beforeAutospacing="0" w:after="300" w:afterAutospacing="0" w:line="600" w:lineRule="atLeast"/>
        <w:ind w:right="0" w:firstLine="840" w:firstLineChars="300"/>
        <w:jc w:val="left"/>
        <w:rPr>
          <w:rFonts w:hint="eastAsia" w:ascii="宋体" w:hAnsi="宋体" w:eastAsia="宋体" w:cs="宋体"/>
          <w:color w:val="444444"/>
          <w:kern w:val="0"/>
          <w:sz w:val="28"/>
          <w:szCs w:val="28"/>
          <w:shd w:val="clear" w:color="050000" w:fill="FFFFFF"/>
        </w:rPr>
      </w:pPr>
    </w:p>
    <w:p>
      <w:pPr>
        <w:pStyle w:val="4"/>
        <w:widowControl/>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jc w:val="left"/>
        <w:rPr>
          <w:rFonts w:hint="eastAsia" w:ascii="宋体" w:hAnsi="宋体" w:eastAsia="宋体" w:cs="宋体"/>
          <w:sz w:val="28"/>
          <w:szCs w:val="28"/>
        </w:rPr>
      </w:pPr>
      <w:r>
        <w:rPr>
          <w:rFonts w:hint="eastAsia" w:ascii="宋体" w:hAnsi="宋体" w:eastAsia="宋体" w:cs="宋体"/>
          <w:color w:val="444444"/>
          <w:kern w:val="0"/>
          <w:sz w:val="28"/>
          <w:szCs w:val="28"/>
          <w:shd w:val="clear" w:color="050000" w:fill="FFFFFF"/>
        </w:rPr>
        <w:t>二、部门整体支出管理及使用情况</w:t>
      </w:r>
    </w:p>
    <w:p>
      <w:pPr>
        <w:pStyle w:val="4"/>
        <w:widowControl/>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jc w:val="left"/>
        <w:rPr>
          <w:rFonts w:hint="eastAsia" w:ascii="宋体" w:hAnsi="宋体" w:eastAsia="宋体" w:cs="宋体"/>
          <w:sz w:val="28"/>
          <w:szCs w:val="28"/>
        </w:rPr>
      </w:pPr>
      <w:r>
        <w:rPr>
          <w:rFonts w:hint="eastAsia" w:ascii="宋体" w:hAnsi="宋体" w:eastAsia="宋体" w:cs="宋体"/>
          <w:color w:val="444444"/>
          <w:kern w:val="0"/>
          <w:sz w:val="28"/>
          <w:szCs w:val="28"/>
          <w:shd w:val="clear" w:color="050000" w:fill="FFFFFF"/>
        </w:rPr>
        <w:t>（一）基本支出</w:t>
      </w:r>
    </w:p>
    <w:p>
      <w:pPr>
        <w:pStyle w:val="4"/>
        <w:widowControl/>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firstLine="560" w:firstLineChars="200"/>
        <w:jc w:val="left"/>
        <w:rPr>
          <w:rFonts w:hint="eastAsia" w:ascii="宋体" w:hAnsi="宋体" w:eastAsia="宋体" w:cs="宋体"/>
          <w:sz w:val="28"/>
          <w:szCs w:val="28"/>
        </w:rPr>
      </w:pPr>
      <w:r>
        <w:rPr>
          <w:rFonts w:hint="eastAsia" w:ascii="宋体" w:hAnsi="宋体" w:eastAsia="宋体" w:cs="宋体"/>
          <w:color w:val="444444"/>
          <w:kern w:val="0"/>
          <w:sz w:val="28"/>
          <w:szCs w:val="28"/>
          <w:shd w:val="clear" w:color="050000" w:fill="FFFFFF"/>
        </w:rPr>
        <w:t>基本支出系保障我</w:t>
      </w:r>
      <w:r>
        <w:rPr>
          <w:rFonts w:hint="eastAsia" w:ascii="宋体" w:hAnsi="宋体" w:cs="宋体"/>
          <w:color w:val="444444"/>
          <w:kern w:val="0"/>
          <w:sz w:val="28"/>
          <w:szCs w:val="28"/>
          <w:shd w:val="clear" w:color="050000" w:fill="FFFFFF"/>
          <w:lang w:eastAsia="zh-CN"/>
        </w:rPr>
        <w:t>单位</w:t>
      </w:r>
      <w:r>
        <w:rPr>
          <w:rFonts w:hint="eastAsia" w:ascii="宋体" w:hAnsi="宋体" w:eastAsia="宋体" w:cs="宋体"/>
          <w:color w:val="444444"/>
          <w:kern w:val="0"/>
          <w:sz w:val="28"/>
          <w:szCs w:val="28"/>
          <w:shd w:val="clear" w:color="050000" w:fill="FFFFFF"/>
        </w:rPr>
        <w:t>机构正常运转、完成日常工作任务而发生的人员支出和公用支出，包括用于在职和离退休人员基本工资、津贴补贴等人员经费以及办公费、印刷费、水电费、办公设备购置等日常公用经费。2021年我</w:t>
      </w:r>
      <w:r>
        <w:rPr>
          <w:rFonts w:hint="eastAsia" w:ascii="宋体" w:hAnsi="宋体" w:cs="宋体"/>
          <w:color w:val="444444"/>
          <w:kern w:val="0"/>
          <w:sz w:val="28"/>
          <w:szCs w:val="28"/>
          <w:shd w:val="clear" w:color="050000" w:fill="FFFFFF"/>
          <w:lang w:eastAsia="zh-CN"/>
        </w:rPr>
        <w:t>单位</w:t>
      </w:r>
      <w:r>
        <w:rPr>
          <w:rFonts w:hint="eastAsia" w:ascii="宋体" w:hAnsi="宋体" w:eastAsia="宋体" w:cs="宋体"/>
          <w:color w:val="444444"/>
          <w:kern w:val="0"/>
          <w:sz w:val="28"/>
          <w:szCs w:val="28"/>
          <w:shd w:val="clear" w:color="050000" w:fill="FFFFFF"/>
        </w:rPr>
        <w:t>基本支出</w:t>
      </w:r>
      <w:r>
        <w:rPr>
          <w:rFonts w:hint="eastAsia" w:ascii="宋体" w:hAnsi="宋体" w:cs="宋体"/>
          <w:color w:val="444444"/>
          <w:kern w:val="0"/>
          <w:sz w:val="28"/>
          <w:szCs w:val="28"/>
          <w:shd w:val="clear" w:color="050000" w:fill="FFFFFF"/>
          <w:lang w:val="en-US" w:eastAsia="zh-CN"/>
        </w:rPr>
        <w:t>157.88</w:t>
      </w:r>
      <w:r>
        <w:rPr>
          <w:rFonts w:hint="eastAsia" w:ascii="宋体" w:hAnsi="宋体" w:eastAsia="宋体" w:cs="宋体"/>
          <w:color w:val="444444"/>
          <w:kern w:val="0"/>
          <w:sz w:val="28"/>
          <w:szCs w:val="28"/>
          <w:shd w:val="clear" w:color="050000" w:fill="FFFFFF"/>
        </w:rPr>
        <w:t>万元，比上年同口径增加</w:t>
      </w:r>
      <w:r>
        <w:rPr>
          <w:rFonts w:hint="eastAsia" w:ascii="宋体" w:hAnsi="宋体" w:cs="宋体"/>
          <w:color w:val="444444"/>
          <w:kern w:val="0"/>
          <w:sz w:val="28"/>
          <w:szCs w:val="28"/>
          <w:shd w:val="clear" w:color="050000" w:fill="FFFFFF"/>
          <w:lang w:val="en-US" w:eastAsia="zh-CN"/>
        </w:rPr>
        <w:t>34.84</w:t>
      </w:r>
      <w:r>
        <w:rPr>
          <w:rFonts w:hint="eastAsia" w:ascii="宋体" w:hAnsi="宋体" w:eastAsia="宋体" w:cs="宋体"/>
          <w:color w:val="444444"/>
          <w:kern w:val="0"/>
          <w:sz w:val="28"/>
          <w:szCs w:val="28"/>
          <w:shd w:val="clear" w:color="050000" w:fill="FFFFFF"/>
        </w:rPr>
        <w:t>万元，增长</w:t>
      </w:r>
      <w:r>
        <w:rPr>
          <w:rFonts w:hint="eastAsia" w:ascii="宋体" w:hAnsi="宋体" w:cs="宋体"/>
          <w:color w:val="444444"/>
          <w:kern w:val="0"/>
          <w:sz w:val="28"/>
          <w:szCs w:val="28"/>
          <w:shd w:val="clear" w:color="050000" w:fill="FFFFFF"/>
          <w:lang w:val="en-US" w:eastAsia="zh-CN"/>
        </w:rPr>
        <w:t>28.31</w:t>
      </w:r>
      <w:r>
        <w:rPr>
          <w:rFonts w:hint="eastAsia" w:ascii="宋体" w:hAnsi="宋体" w:eastAsia="宋体" w:cs="宋体"/>
          <w:color w:val="444444"/>
          <w:kern w:val="0"/>
          <w:sz w:val="28"/>
          <w:szCs w:val="28"/>
          <w:shd w:val="clear" w:color="050000" w:fill="FFFFFF"/>
        </w:rPr>
        <w:t>%。其中：工资福利支出</w:t>
      </w:r>
      <w:r>
        <w:rPr>
          <w:rFonts w:hint="eastAsia" w:ascii="宋体" w:hAnsi="宋体" w:cs="宋体"/>
          <w:color w:val="444444"/>
          <w:kern w:val="0"/>
          <w:sz w:val="28"/>
          <w:szCs w:val="28"/>
          <w:shd w:val="clear" w:color="050000" w:fill="FFFFFF"/>
          <w:lang w:val="en-US" w:eastAsia="zh-CN"/>
        </w:rPr>
        <w:t>124.24</w:t>
      </w:r>
      <w:r>
        <w:rPr>
          <w:rFonts w:hint="eastAsia" w:ascii="宋体" w:hAnsi="宋体" w:eastAsia="宋体" w:cs="宋体"/>
          <w:color w:val="444444"/>
          <w:kern w:val="0"/>
          <w:sz w:val="28"/>
          <w:szCs w:val="28"/>
          <w:shd w:val="clear" w:color="050000" w:fill="FFFFFF"/>
        </w:rPr>
        <w:t>万元，商品和服务支出</w:t>
      </w:r>
      <w:r>
        <w:rPr>
          <w:rFonts w:hint="eastAsia" w:ascii="宋体" w:hAnsi="宋体" w:cs="宋体"/>
          <w:color w:val="444444"/>
          <w:kern w:val="0"/>
          <w:sz w:val="28"/>
          <w:szCs w:val="28"/>
          <w:shd w:val="clear" w:color="050000" w:fill="FFFFFF"/>
          <w:lang w:val="en-US" w:eastAsia="zh-CN"/>
        </w:rPr>
        <w:t>30.24</w:t>
      </w:r>
      <w:r>
        <w:rPr>
          <w:rFonts w:hint="eastAsia" w:ascii="宋体" w:hAnsi="宋体" w:eastAsia="宋体" w:cs="宋体"/>
          <w:color w:val="444444"/>
          <w:kern w:val="0"/>
          <w:sz w:val="28"/>
          <w:szCs w:val="28"/>
          <w:shd w:val="clear" w:color="050000" w:fill="FFFFFF"/>
        </w:rPr>
        <w:t>万元，对个人和家庭的补助</w:t>
      </w:r>
      <w:r>
        <w:rPr>
          <w:rFonts w:hint="eastAsia" w:ascii="宋体" w:hAnsi="宋体" w:cs="宋体"/>
          <w:color w:val="444444"/>
          <w:kern w:val="0"/>
          <w:sz w:val="28"/>
          <w:szCs w:val="28"/>
          <w:shd w:val="clear" w:color="050000" w:fill="FFFFFF"/>
          <w:lang w:val="en-US" w:eastAsia="zh-CN"/>
        </w:rPr>
        <w:t>2.57</w:t>
      </w:r>
      <w:r>
        <w:rPr>
          <w:rFonts w:hint="eastAsia" w:ascii="宋体" w:hAnsi="宋体" w:eastAsia="宋体" w:cs="宋体"/>
          <w:color w:val="444444"/>
          <w:kern w:val="0"/>
          <w:sz w:val="28"/>
          <w:szCs w:val="28"/>
          <w:shd w:val="clear" w:color="050000" w:fill="FFFFFF"/>
        </w:rPr>
        <w:t>万元，资本性支出</w:t>
      </w:r>
      <w:r>
        <w:rPr>
          <w:rFonts w:hint="eastAsia" w:ascii="宋体" w:hAnsi="宋体" w:cs="宋体"/>
          <w:color w:val="444444"/>
          <w:kern w:val="0"/>
          <w:sz w:val="28"/>
          <w:szCs w:val="28"/>
          <w:shd w:val="clear" w:color="050000" w:fill="FFFFFF"/>
          <w:lang w:val="en-US" w:eastAsia="zh-CN"/>
        </w:rPr>
        <w:t>0.83</w:t>
      </w:r>
      <w:r>
        <w:rPr>
          <w:rFonts w:hint="eastAsia" w:ascii="宋体" w:hAnsi="宋体" w:eastAsia="宋体" w:cs="宋体"/>
          <w:color w:val="444444"/>
          <w:kern w:val="0"/>
          <w:sz w:val="28"/>
          <w:szCs w:val="28"/>
          <w:shd w:val="clear" w:color="050000" w:fill="FFFFFF"/>
        </w:rPr>
        <w:t>万元。</w:t>
      </w:r>
    </w:p>
    <w:p>
      <w:pPr>
        <w:pStyle w:val="4"/>
        <w:widowControl/>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firstLine="560" w:firstLineChars="200"/>
        <w:jc w:val="left"/>
        <w:rPr>
          <w:rFonts w:hint="eastAsia" w:ascii="宋体" w:hAnsi="宋体" w:eastAsia="宋体" w:cs="宋体"/>
          <w:sz w:val="28"/>
          <w:szCs w:val="28"/>
        </w:rPr>
      </w:pPr>
      <w:r>
        <w:rPr>
          <w:rFonts w:hint="eastAsia" w:ascii="宋体" w:hAnsi="宋体" w:eastAsia="宋体" w:cs="宋体"/>
          <w:color w:val="444444"/>
          <w:kern w:val="0"/>
          <w:sz w:val="28"/>
          <w:szCs w:val="28"/>
          <w:shd w:val="clear" w:color="050000" w:fill="FFFFFF"/>
        </w:rPr>
        <w:t>2021年“三公”经费实际开支总额</w:t>
      </w:r>
      <w:r>
        <w:rPr>
          <w:rFonts w:hint="eastAsia" w:ascii="宋体" w:hAnsi="宋体" w:cs="宋体"/>
          <w:color w:val="444444"/>
          <w:kern w:val="0"/>
          <w:sz w:val="28"/>
          <w:szCs w:val="28"/>
          <w:shd w:val="clear" w:color="050000" w:fill="FFFFFF"/>
          <w:lang w:val="en-US" w:eastAsia="zh-CN"/>
        </w:rPr>
        <w:t>0</w:t>
      </w:r>
      <w:r>
        <w:rPr>
          <w:rFonts w:hint="eastAsia" w:ascii="宋体" w:hAnsi="宋体" w:eastAsia="宋体" w:cs="宋体"/>
          <w:color w:val="444444"/>
          <w:kern w:val="0"/>
          <w:sz w:val="28"/>
          <w:szCs w:val="28"/>
          <w:shd w:val="clear" w:color="050000" w:fill="FFFFFF"/>
        </w:rPr>
        <w:t>万元。其中：因公出国（境）费支出本年未发生。公务用车购置及运行维护费</w:t>
      </w:r>
      <w:r>
        <w:rPr>
          <w:rFonts w:hint="eastAsia" w:ascii="宋体" w:hAnsi="宋体" w:cs="宋体"/>
          <w:color w:val="444444"/>
          <w:kern w:val="0"/>
          <w:sz w:val="28"/>
          <w:szCs w:val="28"/>
          <w:shd w:val="clear" w:color="050000" w:fill="FFFFFF"/>
          <w:lang w:val="en-US" w:eastAsia="zh-CN"/>
        </w:rPr>
        <w:t>本年未发生</w:t>
      </w:r>
      <w:r>
        <w:rPr>
          <w:rFonts w:hint="eastAsia" w:ascii="宋体" w:hAnsi="宋体" w:eastAsia="宋体" w:cs="宋体"/>
          <w:color w:val="444444"/>
          <w:kern w:val="0"/>
          <w:sz w:val="28"/>
          <w:szCs w:val="28"/>
          <w:shd w:val="clear" w:color="050000" w:fill="FFFFFF"/>
        </w:rPr>
        <w:t>（公务用车购置费未发生，公务用车运行维护费未发生），公务用车保有量</w:t>
      </w:r>
      <w:r>
        <w:rPr>
          <w:rFonts w:hint="eastAsia" w:ascii="宋体" w:hAnsi="宋体" w:cs="宋体"/>
          <w:color w:val="444444"/>
          <w:kern w:val="0"/>
          <w:sz w:val="28"/>
          <w:szCs w:val="28"/>
          <w:shd w:val="clear" w:color="050000" w:fill="FFFFFF"/>
          <w:lang w:val="en-US" w:eastAsia="zh-CN"/>
        </w:rPr>
        <w:t>0</w:t>
      </w:r>
      <w:r>
        <w:rPr>
          <w:rFonts w:hint="eastAsia" w:ascii="宋体" w:hAnsi="宋体" w:eastAsia="宋体" w:cs="宋体"/>
          <w:color w:val="444444"/>
          <w:kern w:val="0"/>
          <w:sz w:val="28"/>
          <w:szCs w:val="28"/>
          <w:shd w:val="clear" w:color="050000" w:fill="FFFFFF"/>
        </w:rPr>
        <w:t>辆；公务接待费实际开支</w:t>
      </w:r>
      <w:r>
        <w:rPr>
          <w:rFonts w:hint="eastAsia" w:ascii="宋体" w:hAnsi="宋体" w:cs="宋体"/>
          <w:color w:val="444444"/>
          <w:kern w:val="0"/>
          <w:sz w:val="28"/>
          <w:szCs w:val="28"/>
          <w:shd w:val="clear" w:color="050000" w:fill="FFFFFF"/>
          <w:lang w:val="en-US" w:eastAsia="zh-CN"/>
        </w:rPr>
        <w:t>0</w:t>
      </w:r>
      <w:r>
        <w:rPr>
          <w:rFonts w:hint="eastAsia" w:ascii="宋体" w:hAnsi="宋体" w:eastAsia="宋体" w:cs="宋体"/>
          <w:color w:val="444444"/>
          <w:kern w:val="0"/>
          <w:sz w:val="28"/>
          <w:szCs w:val="28"/>
          <w:shd w:val="clear" w:color="050000" w:fill="FFFFFF"/>
        </w:rPr>
        <w:t>万元，公务接待</w:t>
      </w:r>
      <w:r>
        <w:rPr>
          <w:rFonts w:hint="eastAsia" w:ascii="宋体" w:hAnsi="宋体" w:cs="宋体"/>
          <w:color w:val="444444"/>
          <w:kern w:val="0"/>
          <w:sz w:val="28"/>
          <w:szCs w:val="28"/>
          <w:shd w:val="clear" w:color="050000" w:fill="FFFFFF"/>
          <w:lang w:val="en-US" w:eastAsia="zh-CN"/>
        </w:rPr>
        <w:t>0</w:t>
      </w:r>
      <w:r>
        <w:rPr>
          <w:rFonts w:hint="eastAsia" w:ascii="宋体" w:hAnsi="宋体" w:eastAsia="宋体" w:cs="宋体"/>
          <w:color w:val="444444"/>
          <w:kern w:val="0"/>
          <w:sz w:val="28"/>
          <w:szCs w:val="28"/>
          <w:shd w:val="clear" w:color="050000" w:fill="FFFFFF"/>
        </w:rPr>
        <w:t>批次</w:t>
      </w:r>
      <w:r>
        <w:rPr>
          <w:rFonts w:hint="eastAsia" w:ascii="宋体" w:hAnsi="宋体" w:cs="宋体"/>
          <w:color w:val="444444"/>
          <w:kern w:val="0"/>
          <w:sz w:val="28"/>
          <w:szCs w:val="28"/>
          <w:shd w:val="clear" w:color="050000" w:fill="FFFFFF"/>
          <w:lang w:val="en-US" w:eastAsia="zh-CN"/>
        </w:rPr>
        <w:t>0</w:t>
      </w:r>
      <w:r>
        <w:rPr>
          <w:rFonts w:hint="eastAsia" w:ascii="宋体" w:hAnsi="宋体" w:eastAsia="宋体" w:cs="宋体"/>
          <w:color w:val="444444"/>
          <w:kern w:val="0"/>
          <w:sz w:val="28"/>
          <w:szCs w:val="28"/>
          <w:shd w:val="clear" w:color="050000" w:fill="FFFFFF"/>
        </w:rPr>
        <w:t>人次。2021年“三公”经费实际开支总额比2020年同口径</w:t>
      </w:r>
      <w:r>
        <w:rPr>
          <w:rFonts w:hint="eastAsia" w:ascii="宋体" w:hAnsi="宋体" w:cs="宋体"/>
          <w:color w:val="444444"/>
          <w:kern w:val="0"/>
          <w:sz w:val="28"/>
          <w:szCs w:val="28"/>
          <w:shd w:val="clear" w:color="050000" w:fill="FFFFFF"/>
          <w:lang w:eastAsia="zh-CN"/>
        </w:rPr>
        <w:t>一致，没有发生</w:t>
      </w:r>
      <w:r>
        <w:rPr>
          <w:rFonts w:hint="eastAsia" w:ascii="宋体" w:hAnsi="宋体" w:eastAsia="宋体" w:cs="宋体"/>
          <w:color w:val="444444"/>
          <w:kern w:val="0"/>
          <w:sz w:val="28"/>
          <w:szCs w:val="28"/>
          <w:shd w:val="clear" w:color="050000" w:fill="FFFFFF"/>
        </w:rPr>
        <w:t>“三公”经费实际开支</w:t>
      </w:r>
      <w:r>
        <w:rPr>
          <w:rFonts w:hint="eastAsia" w:ascii="宋体" w:hAnsi="宋体" w:cs="宋体"/>
          <w:color w:val="444444"/>
          <w:kern w:val="0"/>
          <w:sz w:val="28"/>
          <w:szCs w:val="28"/>
          <w:shd w:val="clear" w:color="050000" w:fill="FFFFFF"/>
          <w:lang w:eastAsia="zh-CN"/>
        </w:rPr>
        <w:t>。</w:t>
      </w:r>
      <w:r>
        <w:rPr>
          <w:rFonts w:hint="eastAsia" w:ascii="宋体" w:hAnsi="宋体" w:eastAsia="宋体" w:cs="宋体"/>
          <w:color w:val="444444"/>
          <w:kern w:val="0"/>
          <w:sz w:val="28"/>
          <w:szCs w:val="28"/>
          <w:shd w:val="clear" w:color="050000" w:fill="FFFFFF"/>
        </w:rPr>
        <w:t>因为</w:t>
      </w:r>
      <w:r>
        <w:rPr>
          <w:rFonts w:hint="eastAsia" w:ascii="宋体" w:hAnsi="宋体" w:eastAsia="宋体" w:cs="宋体"/>
          <w:color w:val="444444"/>
          <w:kern w:val="0"/>
          <w:sz w:val="28"/>
          <w:szCs w:val="28"/>
          <w:shd w:val="clear" w:color="050000" w:fill="FFFFFF"/>
          <w:lang w:val="en-US" w:eastAsia="zh-CN"/>
        </w:rPr>
        <w:t>我</w:t>
      </w:r>
      <w:r>
        <w:rPr>
          <w:rFonts w:hint="eastAsia" w:ascii="宋体" w:hAnsi="宋体" w:cs="宋体"/>
          <w:color w:val="444444"/>
          <w:kern w:val="0"/>
          <w:sz w:val="28"/>
          <w:szCs w:val="28"/>
          <w:shd w:val="clear" w:color="050000" w:fill="FFFFFF"/>
          <w:lang w:val="en-US" w:eastAsia="zh-CN"/>
        </w:rPr>
        <w:t>单位</w:t>
      </w:r>
      <w:r>
        <w:rPr>
          <w:rFonts w:hint="eastAsia" w:ascii="宋体" w:hAnsi="宋体" w:eastAsia="宋体" w:cs="宋体"/>
          <w:color w:val="444444"/>
          <w:kern w:val="0"/>
          <w:sz w:val="28"/>
          <w:szCs w:val="28"/>
          <w:shd w:val="clear" w:color="050000" w:fill="FFFFFF"/>
          <w:lang w:val="en-US" w:eastAsia="zh-CN"/>
        </w:rPr>
        <w:t>按照中央、省委、省政府要求，厉行节约，继续严控“三公”经费。</w:t>
      </w:r>
    </w:p>
    <w:p>
      <w:pPr>
        <w:pStyle w:val="4"/>
        <w:widowControl/>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jc w:val="left"/>
        <w:rPr>
          <w:rFonts w:hint="eastAsia" w:ascii="宋体" w:hAnsi="宋体" w:eastAsia="宋体" w:cs="宋体"/>
          <w:sz w:val="28"/>
          <w:szCs w:val="28"/>
        </w:rPr>
      </w:pPr>
      <w:r>
        <w:rPr>
          <w:rFonts w:hint="eastAsia" w:ascii="宋体" w:hAnsi="宋体" w:eastAsia="宋体" w:cs="宋体"/>
          <w:color w:val="444444"/>
          <w:kern w:val="0"/>
          <w:sz w:val="28"/>
          <w:szCs w:val="28"/>
          <w:shd w:val="clear" w:color="050000" w:fill="FFFFFF"/>
        </w:rPr>
        <w:t>（二）专项支出</w:t>
      </w:r>
    </w:p>
    <w:p>
      <w:pPr>
        <w:pStyle w:val="4"/>
        <w:widowControl/>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firstLine="560" w:firstLineChars="200"/>
        <w:jc w:val="left"/>
        <w:rPr>
          <w:rFonts w:hint="eastAsia" w:ascii="宋体" w:hAnsi="宋体" w:eastAsia="宋体" w:cs="宋体"/>
          <w:color w:val="444444"/>
          <w:kern w:val="0"/>
          <w:sz w:val="28"/>
          <w:szCs w:val="28"/>
          <w:shd w:val="clear" w:color="050000" w:fill="FFFFFF"/>
        </w:rPr>
      </w:pPr>
      <w:r>
        <w:rPr>
          <w:rFonts w:hint="eastAsia" w:ascii="宋体" w:hAnsi="宋体" w:eastAsia="宋体" w:cs="宋体"/>
          <w:color w:val="444444"/>
          <w:kern w:val="0"/>
          <w:sz w:val="28"/>
          <w:szCs w:val="28"/>
          <w:shd w:val="clear" w:color="050000" w:fill="FFFFFF"/>
        </w:rPr>
        <w:t> 1、专项资金安排落实等情况分析。项目支出</w:t>
      </w:r>
      <w:r>
        <w:rPr>
          <w:rFonts w:hint="eastAsia" w:ascii="宋体" w:hAnsi="宋体" w:cs="宋体"/>
          <w:color w:val="444444"/>
          <w:kern w:val="0"/>
          <w:sz w:val="28"/>
          <w:szCs w:val="28"/>
          <w:shd w:val="clear" w:color="050000" w:fill="FFFFFF"/>
          <w:lang w:val="en-US" w:eastAsia="zh-CN"/>
        </w:rPr>
        <w:t>0</w:t>
      </w:r>
      <w:r>
        <w:rPr>
          <w:rFonts w:hint="eastAsia" w:ascii="宋体" w:hAnsi="宋体" w:eastAsia="宋体" w:cs="宋体"/>
          <w:color w:val="444444"/>
          <w:kern w:val="0"/>
          <w:sz w:val="28"/>
          <w:szCs w:val="28"/>
          <w:shd w:val="clear" w:color="050000" w:fill="FFFFFF"/>
        </w:rPr>
        <w:t>万元，其中，商品服务支出</w:t>
      </w:r>
      <w:r>
        <w:rPr>
          <w:rFonts w:hint="eastAsia" w:ascii="宋体" w:hAnsi="宋体" w:cs="宋体"/>
          <w:color w:val="444444"/>
          <w:kern w:val="0"/>
          <w:sz w:val="28"/>
          <w:szCs w:val="28"/>
          <w:shd w:val="clear" w:color="050000" w:fill="FFFFFF"/>
          <w:lang w:val="en-US" w:eastAsia="zh-CN"/>
        </w:rPr>
        <w:t>0</w:t>
      </w:r>
      <w:r>
        <w:rPr>
          <w:rFonts w:hint="eastAsia" w:ascii="宋体" w:hAnsi="宋体" w:eastAsia="宋体" w:cs="宋体"/>
          <w:color w:val="444444"/>
          <w:kern w:val="0"/>
          <w:sz w:val="28"/>
          <w:szCs w:val="28"/>
          <w:shd w:val="clear" w:color="050000" w:fill="FFFFFF"/>
        </w:rPr>
        <w:t>万元，对个人和家庭补助0万元，资本性支出0万元。比上年同口径</w:t>
      </w:r>
      <w:r>
        <w:rPr>
          <w:rFonts w:hint="eastAsia" w:ascii="宋体" w:hAnsi="宋体" w:cs="宋体"/>
          <w:color w:val="444444"/>
          <w:kern w:val="0"/>
          <w:sz w:val="28"/>
          <w:szCs w:val="28"/>
          <w:shd w:val="clear" w:color="050000" w:fill="FFFFFF"/>
          <w:lang w:eastAsia="zh-CN"/>
        </w:rPr>
        <w:t>相比一致，没有发生项目支出</w:t>
      </w:r>
      <w:r>
        <w:rPr>
          <w:rFonts w:hint="eastAsia" w:ascii="宋体" w:hAnsi="宋体" w:eastAsia="宋体" w:cs="宋体"/>
          <w:color w:val="444444"/>
          <w:kern w:val="0"/>
          <w:sz w:val="28"/>
          <w:szCs w:val="28"/>
          <w:shd w:val="clear" w:color="050000" w:fill="FFFFFF"/>
        </w:rPr>
        <w:t>。主要原因</w:t>
      </w:r>
      <w:r>
        <w:rPr>
          <w:rFonts w:hint="eastAsia" w:ascii="宋体" w:hAnsi="宋体" w:cs="宋体"/>
          <w:color w:val="444444"/>
          <w:kern w:val="0"/>
          <w:sz w:val="28"/>
          <w:szCs w:val="28"/>
          <w:shd w:val="clear" w:color="050000" w:fill="FFFFFF"/>
          <w:lang w:val="en-US" w:eastAsia="zh-CN"/>
        </w:rPr>
        <w:t>是</w:t>
      </w:r>
      <w:r>
        <w:rPr>
          <w:rFonts w:hint="eastAsia" w:ascii="宋体" w:hAnsi="宋体" w:eastAsia="宋体" w:cs="宋体"/>
          <w:color w:val="444444"/>
          <w:kern w:val="0"/>
          <w:sz w:val="28"/>
          <w:szCs w:val="28"/>
          <w:shd w:val="clear" w:color="050000" w:fill="FFFFFF"/>
        </w:rPr>
        <w:t>严格管理，规范支出，节约支出。</w:t>
      </w:r>
    </w:p>
    <w:p>
      <w:pPr>
        <w:pStyle w:val="4"/>
        <w:widowControl/>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firstLine="560" w:firstLineChars="200"/>
        <w:jc w:val="left"/>
        <w:rPr>
          <w:rFonts w:hint="eastAsia" w:ascii="宋体" w:hAnsi="宋体" w:eastAsia="宋体" w:cs="宋体"/>
          <w:color w:val="444444"/>
          <w:kern w:val="0"/>
          <w:sz w:val="28"/>
          <w:szCs w:val="28"/>
          <w:shd w:val="clear" w:color="050000" w:fill="FFFFFF"/>
        </w:rPr>
      </w:pPr>
      <w:r>
        <w:rPr>
          <w:rFonts w:hint="eastAsia" w:ascii="宋体" w:hAnsi="宋体" w:eastAsia="宋体" w:cs="宋体"/>
          <w:color w:val="444444"/>
          <w:kern w:val="0"/>
          <w:sz w:val="28"/>
          <w:szCs w:val="28"/>
          <w:shd w:val="clear" w:color="050000" w:fill="FFFFFF"/>
        </w:rPr>
        <w:t> </w:t>
      </w:r>
      <w:r>
        <w:rPr>
          <w:rFonts w:hint="eastAsia" w:ascii="宋体" w:hAnsi="宋体" w:cs="宋体"/>
          <w:color w:val="444444"/>
          <w:kern w:val="0"/>
          <w:sz w:val="28"/>
          <w:szCs w:val="28"/>
          <w:shd w:val="clear" w:color="050000" w:fill="FFFFFF"/>
          <w:lang w:val="en-US" w:eastAsia="zh-CN"/>
        </w:rPr>
        <w:t>2</w:t>
      </w:r>
      <w:r>
        <w:rPr>
          <w:rFonts w:hint="eastAsia" w:ascii="宋体" w:hAnsi="宋体" w:eastAsia="宋体" w:cs="宋体"/>
          <w:color w:val="444444"/>
          <w:kern w:val="0"/>
          <w:sz w:val="28"/>
          <w:szCs w:val="28"/>
          <w:shd w:val="clear" w:color="050000" w:fill="FFFFFF"/>
        </w:rPr>
        <w:t>、专项管理情况分析。根据《预算法》、《行政单位会计制度》等法律和财政部及省财政厅有关财务规章的规定，严格专项资金的审核与支出。</w:t>
      </w:r>
    </w:p>
    <w:p>
      <w:pPr>
        <w:pStyle w:val="4"/>
        <w:widowControl/>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jc w:val="left"/>
        <w:rPr>
          <w:rFonts w:hint="eastAsia" w:ascii="宋体" w:hAnsi="宋体" w:eastAsia="宋体" w:cs="宋体"/>
          <w:sz w:val="28"/>
          <w:szCs w:val="28"/>
        </w:rPr>
      </w:pPr>
      <w:r>
        <w:rPr>
          <w:rFonts w:hint="eastAsia" w:ascii="宋体" w:hAnsi="宋体" w:eastAsia="宋体" w:cs="宋体"/>
          <w:color w:val="444444"/>
          <w:kern w:val="0"/>
          <w:sz w:val="28"/>
          <w:szCs w:val="28"/>
          <w:shd w:val="clear" w:color="050000" w:fill="FFFFFF"/>
        </w:rPr>
        <w:t>三、资产管理情况</w:t>
      </w:r>
    </w:p>
    <w:p>
      <w:pPr>
        <w:pStyle w:val="4"/>
        <w:widowControl/>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firstLine="560" w:firstLineChars="200"/>
        <w:jc w:val="left"/>
        <w:rPr>
          <w:rFonts w:hint="eastAsia" w:ascii="宋体" w:hAnsi="宋体" w:eastAsia="宋体" w:cs="宋体"/>
          <w:color w:val="444444"/>
          <w:kern w:val="0"/>
          <w:sz w:val="28"/>
          <w:szCs w:val="28"/>
          <w:shd w:val="clear" w:color="050000" w:fill="FFFFFF"/>
          <w:lang w:val="en-US" w:eastAsia="zh-CN"/>
        </w:rPr>
      </w:pPr>
      <w:r>
        <w:rPr>
          <w:rFonts w:hint="eastAsia" w:ascii="宋体" w:hAnsi="宋体" w:eastAsia="宋体" w:cs="宋体"/>
          <w:color w:val="444444"/>
          <w:kern w:val="0"/>
          <w:sz w:val="28"/>
          <w:szCs w:val="28"/>
          <w:shd w:val="clear" w:color="050000" w:fill="FFFFFF"/>
          <w:lang w:val="en-US" w:eastAsia="zh-CN"/>
        </w:rPr>
        <w:t>我</w:t>
      </w:r>
      <w:r>
        <w:rPr>
          <w:rFonts w:hint="eastAsia" w:ascii="宋体" w:hAnsi="宋体" w:cs="宋体"/>
          <w:color w:val="444444"/>
          <w:kern w:val="0"/>
          <w:sz w:val="28"/>
          <w:szCs w:val="28"/>
          <w:shd w:val="clear" w:color="050000" w:fill="FFFFFF"/>
          <w:lang w:val="en-US" w:eastAsia="zh-CN"/>
        </w:rPr>
        <w:t>单位</w:t>
      </w:r>
      <w:r>
        <w:rPr>
          <w:rFonts w:hint="eastAsia" w:ascii="宋体" w:hAnsi="宋体" w:eastAsia="宋体" w:cs="宋体"/>
          <w:color w:val="444444"/>
          <w:kern w:val="0"/>
          <w:sz w:val="28"/>
          <w:szCs w:val="28"/>
          <w:shd w:val="clear" w:color="050000" w:fill="FFFFFF"/>
          <w:lang w:val="en-US" w:eastAsia="zh-CN"/>
        </w:rPr>
        <w:t>资产管理由办公室负责，资产采购按程序实行报批采购，统一在政采云平台下单，采购后登记入账，录入资产信息系统，再派发到</w:t>
      </w:r>
      <w:r>
        <w:rPr>
          <w:rFonts w:hint="eastAsia" w:ascii="宋体" w:hAnsi="宋体" w:cs="宋体"/>
          <w:color w:val="444444"/>
          <w:kern w:val="0"/>
          <w:sz w:val="28"/>
          <w:szCs w:val="28"/>
          <w:shd w:val="clear" w:color="050000" w:fill="FFFFFF"/>
          <w:lang w:val="en-US" w:eastAsia="zh-CN"/>
        </w:rPr>
        <w:t>用人手上</w:t>
      </w:r>
      <w:r>
        <w:rPr>
          <w:rFonts w:hint="eastAsia" w:ascii="宋体" w:hAnsi="宋体" w:eastAsia="宋体" w:cs="宋体"/>
          <w:color w:val="444444"/>
          <w:kern w:val="0"/>
          <w:sz w:val="28"/>
          <w:szCs w:val="28"/>
          <w:shd w:val="clear" w:color="050000" w:fill="FFFFFF"/>
          <w:lang w:val="en-US" w:eastAsia="zh-CN"/>
        </w:rPr>
        <w:t>。一是我</w:t>
      </w:r>
      <w:r>
        <w:rPr>
          <w:rFonts w:hint="eastAsia" w:ascii="宋体" w:hAnsi="宋体" w:cs="宋体"/>
          <w:color w:val="444444"/>
          <w:kern w:val="0"/>
          <w:sz w:val="28"/>
          <w:szCs w:val="28"/>
          <w:shd w:val="clear" w:color="050000" w:fill="FFFFFF"/>
          <w:lang w:val="en-US" w:eastAsia="zh-CN"/>
        </w:rPr>
        <w:t>单位</w:t>
      </w:r>
      <w:r>
        <w:rPr>
          <w:rFonts w:hint="eastAsia" w:ascii="宋体" w:hAnsi="宋体" w:eastAsia="宋体" w:cs="宋体"/>
          <w:color w:val="444444"/>
          <w:kern w:val="0"/>
          <w:sz w:val="28"/>
          <w:szCs w:val="28"/>
          <w:shd w:val="clear" w:color="050000" w:fill="FFFFFF"/>
          <w:lang w:val="en-US" w:eastAsia="zh-CN"/>
        </w:rPr>
        <w:t>资产管理和使用坚持统一政策、统一领导、分级管理、责任到人、物尽其用的原则。二是运用资产信息管理系统加强资产管理</w:t>
      </w:r>
      <w:r>
        <w:rPr>
          <w:rFonts w:hint="eastAsia" w:ascii="宋体" w:hAnsi="宋体" w:cs="宋体"/>
          <w:color w:val="444444"/>
          <w:kern w:val="0"/>
          <w:sz w:val="28"/>
          <w:szCs w:val="28"/>
          <w:shd w:val="clear" w:color="050000" w:fill="FFFFFF"/>
          <w:lang w:val="en-US" w:eastAsia="zh-CN"/>
        </w:rPr>
        <w:t>，</w:t>
      </w:r>
      <w:r>
        <w:rPr>
          <w:rFonts w:hint="eastAsia" w:ascii="宋体" w:hAnsi="宋体" w:eastAsia="宋体" w:cs="宋体"/>
          <w:color w:val="444444"/>
          <w:kern w:val="0"/>
          <w:sz w:val="28"/>
          <w:szCs w:val="28"/>
          <w:shd w:val="clear" w:color="050000" w:fill="FFFFFF"/>
          <w:lang w:val="en-US" w:eastAsia="zh-CN"/>
        </w:rPr>
        <w:t>并指定专人负责管理。三是每年组织一次固定资产资产清查工作，使固定资产检查常态化，确保账、卡、实相符。四是根据《湖南省财政厅关于做好行政事业性国有资产月报试编工作的通知》文件要求，每月及时通过财政部统一报表系统上报资产月报电子数据，每年编制一次固定资产年报</w:t>
      </w:r>
    </w:p>
    <w:p>
      <w:pPr>
        <w:pStyle w:val="4"/>
        <w:widowControl/>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firstLine="560" w:firstLineChars="200"/>
        <w:jc w:val="left"/>
        <w:rPr>
          <w:rFonts w:hint="eastAsia" w:ascii="宋体" w:hAnsi="宋体" w:eastAsia="宋体" w:cs="宋体"/>
          <w:color w:val="444444"/>
          <w:kern w:val="0"/>
          <w:sz w:val="28"/>
          <w:szCs w:val="28"/>
          <w:shd w:val="clear" w:color="050000" w:fill="FFFFFF"/>
        </w:rPr>
      </w:pPr>
      <w:r>
        <w:rPr>
          <w:rFonts w:hint="eastAsia" w:ascii="宋体" w:hAnsi="宋体" w:eastAsia="宋体" w:cs="宋体"/>
          <w:color w:val="444444"/>
          <w:kern w:val="0"/>
          <w:sz w:val="28"/>
          <w:szCs w:val="28"/>
          <w:shd w:val="clear" w:color="050000" w:fill="FFFFFF"/>
        </w:rPr>
        <w:t>截至2021年12月31日，</w:t>
      </w:r>
      <w:r>
        <w:rPr>
          <w:rFonts w:hint="eastAsia" w:ascii="宋体" w:hAnsi="宋体" w:cs="宋体"/>
          <w:color w:val="444444"/>
          <w:kern w:val="0"/>
          <w:sz w:val="28"/>
          <w:szCs w:val="28"/>
          <w:shd w:val="clear" w:color="050000" w:fill="FFFFFF"/>
          <w:lang w:val="en-US" w:eastAsia="zh-CN"/>
        </w:rPr>
        <w:t>我单位</w:t>
      </w:r>
      <w:r>
        <w:rPr>
          <w:rFonts w:hint="eastAsia" w:ascii="宋体" w:hAnsi="宋体" w:eastAsia="宋体" w:cs="宋体"/>
          <w:color w:val="444444"/>
          <w:kern w:val="0"/>
          <w:sz w:val="28"/>
          <w:szCs w:val="28"/>
          <w:shd w:val="clear" w:color="050000" w:fill="FFFFFF"/>
        </w:rPr>
        <w:t>资产总额为</w:t>
      </w:r>
      <w:r>
        <w:rPr>
          <w:rFonts w:hint="eastAsia" w:ascii="宋体" w:hAnsi="宋体" w:cs="宋体"/>
          <w:color w:val="444444"/>
          <w:kern w:val="0"/>
          <w:sz w:val="28"/>
          <w:szCs w:val="28"/>
          <w:shd w:val="clear" w:color="050000" w:fill="FFFFFF"/>
          <w:lang w:val="en-US" w:eastAsia="zh-CN"/>
        </w:rPr>
        <w:t>4.56</w:t>
      </w:r>
      <w:r>
        <w:rPr>
          <w:rFonts w:hint="eastAsia" w:ascii="宋体" w:hAnsi="宋体" w:eastAsia="宋体" w:cs="宋体"/>
          <w:color w:val="444444"/>
          <w:kern w:val="0"/>
          <w:sz w:val="28"/>
          <w:szCs w:val="28"/>
          <w:shd w:val="clear" w:color="050000" w:fill="FFFFFF"/>
        </w:rPr>
        <w:t>万元，主要由以下部分构成：流动资产</w:t>
      </w:r>
      <w:r>
        <w:rPr>
          <w:rFonts w:hint="eastAsia" w:ascii="宋体" w:hAnsi="宋体" w:cs="宋体"/>
          <w:color w:val="444444"/>
          <w:kern w:val="0"/>
          <w:sz w:val="28"/>
          <w:szCs w:val="28"/>
          <w:shd w:val="clear" w:color="050000" w:fill="FFFFFF"/>
          <w:lang w:val="en-US" w:eastAsia="zh-CN"/>
        </w:rPr>
        <w:t>0</w:t>
      </w:r>
      <w:r>
        <w:rPr>
          <w:rFonts w:hint="eastAsia" w:ascii="宋体" w:hAnsi="宋体" w:eastAsia="宋体" w:cs="宋体"/>
          <w:color w:val="444444"/>
          <w:kern w:val="0"/>
          <w:sz w:val="28"/>
          <w:szCs w:val="28"/>
          <w:shd w:val="clear" w:color="050000" w:fill="FFFFFF"/>
        </w:rPr>
        <w:t>万元,占资产总额的</w:t>
      </w:r>
      <w:r>
        <w:rPr>
          <w:rFonts w:hint="eastAsia" w:ascii="宋体" w:hAnsi="宋体" w:cs="宋体"/>
          <w:color w:val="444444"/>
          <w:kern w:val="0"/>
          <w:sz w:val="28"/>
          <w:szCs w:val="28"/>
          <w:shd w:val="clear" w:color="050000" w:fill="FFFFFF"/>
          <w:lang w:val="en-US" w:eastAsia="zh-CN"/>
        </w:rPr>
        <w:t>0</w:t>
      </w:r>
      <w:r>
        <w:rPr>
          <w:rFonts w:hint="eastAsia" w:ascii="宋体" w:hAnsi="宋体" w:eastAsia="宋体" w:cs="宋体"/>
          <w:color w:val="444444"/>
          <w:kern w:val="0"/>
          <w:sz w:val="28"/>
          <w:szCs w:val="28"/>
          <w:shd w:val="clear" w:color="050000" w:fill="FFFFFF"/>
        </w:rPr>
        <w:t>%,主要为银行存款及其他应收款等;固定资产</w:t>
      </w:r>
      <w:r>
        <w:rPr>
          <w:rFonts w:hint="eastAsia" w:ascii="宋体" w:hAnsi="宋体" w:cs="宋体"/>
          <w:color w:val="444444"/>
          <w:kern w:val="0"/>
          <w:sz w:val="28"/>
          <w:szCs w:val="28"/>
          <w:shd w:val="clear" w:color="050000" w:fill="FFFFFF"/>
          <w:lang w:val="en-US" w:eastAsia="zh-CN"/>
        </w:rPr>
        <w:t>4.56</w:t>
      </w:r>
      <w:r>
        <w:rPr>
          <w:rFonts w:hint="eastAsia" w:ascii="宋体" w:hAnsi="宋体" w:eastAsia="宋体" w:cs="宋体"/>
          <w:color w:val="444444"/>
          <w:kern w:val="0"/>
          <w:sz w:val="28"/>
          <w:szCs w:val="28"/>
          <w:shd w:val="clear" w:color="050000" w:fill="FFFFFF"/>
        </w:rPr>
        <w:t>万元,占资产总额的</w:t>
      </w:r>
      <w:r>
        <w:rPr>
          <w:rFonts w:hint="eastAsia" w:ascii="宋体" w:hAnsi="宋体" w:cs="宋体"/>
          <w:color w:val="444444"/>
          <w:kern w:val="0"/>
          <w:sz w:val="28"/>
          <w:szCs w:val="28"/>
          <w:shd w:val="clear" w:color="050000" w:fill="FFFFFF"/>
          <w:lang w:val="en-US" w:eastAsia="zh-CN"/>
        </w:rPr>
        <w:t>100</w:t>
      </w:r>
      <w:r>
        <w:rPr>
          <w:rFonts w:hint="eastAsia" w:ascii="宋体" w:hAnsi="宋体" w:eastAsia="宋体" w:cs="宋体"/>
          <w:color w:val="444444"/>
          <w:kern w:val="0"/>
          <w:sz w:val="28"/>
          <w:szCs w:val="28"/>
          <w:shd w:val="clear" w:color="050000" w:fill="FFFFFF"/>
        </w:rPr>
        <w:t>%，主要包括办公设备等。 </w:t>
      </w:r>
    </w:p>
    <w:p>
      <w:pPr>
        <w:pStyle w:val="4"/>
        <w:widowControl/>
        <w:numPr>
          <w:ilvl w:val="0"/>
          <w:numId w:val="3"/>
        </w:numPr>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firstLine="560" w:firstLineChars="200"/>
        <w:jc w:val="left"/>
        <w:rPr>
          <w:rFonts w:hint="eastAsia" w:ascii="宋体" w:hAnsi="宋体" w:eastAsia="宋体" w:cs="宋体"/>
          <w:color w:val="444444"/>
          <w:kern w:val="0"/>
          <w:sz w:val="28"/>
          <w:szCs w:val="28"/>
          <w:shd w:val="clear" w:color="050000" w:fill="FFFFFF"/>
        </w:rPr>
      </w:pPr>
      <w:r>
        <w:rPr>
          <w:rFonts w:hint="eastAsia" w:ascii="宋体" w:hAnsi="宋体" w:eastAsia="宋体" w:cs="宋体"/>
          <w:color w:val="444444"/>
          <w:kern w:val="0"/>
          <w:sz w:val="28"/>
          <w:szCs w:val="28"/>
          <w:shd w:val="clear" w:color="050000" w:fill="FFFFFF"/>
        </w:rPr>
        <w:t>部门整体支出绩效情况</w:t>
      </w:r>
    </w:p>
    <w:p>
      <w:pPr>
        <w:pStyle w:val="4"/>
        <w:widowControl/>
        <w:numPr>
          <w:ilvl w:val="0"/>
          <w:numId w:val="4"/>
        </w:numPr>
        <w:pBdr>
          <w:top w:val="none" w:color="auto" w:sz="0" w:space="0"/>
          <w:left w:val="none" w:color="auto" w:sz="0" w:space="0"/>
          <w:bottom w:val="none" w:color="auto" w:sz="0" w:space="0"/>
          <w:right w:val="none" w:color="auto" w:sz="0" w:space="0"/>
        </w:pBdr>
        <w:spacing w:before="0" w:beforeAutospacing="0" w:after="300" w:afterAutospacing="0" w:line="600" w:lineRule="atLeast"/>
        <w:ind w:leftChars="200" w:right="0" w:rightChars="0"/>
        <w:jc w:val="left"/>
        <w:rPr>
          <w:rFonts w:hint="eastAsia" w:ascii="宋体" w:hAnsi="宋体" w:eastAsia="宋体" w:cs="宋体"/>
          <w:color w:val="444444"/>
          <w:kern w:val="0"/>
          <w:sz w:val="28"/>
          <w:szCs w:val="28"/>
          <w:shd w:val="clear" w:color="050000" w:fill="FFFFFF"/>
        </w:rPr>
      </w:pPr>
      <w:r>
        <w:rPr>
          <w:rFonts w:hint="eastAsia" w:ascii="宋体" w:hAnsi="宋体" w:eastAsia="宋体" w:cs="宋体"/>
          <w:color w:val="444444"/>
          <w:kern w:val="0"/>
          <w:sz w:val="28"/>
          <w:szCs w:val="28"/>
          <w:shd w:val="clear" w:color="050000" w:fill="FFFFFF"/>
        </w:rPr>
        <w:t>参保登记</w:t>
      </w:r>
      <w:r>
        <w:rPr>
          <w:rFonts w:hint="eastAsia" w:ascii="宋体" w:hAnsi="宋体" w:cs="宋体"/>
          <w:color w:val="444444"/>
          <w:kern w:val="0"/>
          <w:sz w:val="28"/>
          <w:szCs w:val="28"/>
          <w:shd w:val="clear" w:color="050000" w:fill="FFFFFF"/>
          <w:lang w:val="en-US" w:eastAsia="zh-CN"/>
        </w:rPr>
        <w:t>:</w:t>
      </w:r>
      <w:r>
        <w:rPr>
          <w:rFonts w:hint="eastAsia" w:ascii="宋体" w:hAnsi="宋体" w:eastAsia="宋体" w:cs="宋体"/>
          <w:color w:val="444444"/>
          <w:kern w:val="0"/>
          <w:sz w:val="28"/>
          <w:szCs w:val="28"/>
          <w:shd w:val="clear" w:color="050000" w:fill="FFFFFF"/>
        </w:rPr>
        <w:t>12月底，我区养老保险参保人数52275人，保费总收入10473万元，其中机关事业单位参保人数2094人，保费收入2839万元，企业职工养老保险参保人数12610人，保费收入4841万元，城乡居保参保人数37571人，保费收入2793万元（含被征地农民补贴计入个人账户）。</w:t>
      </w:r>
    </w:p>
    <w:p>
      <w:pPr>
        <w:pStyle w:val="4"/>
        <w:widowControl/>
        <w:numPr>
          <w:ilvl w:val="0"/>
          <w:numId w:val="0"/>
        </w:numPr>
        <w:pBdr>
          <w:top w:val="none" w:color="auto" w:sz="0" w:space="0"/>
          <w:left w:val="none" w:color="auto" w:sz="0" w:space="0"/>
          <w:bottom w:val="none" w:color="auto" w:sz="0" w:space="0"/>
          <w:right w:val="none" w:color="auto" w:sz="0" w:space="0"/>
        </w:pBdr>
        <w:spacing w:before="0" w:beforeAutospacing="0" w:after="300" w:afterAutospacing="0" w:line="600" w:lineRule="atLeast"/>
        <w:ind w:leftChars="200" w:right="0" w:rightChars="0"/>
        <w:jc w:val="left"/>
        <w:rPr>
          <w:rFonts w:hint="eastAsia" w:ascii="宋体" w:hAnsi="宋体" w:eastAsia="宋体" w:cs="宋体"/>
          <w:color w:val="444444"/>
          <w:kern w:val="0"/>
          <w:sz w:val="28"/>
          <w:szCs w:val="28"/>
          <w:shd w:val="clear" w:color="050000" w:fill="FFFFFF"/>
        </w:rPr>
      </w:pPr>
      <w:r>
        <w:rPr>
          <w:rFonts w:hint="eastAsia" w:ascii="宋体" w:hAnsi="宋体" w:eastAsia="宋体" w:cs="宋体"/>
          <w:color w:val="444444"/>
          <w:kern w:val="0"/>
          <w:sz w:val="28"/>
          <w:szCs w:val="28"/>
          <w:shd w:val="clear" w:color="050000" w:fill="FFFFFF"/>
        </w:rPr>
        <w:t>(二）待遇发放</w:t>
      </w:r>
      <w:r>
        <w:rPr>
          <w:rFonts w:hint="eastAsia" w:ascii="宋体" w:hAnsi="宋体" w:cs="宋体"/>
          <w:color w:val="444444"/>
          <w:kern w:val="0"/>
          <w:sz w:val="28"/>
          <w:szCs w:val="28"/>
          <w:shd w:val="clear" w:color="050000" w:fill="FFFFFF"/>
          <w:lang w:val="en-US" w:eastAsia="zh-CN"/>
        </w:rPr>
        <w:t>:</w:t>
      </w:r>
      <w:r>
        <w:rPr>
          <w:rFonts w:hint="eastAsia" w:ascii="宋体" w:hAnsi="宋体" w:eastAsia="宋体" w:cs="宋体"/>
          <w:color w:val="444444"/>
          <w:kern w:val="0"/>
          <w:sz w:val="28"/>
          <w:szCs w:val="28"/>
          <w:shd w:val="clear" w:color="050000" w:fill="FFFFFF"/>
        </w:rPr>
        <w:t>今年以来我中心狠抓待遇发放工作。一是强化责任明确节点。我中心根据省市要求，明确退休服务岗位每月养老金发放的时间节点，有力保障了3个险种3类群体的养老金于每月25日前社会化足额发放到位。二是精准比对确保应发尽发。每月定期分析待遇人员变化情况，按月清理到龄未领待遇人员名册，对发放异常人员进行标识，通过系统查询后再分发到镇街道上门核实，将发放异常人员分类为“死亡、疑似死亡、无银行账号、银行账号异常”等四类，针对后两种情况，多渠道通知待遇人员重新绑定银行账号，尽最大努力确保应发尽发。三是按月办理新增退休手续。我中心每月月初统一办理企业职工和城乡居保新增到龄人员领待手续，精细梳理经办流程，以方便快捷的方式服务老年群体，受到社会广泛赞誉。截止12月底，我区待遇领取人员13745人，其中城乡居保7749人，企业职工5240人，机关756人；共计发放养老金16805万元，其中城乡居民基本养老保险（含被征地农民）2524万元，企业养老保险10062万元、机关养老保险4219万元，我区养老金按时足额和社会化发放率均达100%。</w:t>
      </w:r>
    </w:p>
    <w:p>
      <w:pPr>
        <w:pStyle w:val="4"/>
        <w:widowControl/>
        <w:numPr>
          <w:ilvl w:val="0"/>
          <w:numId w:val="0"/>
        </w:numPr>
        <w:pBdr>
          <w:top w:val="none" w:color="auto" w:sz="0" w:space="0"/>
          <w:left w:val="none" w:color="auto" w:sz="0" w:space="0"/>
          <w:bottom w:val="none" w:color="auto" w:sz="0" w:space="0"/>
          <w:right w:val="none" w:color="auto" w:sz="0" w:space="0"/>
        </w:pBdr>
        <w:spacing w:before="0" w:beforeAutospacing="0" w:after="300" w:afterAutospacing="0" w:line="600" w:lineRule="atLeast"/>
        <w:ind w:leftChars="200" w:right="0" w:rightChars="0"/>
        <w:jc w:val="left"/>
        <w:rPr>
          <w:rFonts w:hint="eastAsia" w:ascii="宋体" w:hAnsi="宋体" w:eastAsia="宋体" w:cs="宋体"/>
          <w:color w:val="444444"/>
          <w:kern w:val="0"/>
          <w:sz w:val="28"/>
          <w:szCs w:val="28"/>
          <w:shd w:val="clear" w:color="050000" w:fill="FFFFFF"/>
        </w:rPr>
      </w:pPr>
      <w:r>
        <w:rPr>
          <w:rFonts w:hint="eastAsia" w:ascii="宋体" w:hAnsi="宋体" w:eastAsia="宋体" w:cs="宋体"/>
          <w:color w:val="444444"/>
          <w:kern w:val="0"/>
          <w:sz w:val="28"/>
          <w:szCs w:val="28"/>
          <w:shd w:val="clear" w:color="050000" w:fill="FFFFFF"/>
        </w:rPr>
        <w:t>（三）资格认证</w:t>
      </w:r>
      <w:r>
        <w:rPr>
          <w:rFonts w:hint="eastAsia" w:ascii="宋体" w:hAnsi="宋体" w:cs="宋体"/>
          <w:color w:val="444444"/>
          <w:kern w:val="0"/>
          <w:sz w:val="28"/>
          <w:szCs w:val="28"/>
          <w:shd w:val="clear" w:color="050000" w:fill="FFFFFF"/>
          <w:lang w:val="en-US" w:eastAsia="zh-CN"/>
        </w:rPr>
        <w:t>:</w:t>
      </w:r>
      <w:r>
        <w:rPr>
          <w:rFonts w:hint="eastAsia" w:ascii="宋体" w:hAnsi="宋体" w:eastAsia="宋体" w:cs="宋体"/>
          <w:color w:val="444444"/>
          <w:kern w:val="0"/>
          <w:sz w:val="28"/>
          <w:szCs w:val="28"/>
          <w:shd w:val="clear" w:color="050000" w:fill="FFFFFF"/>
        </w:rPr>
        <w:t>为有效加强基金的监管，杜绝虚报冒领养老金、死亡不报、死亡迟报等现象的发生。我中心于4月1日-5月20日，对全区14015名待遇领取人员进行了生存资格认证，认证期间我中心以劳务外包方式设立了认证代办点免费为群众提供认证服务，并安排工作人员进村入户指导认乡、村（社区）开展生存资格认证，该举措为参保群众就地认证、线上认证提供了便利，也提高了认证效率。截止6月份，全区完成待遇人员生存认证13930人。未按时参加认证的待遇人员，已暂停其待遇发放，待其认证后即时补发养老金。</w:t>
      </w:r>
    </w:p>
    <w:p>
      <w:pPr>
        <w:pStyle w:val="4"/>
        <w:widowControl/>
        <w:numPr>
          <w:ilvl w:val="0"/>
          <w:numId w:val="0"/>
        </w:numPr>
        <w:pBdr>
          <w:top w:val="none" w:color="auto" w:sz="0" w:space="0"/>
          <w:left w:val="none" w:color="auto" w:sz="0" w:space="0"/>
          <w:bottom w:val="none" w:color="auto" w:sz="0" w:space="0"/>
          <w:right w:val="none" w:color="auto" w:sz="0" w:space="0"/>
        </w:pBdr>
        <w:spacing w:before="0" w:beforeAutospacing="0" w:after="300" w:afterAutospacing="0" w:line="600" w:lineRule="atLeast"/>
        <w:ind w:leftChars="200" w:right="0" w:rightChars="0"/>
        <w:jc w:val="left"/>
        <w:rPr>
          <w:rFonts w:hint="eastAsia" w:ascii="宋体" w:hAnsi="宋体" w:eastAsia="宋体" w:cs="宋体"/>
          <w:color w:val="444444"/>
          <w:kern w:val="0"/>
          <w:sz w:val="28"/>
          <w:szCs w:val="28"/>
          <w:shd w:val="clear" w:color="050000" w:fill="FFFFFF"/>
        </w:rPr>
      </w:pPr>
      <w:r>
        <w:rPr>
          <w:rFonts w:hint="eastAsia" w:ascii="宋体" w:hAnsi="宋体" w:eastAsia="宋体" w:cs="宋体"/>
          <w:color w:val="444444"/>
          <w:kern w:val="0"/>
          <w:sz w:val="28"/>
          <w:szCs w:val="28"/>
          <w:shd w:val="clear" w:color="050000" w:fill="FFFFFF"/>
        </w:rPr>
        <w:t>（四）征地保障</w:t>
      </w:r>
      <w:r>
        <w:rPr>
          <w:rFonts w:hint="eastAsia" w:ascii="宋体" w:hAnsi="宋体" w:cs="宋体"/>
          <w:color w:val="444444"/>
          <w:kern w:val="0"/>
          <w:sz w:val="28"/>
          <w:szCs w:val="28"/>
          <w:shd w:val="clear" w:color="050000" w:fill="FFFFFF"/>
          <w:lang w:val="en-US" w:eastAsia="zh-CN"/>
        </w:rPr>
        <w:t>:</w:t>
      </w:r>
      <w:r>
        <w:rPr>
          <w:rFonts w:hint="eastAsia" w:ascii="宋体" w:hAnsi="宋体" w:eastAsia="宋体" w:cs="宋体"/>
          <w:color w:val="444444"/>
          <w:kern w:val="0"/>
          <w:sz w:val="28"/>
          <w:szCs w:val="28"/>
          <w:shd w:val="clear" w:color="050000" w:fill="FFFFFF"/>
        </w:rPr>
        <w:t>今年我区新增被征地农民保障对象4人，累计确定被征地农民保障对象18969人，发放被征地农民补贴资金3614人，累计发放被征地农民补贴资金16814人。全区被征地农民保障对象参加基本养老保险人数18969人，其中参加企业职保9655人、参加城乡居保9314人。被征地农民社会保障资金年收入0.71亿元，累计收入3.83亿元，年支出0.7亿元，累计支出3.74亿元，累计结余0.09亿元。2021年，我中心严格执行湘人社发〔2021〕51号文精神。一是严格开展身份认定。3轮甄别被征地农民社会保障对象身份，对尚未参保或已纳入养老保险但存在违规一次性补缴的人员，进行了重点甄别。通过自查、数据比对和经办审查等方式，核查出58名不符合被征地农民社会保障范围的人员，并取消了其保障资格，同时对12人启动了多发资金追回程序。二是积极落实应保尽保。按照“全民参保”要求，将83名被征地农民保障对象纳入城乡居保参保范围。三是妥善处理违规补缴整改工作。为减轻资金支出压力，省、市明确要求将未达到退休年龄的违规补缴人员，需将原一次性补缴的保费修改为逐年缴费，逐年缴费基数差由被征地农民社会保障资金承担(省厅文件简称“前补改为后缴”)。 经扎实清理，全区2017年1月以后参保、2020年以后退休，以一次性补缴形式纳入职工养老保险的被征地农民保障对象共2911人，其中原实际一次性补缴养老保险费年限+退休前可逐年正常缴费年限＞15年的需调整人数为2682人，完成2197人的社保费调整，已整改的缴费基数差共计182.95万元；有221人在系统中调整不了；264人在系统调整后，所需调整资金为零。原实际一次性补缴养老保险费年限+退休前可逐年正常缴费年限≤15年的需调整人数为229人，暂未调整，待省中心的下一步指示。</w:t>
      </w:r>
    </w:p>
    <w:p>
      <w:pPr>
        <w:pStyle w:val="4"/>
        <w:widowControl/>
        <w:numPr>
          <w:ilvl w:val="0"/>
          <w:numId w:val="0"/>
        </w:numPr>
        <w:pBdr>
          <w:top w:val="none" w:color="auto" w:sz="0" w:space="0"/>
          <w:left w:val="none" w:color="auto" w:sz="0" w:space="0"/>
          <w:bottom w:val="none" w:color="auto" w:sz="0" w:space="0"/>
          <w:right w:val="none" w:color="auto" w:sz="0" w:space="0"/>
        </w:pBdr>
        <w:spacing w:before="0" w:beforeAutospacing="0" w:after="300" w:afterAutospacing="0" w:line="600" w:lineRule="atLeast"/>
        <w:ind w:leftChars="200" w:right="0" w:rightChars="0"/>
        <w:jc w:val="left"/>
        <w:rPr>
          <w:rFonts w:hint="eastAsia" w:ascii="宋体" w:hAnsi="宋体" w:eastAsia="宋体" w:cs="宋体"/>
          <w:color w:val="444444"/>
          <w:kern w:val="0"/>
          <w:sz w:val="28"/>
          <w:szCs w:val="28"/>
          <w:shd w:val="clear" w:color="050000" w:fill="FFFFFF"/>
        </w:rPr>
      </w:pPr>
      <w:r>
        <w:rPr>
          <w:rFonts w:hint="eastAsia" w:ascii="宋体" w:hAnsi="宋体" w:eastAsia="宋体" w:cs="宋体"/>
          <w:color w:val="444444"/>
          <w:kern w:val="0"/>
          <w:sz w:val="28"/>
          <w:szCs w:val="28"/>
          <w:shd w:val="clear" w:color="050000" w:fill="FFFFFF"/>
        </w:rPr>
        <w:t>（五）防风险堵漏洞</w:t>
      </w:r>
      <w:r>
        <w:rPr>
          <w:rFonts w:hint="eastAsia" w:ascii="宋体" w:hAnsi="宋体" w:cs="宋体"/>
          <w:color w:val="444444"/>
          <w:kern w:val="0"/>
          <w:sz w:val="28"/>
          <w:szCs w:val="28"/>
          <w:shd w:val="clear" w:color="050000" w:fill="FFFFFF"/>
          <w:lang w:val="en-US" w:eastAsia="zh-CN"/>
        </w:rPr>
        <w:t>:</w:t>
      </w:r>
      <w:bookmarkStart w:id="1" w:name="_GoBack"/>
      <w:bookmarkEnd w:id="1"/>
      <w:r>
        <w:rPr>
          <w:rFonts w:hint="eastAsia" w:ascii="宋体" w:hAnsi="宋体" w:eastAsia="宋体" w:cs="宋体"/>
          <w:color w:val="444444"/>
          <w:kern w:val="0"/>
          <w:sz w:val="28"/>
          <w:szCs w:val="28"/>
          <w:shd w:val="clear" w:color="050000" w:fill="FFFFFF"/>
        </w:rPr>
        <w:t>5月起，全省上下开展了社会保险基金管理风险排查专项行动，我中心对自查、交叉检查、市级督查、省级督查中发现的7个方面的问题进行了全面整改。积极开展了养老保险待遇核查“回头看”工作，对全区灵活就业人员、城乡居保的参保情况特别是待遇人员发放和持卡情况，进行了一次彻底的逐人逐卡核查。全区参保持卡核查人数54295人，核查待遇发放人数23615人，扎实有效地做到了“两个全覆盖、五个搞清楚”。我中心在待遇核查“回头看”整改中认真做好了以下几项工作：一是死亡人员养老保险待遇发放整改。城乡居保应整改407人，已整改407人，追回资金19.7万元；灵活就业人员应整改23人，已整23人，追回资金3.4万元；二是城乡居民参保问题整改。省市下发我区符合参保条件未参保人数213人，经排查未参保人员均为达到待遇领取年龄，对此，我中心高度重视扎实对待。首先对该213人逐一在业务系统中核清是否参保，再将未参保人员按镇街道、村社区整理分发到责任单位，为确保待遇人员利益不受损，专门针对此项工作做了全方位的业务指导，并对213人逐人建立了整改台账。三是灵活就业健在待遇人员非本人（亲属）持卡问题整改。全区涉及2人，对此2人要求镇街道入户深入核查，务必从源头搞清楚其社保卡的去向，经查该2人均为本人（亲属）持卡。四是疑似风险社保卡问题整改。我区风险卡集中在农商银行和邮政银行两家，涉卡总数381张，任务分解到2家银行后，由专人跟踪对接进度。目前，银行排查工作基本完成。其中无风险卡数263张，本人（亲属)持卡多领涉卡总数为118张，追缴资金总额为95547.77元，其中整改118张，追回资金95547.77元，全区风险卡整改全部到位。五是人社部调研检查组反馈问题整改。对标反馈问题表，我中心存在的三个问题全部整改到位。</w:t>
      </w:r>
    </w:p>
    <w:p>
      <w:pPr>
        <w:pStyle w:val="4"/>
        <w:widowControl/>
        <w:pBdr>
          <w:top w:val="none" w:color="auto" w:sz="0" w:space="0"/>
          <w:left w:val="none" w:color="auto" w:sz="0" w:space="0"/>
          <w:bottom w:val="none" w:color="auto" w:sz="0" w:space="0"/>
          <w:right w:val="none" w:color="auto" w:sz="0" w:space="0"/>
        </w:pBdr>
        <w:spacing w:before="0" w:beforeAutospacing="0" w:after="300" w:afterAutospacing="0" w:line="600" w:lineRule="atLeast"/>
        <w:ind w:right="0" w:firstLine="560" w:firstLineChars="200"/>
        <w:jc w:val="left"/>
        <w:rPr>
          <w:rFonts w:hint="eastAsia" w:ascii="宋体" w:hAnsi="宋体" w:eastAsia="宋体" w:cs="宋体"/>
          <w:sz w:val="28"/>
          <w:szCs w:val="28"/>
        </w:rPr>
      </w:pPr>
      <w:r>
        <w:rPr>
          <w:rFonts w:hint="eastAsia" w:ascii="宋体" w:hAnsi="宋体" w:eastAsia="宋体" w:cs="宋体"/>
          <w:color w:val="444444"/>
          <w:kern w:val="0"/>
          <w:sz w:val="28"/>
          <w:szCs w:val="28"/>
          <w:shd w:val="clear" w:color="050000" w:fill="FFFFFF"/>
        </w:rPr>
        <w:t>五、综合评价情况及评价结论</w:t>
      </w:r>
    </w:p>
    <w:p>
      <w:pPr>
        <w:pStyle w:val="4"/>
        <w:widowControl/>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firstLine="560" w:firstLineChars="200"/>
        <w:jc w:val="left"/>
        <w:rPr>
          <w:rFonts w:hint="eastAsia" w:ascii="宋体" w:hAnsi="宋体" w:eastAsia="宋体" w:cs="宋体"/>
          <w:sz w:val="28"/>
          <w:szCs w:val="28"/>
        </w:rPr>
      </w:pPr>
      <w:r>
        <w:rPr>
          <w:rFonts w:hint="eastAsia" w:ascii="宋体" w:hAnsi="宋体" w:eastAsia="宋体" w:cs="宋体"/>
          <w:color w:val="444444"/>
          <w:kern w:val="0"/>
          <w:sz w:val="28"/>
          <w:szCs w:val="28"/>
          <w:shd w:val="clear" w:color="050000" w:fill="FFFFFF"/>
        </w:rPr>
        <w:t>2021年我</w:t>
      </w:r>
      <w:r>
        <w:rPr>
          <w:rFonts w:hint="eastAsia" w:ascii="宋体" w:hAnsi="宋体" w:cs="宋体"/>
          <w:color w:val="444444"/>
          <w:kern w:val="0"/>
          <w:sz w:val="28"/>
          <w:szCs w:val="28"/>
          <w:shd w:val="clear" w:color="050000" w:fill="FFFFFF"/>
          <w:lang w:eastAsia="zh-CN"/>
        </w:rPr>
        <w:t>单位</w:t>
      </w:r>
      <w:r>
        <w:rPr>
          <w:rFonts w:hint="eastAsia" w:ascii="宋体" w:hAnsi="宋体" w:eastAsia="宋体" w:cs="宋体"/>
          <w:color w:val="444444"/>
          <w:kern w:val="0"/>
          <w:sz w:val="28"/>
          <w:szCs w:val="28"/>
          <w:shd w:val="clear" w:color="050000" w:fill="FFFFFF"/>
        </w:rPr>
        <w:t>经费开支严格按预算执行，管理制度健全，会计基础规范，资金使用符合国家财经法规和财务管理制度规定。严格实行收支两条线，无截留、挤占、挪用、虚列支出、随意借用、大额现金支付等情况，重大财务事项经由集体研究决策。按要求执行政府采购，严控支出，开源节流，一般性支出和“三公经费”均按要求压减，预决算信息公开及时完善。资产管理安全，固定资产利用率、重点工作完成率等均达到或超过年初计划数，取得了较好的社会效益。根据《部门整体支出绩效评价指标评分表》评分体系，我</w:t>
      </w:r>
      <w:r>
        <w:rPr>
          <w:rFonts w:hint="eastAsia" w:ascii="宋体" w:hAnsi="宋体" w:cs="宋体"/>
          <w:color w:val="444444"/>
          <w:kern w:val="0"/>
          <w:sz w:val="28"/>
          <w:szCs w:val="28"/>
          <w:shd w:val="clear" w:color="050000" w:fill="FFFFFF"/>
          <w:lang w:eastAsia="zh-CN"/>
        </w:rPr>
        <w:t>单位</w:t>
      </w:r>
      <w:r>
        <w:rPr>
          <w:rFonts w:hint="eastAsia" w:ascii="宋体" w:hAnsi="宋体" w:eastAsia="宋体" w:cs="宋体"/>
          <w:color w:val="444444"/>
          <w:kern w:val="0"/>
          <w:sz w:val="28"/>
          <w:szCs w:val="28"/>
          <w:shd w:val="clear" w:color="050000" w:fill="FFFFFF"/>
        </w:rPr>
        <w:t>整体支出绩效自评</w:t>
      </w:r>
      <w:r>
        <w:rPr>
          <w:rFonts w:hint="eastAsia" w:ascii="宋体" w:hAnsi="宋体" w:cs="宋体"/>
          <w:color w:val="444444"/>
          <w:kern w:val="0"/>
          <w:sz w:val="28"/>
          <w:szCs w:val="28"/>
          <w:shd w:val="clear" w:color="050000" w:fill="FFFFFF"/>
          <w:lang w:val="en-US" w:eastAsia="zh-CN"/>
        </w:rPr>
        <w:t>90</w:t>
      </w:r>
      <w:r>
        <w:rPr>
          <w:rFonts w:hint="eastAsia" w:ascii="宋体" w:hAnsi="宋体" w:eastAsia="宋体" w:cs="宋体"/>
          <w:color w:val="444444"/>
          <w:kern w:val="0"/>
          <w:sz w:val="28"/>
          <w:szCs w:val="28"/>
          <w:shd w:val="clear" w:color="050000" w:fill="FFFFFF"/>
        </w:rPr>
        <w:t>分，自评</w:t>
      </w:r>
      <w:r>
        <w:rPr>
          <w:rFonts w:hint="eastAsia" w:ascii="宋体" w:hAnsi="宋体" w:eastAsia="宋体" w:cs="宋体"/>
          <w:color w:val="444444"/>
          <w:kern w:val="0"/>
          <w:sz w:val="28"/>
          <w:szCs w:val="28"/>
          <w:shd w:val="clear" w:color="050000" w:fill="FFFFFF"/>
          <w:lang w:eastAsia="zh-CN"/>
        </w:rPr>
        <w:t>结果为</w:t>
      </w:r>
      <w:r>
        <w:rPr>
          <w:rFonts w:hint="eastAsia" w:ascii="宋体" w:hAnsi="宋体" w:eastAsia="宋体" w:cs="宋体"/>
          <w:color w:val="444444"/>
          <w:kern w:val="0"/>
          <w:sz w:val="28"/>
          <w:szCs w:val="28"/>
          <w:shd w:val="clear" w:color="050000" w:fill="FFFFFF"/>
          <w:lang w:val="en-US" w:eastAsia="zh-CN"/>
        </w:rPr>
        <w:t>良好</w:t>
      </w:r>
      <w:r>
        <w:rPr>
          <w:rFonts w:hint="eastAsia" w:ascii="宋体" w:hAnsi="宋体" w:eastAsia="宋体" w:cs="宋体"/>
          <w:color w:val="444444"/>
          <w:kern w:val="0"/>
          <w:sz w:val="28"/>
          <w:szCs w:val="28"/>
          <w:shd w:val="clear" w:color="050000" w:fill="FFFFFF"/>
        </w:rPr>
        <w:t>。</w:t>
      </w:r>
    </w:p>
    <w:p>
      <w:pPr>
        <w:pStyle w:val="4"/>
        <w:widowControl/>
        <w:numPr>
          <w:ilvl w:val="0"/>
          <w:numId w:val="5"/>
        </w:numPr>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jc w:val="left"/>
        <w:rPr>
          <w:rFonts w:hint="eastAsia" w:ascii="宋体" w:hAnsi="宋体" w:eastAsia="宋体" w:cs="宋体"/>
          <w:color w:val="444444"/>
          <w:kern w:val="0"/>
          <w:sz w:val="28"/>
          <w:szCs w:val="28"/>
          <w:shd w:val="clear" w:color="050000" w:fill="FFFFFF"/>
        </w:rPr>
      </w:pPr>
      <w:r>
        <w:rPr>
          <w:rFonts w:hint="eastAsia" w:ascii="宋体" w:hAnsi="宋体" w:eastAsia="宋体" w:cs="宋体"/>
          <w:color w:val="444444"/>
          <w:kern w:val="0"/>
          <w:sz w:val="28"/>
          <w:szCs w:val="28"/>
          <w:shd w:val="clear" w:color="050000" w:fill="FFFFFF"/>
        </w:rPr>
        <w:t>存在的问题及原因分析</w:t>
      </w:r>
    </w:p>
    <w:p>
      <w:pPr>
        <w:pStyle w:val="4"/>
        <w:widowControl/>
        <w:numPr>
          <w:ilvl w:val="0"/>
          <w:numId w:val="0"/>
        </w:numPr>
        <w:pBdr>
          <w:top w:val="none" w:color="auto" w:sz="0" w:space="0"/>
          <w:left w:val="none" w:color="auto" w:sz="0" w:space="0"/>
          <w:bottom w:val="none" w:color="auto" w:sz="0" w:space="0"/>
          <w:right w:val="none" w:color="auto" w:sz="0" w:space="0"/>
        </w:pBdr>
        <w:spacing w:before="0" w:beforeAutospacing="0" w:after="300" w:afterAutospacing="0" w:line="600" w:lineRule="atLeast"/>
        <w:ind w:right="0" w:firstLine="560" w:firstLineChars="200"/>
        <w:jc w:val="left"/>
        <w:rPr>
          <w:rFonts w:hint="eastAsia" w:ascii="宋体" w:hAnsi="宋体" w:eastAsia="宋体" w:cs="宋体"/>
          <w:color w:val="444444"/>
          <w:kern w:val="0"/>
          <w:sz w:val="28"/>
          <w:szCs w:val="28"/>
          <w:shd w:val="clear" w:color="050000" w:fill="FFFFFF"/>
        </w:rPr>
      </w:pPr>
      <w:r>
        <w:rPr>
          <w:rFonts w:hint="eastAsia" w:ascii="宋体" w:hAnsi="宋体" w:eastAsia="宋体" w:cs="宋体"/>
          <w:color w:val="444444"/>
          <w:kern w:val="0"/>
          <w:sz w:val="28"/>
          <w:szCs w:val="28"/>
          <w:shd w:val="clear" w:color="050000" w:fill="FFFFFF"/>
        </w:rPr>
        <w:t>一是部门预算编制不够严谨，年中追加比例过大。二是预算执行存在偏差。从预算收支情况看，年初预算与部门决算仍存在偏差，在预算执行过程中，部分预算资金支付滞后，预算下达需更加及时。</w:t>
      </w:r>
    </w:p>
    <w:p>
      <w:pPr>
        <w:pStyle w:val="4"/>
        <w:widowControl/>
        <w:numPr>
          <w:ilvl w:val="0"/>
          <w:numId w:val="5"/>
        </w:numPr>
        <w:pBdr>
          <w:top w:val="none" w:color="auto" w:sz="0" w:space="0"/>
          <w:left w:val="none" w:color="auto" w:sz="0" w:space="0"/>
          <w:bottom w:val="none" w:color="auto" w:sz="0" w:space="0"/>
          <w:right w:val="none" w:color="auto" w:sz="0" w:space="0"/>
        </w:pBdr>
        <w:spacing w:before="0" w:beforeAutospacing="0" w:after="300" w:afterAutospacing="0" w:line="600" w:lineRule="atLeast"/>
        <w:ind w:left="0" w:leftChars="0" w:right="0" w:firstLine="0" w:firstLineChars="0"/>
        <w:jc w:val="left"/>
        <w:rPr>
          <w:rFonts w:hint="eastAsia" w:ascii="宋体" w:hAnsi="宋体" w:eastAsia="宋体" w:cs="宋体"/>
          <w:color w:val="444444"/>
          <w:kern w:val="0"/>
          <w:sz w:val="28"/>
          <w:szCs w:val="28"/>
          <w:shd w:val="clear" w:color="050000" w:fill="FFFFFF"/>
        </w:rPr>
      </w:pPr>
      <w:r>
        <w:rPr>
          <w:rFonts w:hint="eastAsia" w:ascii="宋体" w:hAnsi="宋体" w:eastAsia="宋体" w:cs="宋体"/>
          <w:color w:val="444444"/>
          <w:kern w:val="0"/>
          <w:sz w:val="28"/>
          <w:szCs w:val="28"/>
          <w:shd w:val="clear" w:color="050000" w:fill="FFFFFF"/>
        </w:rPr>
        <w:t>下一步改进措施</w:t>
      </w:r>
    </w:p>
    <w:p>
      <w:pPr>
        <w:pStyle w:val="4"/>
        <w:widowControl/>
        <w:numPr>
          <w:ilvl w:val="0"/>
          <w:numId w:val="0"/>
        </w:numPr>
        <w:pBdr>
          <w:top w:val="none" w:color="auto" w:sz="0" w:space="0"/>
          <w:left w:val="none" w:color="auto" w:sz="0" w:space="0"/>
          <w:bottom w:val="none" w:color="auto" w:sz="0" w:space="0"/>
          <w:right w:val="none" w:color="auto" w:sz="0" w:space="0"/>
        </w:pBdr>
        <w:spacing w:before="0" w:beforeAutospacing="0" w:after="300" w:afterAutospacing="0" w:line="600" w:lineRule="atLeast"/>
        <w:ind w:right="0"/>
        <w:jc w:val="left"/>
        <w:rPr>
          <w:rFonts w:hint="eastAsia" w:ascii="宋体" w:hAnsi="宋体" w:eastAsia="宋体" w:cs="宋体"/>
          <w:color w:val="444444"/>
          <w:kern w:val="0"/>
          <w:sz w:val="28"/>
          <w:szCs w:val="28"/>
          <w:shd w:val="clear" w:color="050000" w:fill="FFFFFF"/>
        </w:rPr>
      </w:pPr>
      <w:bookmarkStart w:id="0" w:name="RANGE!A1:H22"/>
      <w:r>
        <w:rPr>
          <w:rFonts w:hint="eastAsia" w:ascii="宋体" w:hAnsi="宋体" w:eastAsia="宋体" w:cs="宋体"/>
          <w:color w:val="444444"/>
          <w:kern w:val="0"/>
          <w:sz w:val="28"/>
          <w:szCs w:val="28"/>
          <w:shd w:val="clear" w:color="050000" w:fill="FFFFFF"/>
        </w:rPr>
        <w:t>　</w:t>
      </w:r>
      <w:r>
        <w:rPr>
          <w:rFonts w:hint="eastAsia" w:ascii="宋体" w:hAnsi="宋体" w:cs="宋体"/>
          <w:color w:val="444444"/>
          <w:kern w:val="0"/>
          <w:sz w:val="28"/>
          <w:szCs w:val="28"/>
          <w:shd w:val="clear" w:color="050000" w:fill="FFFFFF"/>
          <w:lang w:val="en-US" w:eastAsia="zh-CN"/>
        </w:rPr>
        <w:t xml:space="preserve">  </w:t>
      </w:r>
      <w:r>
        <w:rPr>
          <w:rFonts w:hint="eastAsia" w:ascii="宋体" w:hAnsi="宋体" w:eastAsia="宋体" w:cs="宋体"/>
          <w:color w:val="444444"/>
          <w:kern w:val="0"/>
          <w:sz w:val="28"/>
          <w:szCs w:val="28"/>
          <w:shd w:val="clear" w:color="050000" w:fill="FFFFFF"/>
        </w:rPr>
        <w:t>1、细化预算编制工作，认真做好年初预算编制。进一步加强单位预算管理意识，严格按照预算编制的相关要求进行编制。</w:t>
      </w:r>
    </w:p>
    <w:p>
      <w:pPr>
        <w:pStyle w:val="4"/>
        <w:widowControl/>
        <w:numPr>
          <w:ilvl w:val="0"/>
          <w:numId w:val="0"/>
        </w:numPr>
        <w:pBdr>
          <w:top w:val="none" w:color="auto" w:sz="0" w:space="0"/>
          <w:left w:val="none" w:color="auto" w:sz="0" w:space="0"/>
          <w:bottom w:val="none" w:color="auto" w:sz="0" w:space="0"/>
          <w:right w:val="none" w:color="auto" w:sz="0" w:space="0"/>
        </w:pBdr>
        <w:spacing w:before="0" w:beforeAutospacing="0" w:after="300" w:afterAutospacing="0" w:line="600" w:lineRule="atLeast"/>
        <w:ind w:right="0"/>
        <w:jc w:val="left"/>
        <w:rPr>
          <w:rFonts w:hint="eastAsia" w:ascii="宋体" w:hAnsi="宋体" w:eastAsia="宋体" w:cs="宋体"/>
          <w:color w:val="444444"/>
          <w:kern w:val="0"/>
          <w:sz w:val="28"/>
          <w:szCs w:val="28"/>
          <w:shd w:val="clear" w:color="050000" w:fill="FFFFFF"/>
        </w:rPr>
      </w:pPr>
      <w:r>
        <w:rPr>
          <w:rFonts w:hint="eastAsia" w:ascii="宋体" w:hAnsi="宋体" w:eastAsia="宋体" w:cs="宋体"/>
          <w:color w:val="444444"/>
          <w:kern w:val="0"/>
          <w:sz w:val="28"/>
          <w:szCs w:val="28"/>
          <w:shd w:val="clear" w:color="050000" w:fill="FFFFFF"/>
        </w:rPr>
        <w:t>　　2、加强财务管理，严格财务审核。加强单位财务管理，健全单位财务管理制度体系，规范单位财务行为。在费用报销时，按照预算规定的项目和用途进行资金使用审核、支付及财务核算，预防超支现象的发生。</w:t>
      </w:r>
    </w:p>
    <w:p>
      <w:pPr>
        <w:pStyle w:val="4"/>
        <w:widowControl/>
        <w:numPr>
          <w:ilvl w:val="0"/>
          <w:numId w:val="0"/>
        </w:numPr>
        <w:pBdr>
          <w:top w:val="none" w:color="auto" w:sz="0" w:space="0"/>
          <w:left w:val="none" w:color="auto" w:sz="0" w:space="0"/>
          <w:bottom w:val="none" w:color="auto" w:sz="0" w:space="0"/>
          <w:right w:val="none" w:color="auto" w:sz="0" w:space="0"/>
        </w:pBdr>
        <w:spacing w:before="0" w:beforeAutospacing="0" w:after="300" w:afterAutospacing="0" w:line="600" w:lineRule="atLeast"/>
        <w:ind w:right="0"/>
        <w:jc w:val="left"/>
        <w:rPr>
          <w:rFonts w:hint="eastAsia" w:ascii="宋体" w:hAnsi="宋体" w:eastAsia="宋体" w:cs="宋体"/>
          <w:color w:val="444444"/>
          <w:kern w:val="0"/>
          <w:sz w:val="28"/>
          <w:szCs w:val="28"/>
          <w:shd w:val="clear" w:color="050000" w:fill="FFFFFF"/>
        </w:rPr>
      </w:pPr>
      <w:r>
        <w:rPr>
          <w:rFonts w:hint="eastAsia" w:ascii="宋体" w:hAnsi="宋体" w:eastAsia="宋体" w:cs="宋体"/>
          <w:color w:val="444444"/>
          <w:kern w:val="0"/>
          <w:sz w:val="28"/>
          <w:szCs w:val="28"/>
          <w:shd w:val="clear" w:color="050000" w:fill="FFFFFF"/>
        </w:rPr>
        <w:t>　　3、加强对相关人员培训，特别是针对《预算法》、《政府会计制度》等方面学习培训，规范部门预算收支核算，切实提高部门预算收支管理水平。</w:t>
      </w:r>
    </w:p>
    <w:p>
      <w:pPr>
        <w:spacing w:line="600" w:lineRule="exact"/>
        <w:rPr>
          <w:rFonts w:hint="eastAsia" w:ascii="宋体" w:hAnsi="宋体" w:eastAsia="宋体" w:cs="宋体"/>
          <w:kern w:val="0"/>
          <w:sz w:val="28"/>
          <w:szCs w:val="28"/>
        </w:rPr>
      </w:pPr>
    </w:p>
    <w:p>
      <w:pPr>
        <w:spacing w:line="600" w:lineRule="exact"/>
        <w:rPr>
          <w:rFonts w:hint="eastAsia" w:ascii="宋体" w:hAnsi="宋体" w:eastAsia="宋体" w:cs="宋体"/>
          <w:kern w:val="0"/>
          <w:sz w:val="28"/>
          <w:szCs w:val="28"/>
        </w:rPr>
      </w:pPr>
    </w:p>
    <w:p>
      <w:pPr>
        <w:spacing w:line="600" w:lineRule="exact"/>
        <w:rPr>
          <w:rFonts w:hint="eastAsia" w:ascii="黑体" w:hAnsi="宋体" w:eastAsia="黑体" w:cs="宋体"/>
          <w:kern w:val="0"/>
          <w:sz w:val="32"/>
          <w:szCs w:val="32"/>
        </w:rPr>
      </w:pPr>
    </w:p>
    <w:p>
      <w:pPr>
        <w:spacing w:line="600" w:lineRule="exact"/>
        <w:rPr>
          <w:rFonts w:ascii="宋体" w:hAnsi="宋体" w:cs="宋体"/>
          <w:kern w:val="0"/>
          <w:sz w:val="32"/>
          <w:szCs w:val="32"/>
        </w:rPr>
      </w:pPr>
      <w:r>
        <w:rPr>
          <w:rFonts w:hint="eastAsia" w:ascii="黑体" w:hAnsi="宋体" w:eastAsia="黑体" w:cs="宋体"/>
          <w:kern w:val="0"/>
          <w:sz w:val="32"/>
          <w:szCs w:val="32"/>
        </w:rPr>
        <w:t>附件</w:t>
      </w:r>
      <w:bookmarkEnd w:id="0"/>
      <w:r>
        <w:rPr>
          <w:rFonts w:hint="eastAsia" w:ascii="黑体" w:hAnsi="宋体" w:eastAsia="黑体" w:cs="宋体"/>
          <w:kern w:val="0"/>
          <w:sz w:val="32"/>
          <w:szCs w:val="32"/>
        </w:rPr>
        <w:t>1</w:t>
      </w:r>
      <w:r>
        <w:rPr>
          <w:rFonts w:ascii="黑体" w:hAnsi="宋体" w:eastAsia="黑体" w:cs="宋体"/>
          <w:kern w:val="0"/>
          <w:sz w:val="32"/>
          <w:szCs w:val="32"/>
        </w:rPr>
        <w:tab/>
      </w:r>
      <w:r>
        <w:rPr>
          <w:rFonts w:ascii="宋体" w:hAnsi="宋体" w:cs="宋体"/>
          <w:kern w:val="0"/>
          <w:sz w:val="32"/>
          <w:szCs w:val="32"/>
        </w:rPr>
        <w:tab/>
      </w:r>
      <w:r>
        <w:rPr>
          <w:rFonts w:ascii="宋体" w:hAnsi="宋体" w:cs="宋体"/>
          <w:kern w:val="0"/>
          <w:sz w:val="32"/>
          <w:szCs w:val="32"/>
        </w:rPr>
        <w:tab/>
      </w:r>
      <w:r>
        <w:rPr>
          <w:rFonts w:ascii="宋体" w:hAnsi="宋体" w:cs="宋体"/>
          <w:kern w:val="0"/>
          <w:sz w:val="32"/>
          <w:szCs w:val="32"/>
        </w:rPr>
        <w:tab/>
      </w:r>
      <w:r>
        <w:rPr>
          <w:rFonts w:ascii="宋体" w:hAnsi="宋体" w:cs="宋体"/>
          <w:kern w:val="0"/>
          <w:sz w:val="32"/>
          <w:szCs w:val="32"/>
        </w:rPr>
        <w:tab/>
      </w:r>
      <w:r>
        <w:rPr>
          <w:rFonts w:ascii="宋体" w:hAnsi="宋体" w:cs="宋体"/>
          <w:kern w:val="0"/>
          <w:sz w:val="32"/>
          <w:szCs w:val="32"/>
        </w:rPr>
        <w:tab/>
      </w:r>
      <w:r>
        <w:rPr>
          <w:rFonts w:ascii="宋体" w:hAnsi="宋体" w:cs="宋体"/>
          <w:kern w:val="0"/>
          <w:sz w:val="32"/>
          <w:szCs w:val="32"/>
        </w:rPr>
        <w:tab/>
      </w:r>
    </w:p>
    <w:p>
      <w:pPr>
        <w:widowControl/>
        <w:ind w:left="93"/>
        <w:jc w:val="center"/>
        <w:rPr>
          <w:rFonts w:hint="eastAsia" w:ascii="宋体" w:hAnsi="宋体" w:cs="宋体"/>
          <w:bCs/>
          <w:kern w:val="0"/>
          <w:sz w:val="32"/>
          <w:szCs w:val="32"/>
        </w:rPr>
      </w:pPr>
      <w:r>
        <w:rPr>
          <w:rFonts w:hint="eastAsia" w:ascii="宋体" w:hAnsi="宋体" w:cs="宋体"/>
          <w:bCs/>
          <w:kern w:val="0"/>
          <w:sz w:val="32"/>
          <w:szCs w:val="32"/>
        </w:rPr>
        <w:t>部门整体支出绩效评价指标评分表</w:t>
      </w:r>
    </w:p>
    <w:tbl>
      <w:tblPr>
        <w:tblStyle w:val="5"/>
        <w:tblW w:w="1003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11"/>
        <w:gridCol w:w="429"/>
        <w:gridCol w:w="567"/>
        <w:gridCol w:w="851"/>
        <w:gridCol w:w="567"/>
        <w:gridCol w:w="3118"/>
        <w:gridCol w:w="3472"/>
        <w:gridCol w:w="6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7" w:hRule="atLeast"/>
          <w:tblHeader/>
          <w:jc w:val="center"/>
        </w:trPr>
        <w:tc>
          <w:tcPr>
            <w:tcW w:w="411" w:type="dxa"/>
            <w:vAlign w:val="center"/>
          </w:tcPr>
          <w:p>
            <w:pPr>
              <w:widowControl/>
              <w:jc w:val="center"/>
              <w:rPr>
                <w:rFonts w:hint="eastAsia" w:ascii="宋体" w:hAnsi="宋体" w:cs="宋体"/>
                <w:b/>
                <w:bCs/>
                <w:kern w:val="0"/>
                <w:sz w:val="20"/>
                <w:szCs w:val="20"/>
              </w:rPr>
            </w:pPr>
            <w:r>
              <w:rPr>
                <w:rFonts w:hint="eastAsia" w:ascii="宋体" w:hAnsi="宋体" w:cs="宋体"/>
                <w:b/>
                <w:bCs/>
                <w:kern w:val="0"/>
                <w:sz w:val="20"/>
                <w:szCs w:val="20"/>
              </w:rPr>
              <w:t>一级指标</w:t>
            </w:r>
          </w:p>
        </w:tc>
        <w:tc>
          <w:tcPr>
            <w:tcW w:w="429" w:type="dxa"/>
            <w:vAlign w:val="center"/>
          </w:tcPr>
          <w:p>
            <w:pPr>
              <w:widowControl/>
              <w:jc w:val="center"/>
              <w:rPr>
                <w:rFonts w:hint="eastAsia" w:ascii="宋体" w:hAnsi="宋体" w:cs="宋体"/>
                <w:b/>
                <w:bCs/>
                <w:kern w:val="0"/>
                <w:sz w:val="20"/>
                <w:szCs w:val="20"/>
              </w:rPr>
            </w:pPr>
            <w:r>
              <w:rPr>
                <w:rFonts w:hint="eastAsia" w:ascii="宋体" w:hAnsi="宋体" w:cs="宋体"/>
                <w:b/>
                <w:bCs/>
                <w:kern w:val="0"/>
                <w:sz w:val="20"/>
                <w:szCs w:val="20"/>
              </w:rPr>
              <w:t>二级指标</w:t>
            </w:r>
          </w:p>
        </w:tc>
        <w:tc>
          <w:tcPr>
            <w:tcW w:w="567" w:type="dxa"/>
            <w:vAlign w:val="center"/>
          </w:tcPr>
          <w:p>
            <w:pPr>
              <w:widowControl/>
              <w:jc w:val="center"/>
              <w:rPr>
                <w:rFonts w:hint="eastAsia" w:ascii="宋体" w:hAnsi="宋体" w:cs="宋体"/>
                <w:b/>
                <w:bCs/>
                <w:kern w:val="0"/>
                <w:sz w:val="20"/>
                <w:szCs w:val="20"/>
              </w:rPr>
            </w:pPr>
            <w:r>
              <w:rPr>
                <w:rFonts w:hint="eastAsia" w:ascii="宋体" w:hAnsi="宋体" w:cs="宋体"/>
                <w:b/>
                <w:bCs/>
                <w:kern w:val="0"/>
                <w:sz w:val="20"/>
                <w:szCs w:val="20"/>
              </w:rPr>
              <w:t>分值</w:t>
            </w:r>
          </w:p>
        </w:tc>
        <w:tc>
          <w:tcPr>
            <w:tcW w:w="851" w:type="dxa"/>
            <w:vAlign w:val="center"/>
          </w:tcPr>
          <w:p>
            <w:pPr>
              <w:widowControl/>
              <w:jc w:val="center"/>
              <w:rPr>
                <w:rFonts w:hint="eastAsia" w:ascii="宋体" w:hAnsi="宋体" w:cs="宋体"/>
                <w:b/>
                <w:bCs/>
                <w:kern w:val="0"/>
                <w:sz w:val="20"/>
                <w:szCs w:val="20"/>
              </w:rPr>
            </w:pPr>
            <w:r>
              <w:rPr>
                <w:rFonts w:hint="eastAsia" w:ascii="宋体" w:hAnsi="宋体" w:cs="宋体"/>
                <w:b/>
                <w:bCs/>
                <w:kern w:val="0"/>
                <w:sz w:val="20"/>
                <w:szCs w:val="20"/>
              </w:rPr>
              <w:t>三级   指标</w:t>
            </w:r>
          </w:p>
        </w:tc>
        <w:tc>
          <w:tcPr>
            <w:tcW w:w="567" w:type="dxa"/>
            <w:vAlign w:val="center"/>
          </w:tcPr>
          <w:p>
            <w:pPr>
              <w:widowControl/>
              <w:jc w:val="center"/>
              <w:rPr>
                <w:rFonts w:hint="eastAsia" w:ascii="宋体" w:hAnsi="宋体" w:cs="宋体"/>
                <w:b/>
                <w:bCs/>
                <w:kern w:val="0"/>
                <w:sz w:val="20"/>
                <w:szCs w:val="20"/>
              </w:rPr>
            </w:pPr>
            <w:r>
              <w:rPr>
                <w:rFonts w:hint="eastAsia" w:ascii="宋体" w:hAnsi="宋体" w:cs="宋体"/>
                <w:b/>
                <w:bCs/>
                <w:kern w:val="0"/>
                <w:sz w:val="20"/>
                <w:szCs w:val="20"/>
              </w:rPr>
              <w:t>分值</w:t>
            </w:r>
          </w:p>
        </w:tc>
        <w:tc>
          <w:tcPr>
            <w:tcW w:w="3118" w:type="dxa"/>
            <w:vAlign w:val="center"/>
          </w:tcPr>
          <w:p>
            <w:pPr>
              <w:widowControl/>
              <w:jc w:val="center"/>
              <w:rPr>
                <w:rFonts w:hint="eastAsia" w:ascii="宋体" w:hAnsi="宋体" w:cs="宋体"/>
                <w:b/>
                <w:bCs/>
                <w:kern w:val="0"/>
                <w:sz w:val="20"/>
                <w:szCs w:val="20"/>
              </w:rPr>
            </w:pPr>
            <w:r>
              <w:rPr>
                <w:rFonts w:hint="eastAsia" w:ascii="宋体" w:hAnsi="宋体" w:cs="宋体"/>
                <w:b/>
                <w:bCs/>
                <w:kern w:val="0"/>
                <w:sz w:val="20"/>
                <w:szCs w:val="20"/>
              </w:rPr>
              <w:t>评价标准</w:t>
            </w:r>
          </w:p>
        </w:tc>
        <w:tc>
          <w:tcPr>
            <w:tcW w:w="3472" w:type="dxa"/>
            <w:vAlign w:val="center"/>
          </w:tcPr>
          <w:p>
            <w:pPr>
              <w:widowControl/>
              <w:jc w:val="center"/>
              <w:rPr>
                <w:rFonts w:hint="eastAsia" w:ascii="宋体" w:hAnsi="宋体" w:cs="宋体"/>
                <w:b/>
                <w:bCs/>
                <w:kern w:val="0"/>
                <w:sz w:val="20"/>
                <w:szCs w:val="20"/>
              </w:rPr>
            </w:pPr>
            <w:r>
              <w:rPr>
                <w:rFonts w:hint="eastAsia" w:ascii="宋体" w:hAnsi="宋体" w:cs="宋体"/>
                <w:b/>
                <w:bCs/>
                <w:kern w:val="0"/>
                <w:sz w:val="20"/>
                <w:szCs w:val="20"/>
              </w:rPr>
              <w:t>备注</w:t>
            </w:r>
          </w:p>
        </w:tc>
        <w:tc>
          <w:tcPr>
            <w:tcW w:w="617" w:type="dxa"/>
            <w:vAlign w:val="center"/>
          </w:tcPr>
          <w:p>
            <w:pPr>
              <w:widowControl/>
              <w:jc w:val="center"/>
              <w:rPr>
                <w:rFonts w:hint="eastAsia" w:ascii="宋体" w:hAnsi="宋体" w:eastAsia="宋体" w:cs="宋体"/>
                <w:b/>
                <w:bCs/>
                <w:kern w:val="0"/>
                <w:sz w:val="24"/>
                <w:szCs w:val="24"/>
              </w:rPr>
            </w:pPr>
            <w:r>
              <w:rPr>
                <w:rFonts w:hint="eastAsia" w:ascii="宋体" w:hAnsi="宋体" w:cs="宋体"/>
                <w:b/>
                <w:bCs/>
                <w:kern w:val="0"/>
                <w:sz w:val="20"/>
                <w:szCs w:val="20"/>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82" w:hRule="atLeast"/>
          <w:jc w:val="center"/>
        </w:trPr>
        <w:tc>
          <w:tcPr>
            <w:tcW w:w="411" w:type="dxa"/>
            <w:vMerge w:val="restart"/>
            <w:textDirection w:val="tbRlV"/>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投    入</w:t>
            </w:r>
          </w:p>
        </w:tc>
        <w:tc>
          <w:tcPr>
            <w:tcW w:w="429" w:type="dxa"/>
            <w:vMerge w:val="restart"/>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预算配置</w:t>
            </w:r>
          </w:p>
        </w:tc>
        <w:tc>
          <w:tcPr>
            <w:tcW w:w="567" w:type="dxa"/>
            <w:vMerge w:val="restart"/>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18</w:t>
            </w:r>
          </w:p>
        </w:tc>
        <w:tc>
          <w:tcPr>
            <w:tcW w:w="851" w:type="dxa"/>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“三公经费”</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变动率</w:t>
            </w:r>
          </w:p>
        </w:tc>
        <w:tc>
          <w:tcPr>
            <w:tcW w:w="567" w:type="dxa"/>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3</w:t>
            </w:r>
          </w:p>
        </w:tc>
        <w:tc>
          <w:tcPr>
            <w:tcW w:w="3118" w:type="dxa"/>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“三公经费”变动率</w:t>
            </w:r>
            <w:r>
              <w:rPr>
                <w:rFonts w:hint="eastAsia" w:ascii="仿宋_GB2312" w:hAnsi="Arial" w:eastAsia="仿宋_GB2312" w:cs="Arial"/>
                <w:kern w:val="0"/>
                <w:sz w:val="20"/>
                <w:szCs w:val="20"/>
              </w:rPr>
              <w:t>≤</w:t>
            </w:r>
            <w:r>
              <w:rPr>
                <w:rFonts w:hint="eastAsia" w:ascii="仿宋_GB2312" w:hAnsi="宋体" w:eastAsia="仿宋_GB2312" w:cs="宋体"/>
                <w:kern w:val="0"/>
                <w:sz w:val="20"/>
                <w:szCs w:val="20"/>
              </w:rPr>
              <w:t>0,计3分；“三公经费”＞0，每超过一个百分点扣0.3分，扣完为止。</w:t>
            </w:r>
          </w:p>
        </w:tc>
        <w:tc>
          <w:tcPr>
            <w:tcW w:w="3472" w:type="dxa"/>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“三公经费”变动率=[（本年度“三公经费”总额-上年度“三公经费”总额）/上年度“三公经费”总额]×100%。</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“三公经费”：指政府部门人员因公出国（境）经费、公务车购置及运行费、公务招待费产生的消费。</w:t>
            </w:r>
          </w:p>
        </w:tc>
        <w:tc>
          <w:tcPr>
            <w:tcW w:w="617" w:type="dxa"/>
            <w:vAlign w:val="cente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0" w:hRule="atLeast"/>
          <w:jc w:val="center"/>
        </w:trPr>
        <w:tc>
          <w:tcPr>
            <w:tcW w:w="411" w:type="dxa"/>
            <w:vMerge w:val="continue"/>
            <w:vAlign w:val="center"/>
          </w:tcPr>
          <w:p>
            <w:pPr>
              <w:widowControl/>
              <w:jc w:val="center"/>
              <w:rPr>
                <w:rFonts w:hint="eastAsia" w:ascii="仿宋_GB2312" w:hAnsi="宋体" w:eastAsia="仿宋_GB2312" w:cs="宋体"/>
                <w:kern w:val="0"/>
                <w:sz w:val="20"/>
                <w:szCs w:val="20"/>
              </w:rPr>
            </w:pPr>
          </w:p>
        </w:tc>
        <w:tc>
          <w:tcPr>
            <w:tcW w:w="429" w:type="dxa"/>
            <w:vMerge w:val="continue"/>
            <w:vAlign w:val="center"/>
          </w:tcPr>
          <w:p>
            <w:pPr>
              <w:widowControl/>
              <w:jc w:val="center"/>
              <w:rPr>
                <w:rFonts w:hint="eastAsia" w:ascii="仿宋_GB2312" w:hAnsi="宋体" w:eastAsia="仿宋_GB2312" w:cs="宋体"/>
                <w:kern w:val="0"/>
                <w:sz w:val="20"/>
                <w:szCs w:val="20"/>
              </w:rPr>
            </w:pPr>
          </w:p>
        </w:tc>
        <w:tc>
          <w:tcPr>
            <w:tcW w:w="567" w:type="dxa"/>
            <w:vMerge w:val="continue"/>
            <w:vAlign w:val="center"/>
          </w:tcPr>
          <w:p>
            <w:pPr>
              <w:widowControl/>
              <w:jc w:val="center"/>
              <w:rPr>
                <w:rFonts w:hint="eastAsia" w:ascii="仿宋_GB2312" w:hAnsi="宋体" w:eastAsia="仿宋_GB2312" w:cs="宋体"/>
                <w:kern w:val="0"/>
                <w:sz w:val="20"/>
                <w:szCs w:val="20"/>
              </w:rPr>
            </w:pPr>
          </w:p>
        </w:tc>
        <w:tc>
          <w:tcPr>
            <w:tcW w:w="851" w:type="dxa"/>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“三公经费”   管理</w:t>
            </w:r>
          </w:p>
        </w:tc>
        <w:tc>
          <w:tcPr>
            <w:tcW w:w="567" w:type="dxa"/>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3</w:t>
            </w:r>
          </w:p>
        </w:tc>
        <w:tc>
          <w:tcPr>
            <w:tcW w:w="3118" w:type="dxa"/>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①招待费用明确招待标准和招待人数,1分;②车辆维护、燃油使用政府定点，1分。③</w:t>
            </w:r>
            <w:r>
              <w:rPr>
                <w:rFonts w:hint="eastAsia" w:ascii="仿宋_GB2312" w:hAnsi="仿宋" w:eastAsia="仿宋_GB2312" w:cs="仿宋"/>
                <w:kern w:val="0"/>
                <w:sz w:val="20"/>
                <w:szCs w:val="20"/>
              </w:rPr>
              <w:t>制定“三公经费”管理办法，1分，每少一项扣1分，扣完为止。</w:t>
            </w:r>
          </w:p>
        </w:tc>
        <w:tc>
          <w:tcPr>
            <w:tcW w:w="3472" w:type="dxa"/>
            <w:vAlign w:val="center"/>
          </w:tcPr>
          <w:p>
            <w:pPr>
              <w:widowControl/>
              <w:jc w:val="left"/>
              <w:rPr>
                <w:rFonts w:hint="eastAsia" w:ascii="仿宋_GB2312" w:hAnsi="宋体" w:eastAsia="仿宋_GB2312" w:cs="宋体"/>
                <w:kern w:val="0"/>
                <w:sz w:val="20"/>
                <w:szCs w:val="20"/>
              </w:rPr>
            </w:pPr>
          </w:p>
        </w:tc>
        <w:tc>
          <w:tcPr>
            <w:tcW w:w="617" w:type="dxa"/>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5" w:hRule="atLeast"/>
          <w:jc w:val="center"/>
        </w:trPr>
        <w:tc>
          <w:tcPr>
            <w:tcW w:w="411" w:type="dxa"/>
            <w:vMerge w:val="continue"/>
            <w:vAlign w:val="center"/>
          </w:tcPr>
          <w:p>
            <w:pPr>
              <w:widowControl/>
              <w:jc w:val="center"/>
              <w:rPr>
                <w:rFonts w:hint="eastAsia" w:ascii="仿宋_GB2312" w:hAnsi="宋体" w:eastAsia="仿宋_GB2312" w:cs="宋体"/>
                <w:kern w:val="0"/>
                <w:sz w:val="20"/>
                <w:szCs w:val="20"/>
              </w:rPr>
            </w:pPr>
          </w:p>
        </w:tc>
        <w:tc>
          <w:tcPr>
            <w:tcW w:w="429" w:type="dxa"/>
            <w:vMerge w:val="continue"/>
            <w:vAlign w:val="center"/>
          </w:tcPr>
          <w:p>
            <w:pPr>
              <w:widowControl/>
              <w:jc w:val="center"/>
              <w:rPr>
                <w:rFonts w:hint="eastAsia" w:ascii="仿宋_GB2312" w:hAnsi="宋体" w:eastAsia="仿宋_GB2312" w:cs="宋体"/>
                <w:kern w:val="0"/>
                <w:sz w:val="20"/>
                <w:szCs w:val="20"/>
              </w:rPr>
            </w:pPr>
          </w:p>
        </w:tc>
        <w:tc>
          <w:tcPr>
            <w:tcW w:w="567" w:type="dxa"/>
            <w:vMerge w:val="continue"/>
            <w:vAlign w:val="center"/>
          </w:tcPr>
          <w:p>
            <w:pPr>
              <w:widowControl/>
              <w:jc w:val="center"/>
              <w:rPr>
                <w:rFonts w:hint="eastAsia" w:ascii="仿宋_GB2312" w:hAnsi="宋体" w:eastAsia="仿宋_GB2312" w:cs="宋体"/>
                <w:kern w:val="0"/>
                <w:sz w:val="20"/>
                <w:szCs w:val="20"/>
              </w:rPr>
            </w:pPr>
          </w:p>
        </w:tc>
        <w:tc>
          <w:tcPr>
            <w:tcW w:w="851" w:type="dxa"/>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公务</w:t>
            </w:r>
          </w:p>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招待费变动率</w:t>
            </w:r>
          </w:p>
        </w:tc>
        <w:tc>
          <w:tcPr>
            <w:tcW w:w="567" w:type="dxa"/>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“公务招待费”变动率</w:t>
            </w:r>
            <w:r>
              <w:rPr>
                <w:rFonts w:hint="eastAsia" w:ascii="仿宋_GB2312" w:hAnsi="Arial" w:eastAsia="仿宋_GB2312" w:cs="Arial"/>
                <w:kern w:val="0"/>
                <w:sz w:val="20"/>
                <w:szCs w:val="20"/>
              </w:rPr>
              <w:t>≤</w:t>
            </w:r>
            <w:r>
              <w:rPr>
                <w:rFonts w:hint="eastAsia" w:ascii="仿宋_GB2312" w:hAnsi="宋体" w:eastAsia="仿宋_GB2312" w:cs="宋体"/>
                <w:kern w:val="0"/>
                <w:sz w:val="20"/>
                <w:szCs w:val="20"/>
              </w:rPr>
              <w:t>0,计2分；“公务招待费变动率”＞0，每超过一个百分点扣0.2分，扣完为止。</w:t>
            </w:r>
          </w:p>
        </w:tc>
        <w:tc>
          <w:tcPr>
            <w:tcW w:w="3472" w:type="dxa"/>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公务招待费变动率=[（本年度“公务招待费”总额-上年度“公务招待费”总额）/上年度“公务招待费”总额]×100%。</w:t>
            </w:r>
          </w:p>
        </w:tc>
        <w:tc>
          <w:tcPr>
            <w:tcW w:w="617" w:type="dxa"/>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0" w:hRule="atLeast"/>
          <w:jc w:val="center"/>
        </w:trPr>
        <w:tc>
          <w:tcPr>
            <w:tcW w:w="411" w:type="dxa"/>
            <w:vMerge w:val="continue"/>
            <w:vAlign w:val="center"/>
          </w:tcPr>
          <w:p>
            <w:pPr>
              <w:widowControl/>
              <w:jc w:val="center"/>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lang w:eastAsia="zh-CN"/>
              </w:rPr>
              <w:t>2</w:t>
            </w:r>
          </w:p>
        </w:tc>
        <w:tc>
          <w:tcPr>
            <w:tcW w:w="429" w:type="dxa"/>
            <w:vMerge w:val="continue"/>
            <w:vAlign w:val="center"/>
          </w:tcPr>
          <w:p>
            <w:pPr>
              <w:widowControl/>
              <w:jc w:val="center"/>
              <w:rPr>
                <w:rFonts w:hint="eastAsia" w:ascii="仿宋_GB2312" w:hAnsi="宋体" w:eastAsia="仿宋_GB2312" w:cs="宋体"/>
                <w:kern w:val="0"/>
                <w:sz w:val="20"/>
                <w:szCs w:val="20"/>
              </w:rPr>
            </w:pPr>
          </w:p>
        </w:tc>
        <w:tc>
          <w:tcPr>
            <w:tcW w:w="567" w:type="dxa"/>
            <w:vMerge w:val="continue"/>
            <w:vAlign w:val="center"/>
          </w:tcPr>
          <w:p>
            <w:pPr>
              <w:widowControl/>
              <w:jc w:val="center"/>
              <w:rPr>
                <w:rFonts w:hint="eastAsia" w:ascii="仿宋_GB2312" w:hAnsi="宋体" w:eastAsia="仿宋_GB2312" w:cs="宋体"/>
                <w:kern w:val="0"/>
                <w:sz w:val="20"/>
                <w:szCs w:val="20"/>
              </w:rPr>
            </w:pPr>
          </w:p>
        </w:tc>
        <w:tc>
          <w:tcPr>
            <w:tcW w:w="851" w:type="dxa"/>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公务用车购置</w:t>
            </w:r>
          </w:p>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运行费</w:t>
            </w:r>
          </w:p>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变动率</w:t>
            </w:r>
          </w:p>
        </w:tc>
        <w:tc>
          <w:tcPr>
            <w:tcW w:w="567" w:type="dxa"/>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“公务用车购置运行费”变动率</w:t>
            </w:r>
            <w:r>
              <w:rPr>
                <w:rFonts w:hint="eastAsia" w:ascii="仿宋_GB2312" w:hAnsi="Arial" w:eastAsia="仿宋_GB2312" w:cs="Arial"/>
                <w:kern w:val="0"/>
                <w:sz w:val="20"/>
                <w:szCs w:val="20"/>
              </w:rPr>
              <w:t>≤</w:t>
            </w:r>
            <w:r>
              <w:rPr>
                <w:rFonts w:hint="eastAsia" w:ascii="仿宋_GB2312" w:hAnsi="宋体" w:eastAsia="仿宋_GB2312" w:cs="宋体"/>
                <w:kern w:val="0"/>
                <w:sz w:val="20"/>
                <w:szCs w:val="20"/>
              </w:rPr>
              <w:t>0,计2分；“公务用车购置运行费变动率”＞0，每超过一个百分点扣0.2分，扣完为止。</w:t>
            </w:r>
          </w:p>
        </w:tc>
        <w:tc>
          <w:tcPr>
            <w:tcW w:w="3472" w:type="dxa"/>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公务用车购置运行费变动率=[（本年度“公务用车购置运行费”总额-上年度“公务用车购置运行费”总额）/上年度“公务用车购置运行费”总额]×100%。</w:t>
            </w:r>
          </w:p>
        </w:tc>
        <w:tc>
          <w:tcPr>
            <w:tcW w:w="617" w:type="dxa"/>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1" w:hRule="atLeast"/>
          <w:jc w:val="center"/>
        </w:trPr>
        <w:tc>
          <w:tcPr>
            <w:tcW w:w="411" w:type="dxa"/>
            <w:vMerge w:val="continue"/>
            <w:vAlign w:val="center"/>
          </w:tcPr>
          <w:p>
            <w:pPr>
              <w:widowControl/>
              <w:jc w:val="center"/>
              <w:rPr>
                <w:rFonts w:hint="eastAsia" w:ascii="仿宋_GB2312" w:hAnsi="宋体" w:eastAsia="仿宋_GB2312" w:cs="宋体"/>
                <w:kern w:val="0"/>
                <w:sz w:val="20"/>
                <w:szCs w:val="20"/>
              </w:rPr>
            </w:pPr>
          </w:p>
        </w:tc>
        <w:tc>
          <w:tcPr>
            <w:tcW w:w="429" w:type="dxa"/>
            <w:vMerge w:val="continue"/>
            <w:vAlign w:val="center"/>
          </w:tcPr>
          <w:p>
            <w:pPr>
              <w:widowControl/>
              <w:jc w:val="center"/>
              <w:rPr>
                <w:rFonts w:hint="eastAsia" w:ascii="仿宋_GB2312" w:hAnsi="宋体" w:eastAsia="仿宋_GB2312" w:cs="宋体"/>
                <w:kern w:val="0"/>
                <w:sz w:val="20"/>
                <w:szCs w:val="20"/>
              </w:rPr>
            </w:pPr>
          </w:p>
        </w:tc>
        <w:tc>
          <w:tcPr>
            <w:tcW w:w="567" w:type="dxa"/>
            <w:vMerge w:val="continue"/>
            <w:vAlign w:val="center"/>
          </w:tcPr>
          <w:p>
            <w:pPr>
              <w:widowControl/>
              <w:jc w:val="center"/>
              <w:rPr>
                <w:rFonts w:hint="eastAsia" w:ascii="仿宋_GB2312" w:hAnsi="宋体" w:eastAsia="仿宋_GB2312" w:cs="宋体"/>
                <w:kern w:val="0"/>
                <w:sz w:val="20"/>
                <w:szCs w:val="20"/>
              </w:rPr>
            </w:pPr>
          </w:p>
        </w:tc>
        <w:tc>
          <w:tcPr>
            <w:tcW w:w="851" w:type="dxa"/>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商品 和服务支出 变动率</w:t>
            </w:r>
          </w:p>
        </w:tc>
        <w:tc>
          <w:tcPr>
            <w:tcW w:w="567" w:type="dxa"/>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“商品和服务支出”变动率</w:t>
            </w:r>
            <w:r>
              <w:rPr>
                <w:rFonts w:hint="eastAsia" w:ascii="仿宋_GB2312" w:hAnsi="Arial" w:eastAsia="仿宋_GB2312" w:cs="Arial"/>
                <w:kern w:val="0"/>
                <w:sz w:val="20"/>
                <w:szCs w:val="20"/>
              </w:rPr>
              <w:t>≤</w:t>
            </w:r>
            <w:r>
              <w:rPr>
                <w:rFonts w:hint="eastAsia" w:ascii="仿宋_GB2312" w:hAnsi="宋体" w:eastAsia="仿宋_GB2312" w:cs="宋体"/>
                <w:kern w:val="0"/>
                <w:sz w:val="20"/>
                <w:szCs w:val="20"/>
              </w:rPr>
              <w:t>0,计2分；“商品和服务支出”变动率＞0，每超过一个百分点扣0.2分，扣完为止。</w:t>
            </w:r>
          </w:p>
        </w:tc>
        <w:tc>
          <w:tcPr>
            <w:tcW w:w="3472" w:type="dxa"/>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“商品和服务支出”变动率=[（本年度“商品和服务支出”总额-上年度“商品和服务支出”总额）/上年度“商品和服务支出”总额]×100%。</w:t>
            </w:r>
          </w:p>
        </w:tc>
        <w:tc>
          <w:tcPr>
            <w:tcW w:w="617" w:type="dxa"/>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40" w:hRule="atLeast"/>
          <w:jc w:val="center"/>
        </w:trPr>
        <w:tc>
          <w:tcPr>
            <w:tcW w:w="411" w:type="dxa"/>
            <w:vMerge w:val="continue"/>
            <w:vAlign w:val="center"/>
          </w:tcPr>
          <w:p>
            <w:pPr>
              <w:widowControl/>
              <w:jc w:val="center"/>
              <w:rPr>
                <w:rFonts w:hint="eastAsia" w:ascii="仿宋_GB2312" w:hAnsi="宋体" w:eastAsia="仿宋_GB2312" w:cs="宋体"/>
                <w:kern w:val="0"/>
                <w:sz w:val="20"/>
                <w:szCs w:val="20"/>
              </w:rPr>
            </w:pPr>
          </w:p>
        </w:tc>
        <w:tc>
          <w:tcPr>
            <w:tcW w:w="429" w:type="dxa"/>
            <w:vMerge w:val="continue"/>
            <w:vAlign w:val="center"/>
          </w:tcPr>
          <w:p>
            <w:pPr>
              <w:widowControl/>
              <w:jc w:val="center"/>
              <w:rPr>
                <w:rFonts w:hint="eastAsia" w:ascii="仿宋_GB2312" w:hAnsi="宋体" w:eastAsia="仿宋_GB2312" w:cs="宋体"/>
                <w:kern w:val="0"/>
                <w:sz w:val="20"/>
                <w:szCs w:val="20"/>
              </w:rPr>
            </w:pPr>
          </w:p>
        </w:tc>
        <w:tc>
          <w:tcPr>
            <w:tcW w:w="567" w:type="dxa"/>
            <w:vMerge w:val="continue"/>
            <w:vAlign w:val="center"/>
          </w:tcPr>
          <w:p>
            <w:pPr>
              <w:widowControl/>
              <w:jc w:val="center"/>
              <w:rPr>
                <w:rFonts w:hint="eastAsia" w:ascii="仿宋_GB2312" w:hAnsi="宋体" w:eastAsia="仿宋_GB2312" w:cs="宋体"/>
                <w:kern w:val="0"/>
                <w:sz w:val="20"/>
                <w:szCs w:val="20"/>
              </w:rPr>
            </w:pPr>
          </w:p>
        </w:tc>
        <w:tc>
          <w:tcPr>
            <w:tcW w:w="851" w:type="dxa"/>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重点  支出  安排率</w:t>
            </w:r>
          </w:p>
        </w:tc>
        <w:tc>
          <w:tcPr>
            <w:tcW w:w="567" w:type="dxa"/>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重点支出安排率≥90%，计2分；80%（含）-90%，计1分；70%（含）-80%，计0.5分；低于70%不得分。</w:t>
            </w:r>
          </w:p>
        </w:tc>
        <w:tc>
          <w:tcPr>
            <w:tcW w:w="3472" w:type="dxa"/>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重点支出安排率=（重点项目支出/项目总支出）×100%</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重点项目支出：市政府确定的为民办实事和部门重点工程与重点工作支出。项目总支出：部门（单位）年度预算安排的项目支出总额。</w:t>
            </w:r>
          </w:p>
        </w:tc>
        <w:tc>
          <w:tcPr>
            <w:tcW w:w="617" w:type="dxa"/>
            <w:vAlign w:val="cente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9" w:hRule="atLeast"/>
          <w:jc w:val="center"/>
        </w:trPr>
        <w:tc>
          <w:tcPr>
            <w:tcW w:w="411" w:type="dxa"/>
            <w:vMerge w:val="continue"/>
            <w:vAlign w:val="center"/>
          </w:tcPr>
          <w:p>
            <w:pPr>
              <w:widowControl/>
              <w:jc w:val="center"/>
              <w:rPr>
                <w:rFonts w:hint="eastAsia" w:ascii="仿宋_GB2312" w:hAnsi="宋体" w:eastAsia="仿宋_GB2312" w:cs="宋体"/>
                <w:kern w:val="0"/>
                <w:sz w:val="20"/>
                <w:szCs w:val="20"/>
              </w:rPr>
            </w:pPr>
          </w:p>
        </w:tc>
        <w:tc>
          <w:tcPr>
            <w:tcW w:w="429" w:type="dxa"/>
            <w:vMerge w:val="continue"/>
            <w:vAlign w:val="center"/>
          </w:tcPr>
          <w:p>
            <w:pPr>
              <w:widowControl/>
              <w:jc w:val="center"/>
              <w:rPr>
                <w:rFonts w:hint="eastAsia" w:ascii="仿宋_GB2312" w:hAnsi="宋体" w:eastAsia="仿宋_GB2312" w:cs="宋体"/>
                <w:kern w:val="0"/>
                <w:sz w:val="20"/>
                <w:szCs w:val="20"/>
              </w:rPr>
            </w:pPr>
          </w:p>
        </w:tc>
        <w:tc>
          <w:tcPr>
            <w:tcW w:w="567" w:type="dxa"/>
            <w:vMerge w:val="continue"/>
            <w:vAlign w:val="center"/>
          </w:tcPr>
          <w:p>
            <w:pPr>
              <w:widowControl/>
              <w:jc w:val="center"/>
              <w:rPr>
                <w:rFonts w:hint="eastAsia" w:ascii="仿宋_GB2312" w:hAnsi="宋体" w:eastAsia="仿宋_GB2312" w:cs="宋体"/>
                <w:kern w:val="0"/>
                <w:sz w:val="20"/>
                <w:szCs w:val="20"/>
              </w:rPr>
            </w:pPr>
          </w:p>
        </w:tc>
        <w:tc>
          <w:tcPr>
            <w:tcW w:w="851" w:type="dxa"/>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非税 收入 管理</w:t>
            </w:r>
          </w:p>
        </w:tc>
        <w:tc>
          <w:tcPr>
            <w:tcW w:w="567" w:type="dxa"/>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①实行收支两条线，1分；</w:t>
            </w:r>
          </w:p>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②未发生截留、坐支或转移，1分。以上每发现一次违规现象扣1分，扣完为止。</w:t>
            </w:r>
          </w:p>
        </w:tc>
        <w:tc>
          <w:tcPr>
            <w:tcW w:w="3472" w:type="dxa"/>
            <w:vAlign w:val="center"/>
          </w:tcPr>
          <w:p>
            <w:pPr>
              <w:widowControl/>
              <w:jc w:val="left"/>
              <w:rPr>
                <w:rFonts w:hint="eastAsia" w:ascii="仿宋_GB2312" w:hAnsi="宋体" w:eastAsia="仿宋_GB2312" w:cs="宋体"/>
                <w:kern w:val="0"/>
                <w:sz w:val="20"/>
                <w:szCs w:val="20"/>
              </w:rPr>
            </w:pPr>
          </w:p>
        </w:tc>
        <w:tc>
          <w:tcPr>
            <w:tcW w:w="617" w:type="dxa"/>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9" w:hRule="atLeast"/>
          <w:jc w:val="center"/>
        </w:trPr>
        <w:tc>
          <w:tcPr>
            <w:tcW w:w="411" w:type="dxa"/>
            <w:vMerge w:val="continue"/>
            <w:vAlign w:val="center"/>
          </w:tcPr>
          <w:p>
            <w:pPr>
              <w:widowControl/>
              <w:jc w:val="center"/>
              <w:rPr>
                <w:rFonts w:hint="eastAsia" w:ascii="仿宋_GB2312" w:hAnsi="宋体" w:eastAsia="仿宋_GB2312" w:cs="宋体"/>
                <w:kern w:val="0"/>
                <w:sz w:val="20"/>
                <w:szCs w:val="20"/>
              </w:rPr>
            </w:pPr>
          </w:p>
        </w:tc>
        <w:tc>
          <w:tcPr>
            <w:tcW w:w="429" w:type="dxa"/>
            <w:vMerge w:val="continue"/>
            <w:vAlign w:val="center"/>
          </w:tcPr>
          <w:p>
            <w:pPr>
              <w:widowControl/>
              <w:jc w:val="center"/>
              <w:rPr>
                <w:rFonts w:hint="eastAsia" w:ascii="仿宋_GB2312" w:hAnsi="宋体" w:eastAsia="仿宋_GB2312" w:cs="宋体"/>
                <w:kern w:val="0"/>
                <w:sz w:val="20"/>
                <w:szCs w:val="20"/>
              </w:rPr>
            </w:pPr>
          </w:p>
        </w:tc>
        <w:tc>
          <w:tcPr>
            <w:tcW w:w="567" w:type="dxa"/>
            <w:vMerge w:val="continue"/>
            <w:vAlign w:val="center"/>
          </w:tcPr>
          <w:p>
            <w:pPr>
              <w:widowControl/>
              <w:jc w:val="center"/>
              <w:rPr>
                <w:rFonts w:hint="eastAsia" w:ascii="仿宋_GB2312" w:hAnsi="宋体" w:eastAsia="仿宋_GB2312" w:cs="宋体"/>
                <w:kern w:val="0"/>
                <w:sz w:val="20"/>
                <w:szCs w:val="20"/>
              </w:rPr>
            </w:pPr>
          </w:p>
        </w:tc>
        <w:tc>
          <w:tcPr>
            <w:tcW w:w="851" w:type="dxa"/>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非税 收入 完成率</w:t>
            </w:r>
          </w:p>
        </w:tc>
        <w:tc>
          <w:tcPr>
            <w:tcW w:w="567" w:type="dxa"/>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非税收入完成率100%，2分，每少一个百分点，扣0.1分，扣完为止。</w:t>
            </w:r>
          </w:p>
        </w:tc>
        <w:tc>
          <w:tcPr>
            <w:tcW w:w="3472" w:type="dxa"/>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非税收入完成率=（</w:t>
            </w:r>
            <w:r>
              <w:rPr>
                <w:rFonts w:hint="eastAsia" w:ascii="仿宋_GB2312" w:hAnsi="宋体" w:eastAsia="仿宋_GB2312" w:cs="宋体"/>
                <w:kern w:val="0"/>
                <w:sz w:val="20"/>
                <w:szCs w:val="20"/>
                <w:lang w:eastAsia="zh-CN"/>
              </w:rPr>
              <w:t>2021</w:t>
            </w:r>
            <w:r>
              <w:rPr>
                <w:rFonts w:hint="eastAsia" w:ascii="仿宋_GB2312" w:hAnsi="宋体" w:eastAsia="仿宋_GB2312" w:cs="宋体"/>
                <w:kern w:val="0"/>
                <w:sz w:val="20"/>
                <w:szCs w:val="20"/>
              </w:rPr>
              <w:t>年度非税实际收入完成数/</w:t>
            </w:r>
            <w:r>
              <w:rPr>
                <w:rFonts w:hint="eastAsia" w:ascii="仿宋_GB2312" w:hAnsi="宋体" w:eastAsia="仿宋_GB2312" w:cs="宋体"/>
                <w:kern w:val="0"/>
                <w:sz w:val="20"/>
                <w:szCs w:val="20"/>
                <w:lang w:eastAsia="zh-CN"/>
              </w:rPr>
              <w:t>2021</w:t>
            </w:r>
            <w:r>
              <w:rPr>
                <w:rFonts w:hint="eastAsia" w:ascii="仿宋_GB2312" w:hAnsi="宋体" w:eastAsia="仿宋_GB2312" w:cs="宋体"/>
                <w:kern w:val="0"/>
                <w:sz w:val="20"/>
                <w:szCs w:val="20"/>
              </w:rPr>
              <w:t>年度非税收入预算数）×100%，有减免因素的，以非税局确定的为准。</w:t>
            </w:r>
          </w:p>
        </w:tc>
        <w:tc>
          <w:tcPr>
            <w:tcW w:w="617" w:type="dxa"/>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0" w:hRule="atLeast"/>
          <w:jc w:val="center"/>
        </w:trPr>
        <w:tc>
          <w:tcPr>
            <w:tcW w:w="411" w:type="dxa"/>
            <w:vMerge w:val="restart"/>
            <w:textDirection w:val="tbRlV"/>
            <w:vAlign w:val="center"/>
          </w:tcPr>
          <w:p>
            <w:pPr>
              <w:widowControl/>
              <w:jc w:val="center"/>
              <w:rPr>
                <w:rFonts w:hint="eastAsia" w:ascii="仿宋_GB2312" w:hAnsi="宋体" w:eastAsia="仿宋_GB2312" w:cs="宋体"/>
                <w:kern w:val="0"/>
                <w:sz w:val="20"/>
                <w:szCs w:val="20"/>
              </w:rPr>
            </w:pPr>
          </w:p>
          <w:p>
            <w:pPr>
              <w:widowControl/>
              <w:jc w:val="center"/>
              <w:rPr>
                <w:rFonts w:hint="eastAsia" w:ascii="仿宋_GB2312" w:hAnsi="宋体" w:eastAsia="仿宋_GB2312" w:cs="宋体"/>
                <w:kern w:val="0"/>
                <w:sz w:val="20"/>
                <w:szCs w:val="20"/>
              </w:rPr>
            </w:pPr>
          </w:p>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过    程</w:t>
            </w:r>
          </w:p>
          <w:p>
            <w:pPr>
              <w:widowControl/>
              <w:ind w:left="113" w:right="113"/>
              <w:jc w:val="center"/>
              <w:rPr>
                <w:rFonts w:hint="eastAsia" w:ascii="仿宋_GB2312" w:hAnsi="宋体" w:eastAsia="仿宋_GB2312" w:cs="宋体"/>
                <w:kern w:val="0"/>
                <w:sz w:val="20"/>
                <w:szCs w:val="20"/>
              </w:rPr>
            </w:pPr>
          </w:p>
          <w:p>
            <w:pPr>
              <w:widowControl/>
              <w:jc w:val="center"/>
              <w:rPr>
                <w:rFonts w:hint="eastAsia" w:ascii="仿宋_GB2312" w:hAnsi="宋体" w:eastAsia="仿宋_GB2312" w:cs="宋体"/>
                <w:kern w:val="0"/>
                <w:sz w:val="20"/>
                <w:szCs w:val="20"/>
              </w:rPr>
            </w:pPr>
          </w:p>
          <w:p>
            <w:pPr>
              <w:widowControl/>
              <w:jc w:val="center"/>
              <w:rPr>
                <w:rFonts w:hint="eastAsia" w:ascii="仿宋_GB2312" w:hAnsi="宋体" w:eastAsia="仿宋_GB2312" w:cs="宋体"/>
                <w:kern w:val="0"/>
                <w:sz w:val="20"/>
                <w:szCs w:val="20"/>
              </w:rPr>
            </w:pPr>
          </w:p>
          <w:p>
            <w:pPr>
              <w:widowControl/>
              <w:jc w:val="center"/>
              <w:rPr>
                <w:rFonts w:hint="eastAsia" w:ascii="仿宋_GB2312" w:hAnsi="宋体" w:eastAsia="仿宋_GB2312" w:cs="宋体"/>
                <w:kern w:val="0"/>
                <w:sz w:val="20"/>
                <w:szCs w:val="20"/>
              </w:rPr>
            </w:pPr>
          </w:p>
          <w:p>
            <w:pPr>
              <w:widowControl/>
              <w:jc w:val="center"/>
              <w:rPr>
                <w:rFonts w:hint="eastAsia" w:ascii="仿宋_GB2312" w:hAnsi="宋体" w:eastAsia="仿宋_GB2312" w:cs="宋体"/>
                <w:kern w:val="0"/>
                <w:sz w:val="20"/>
                <w:szCs w:val="20"/>
              </w:rPr>
            </w:pPr>
          </w:p>
          <w:p>
            <w:pPr>
              <w:widowControl/>
              <w:jc w:val="center"/>
              <w:rPr>
                <w:rFonts w:hint="eastAsia" w:ascii="仿宋_GB2312" w:hAnsi="宋体" w:eastAsia="仿宋_GB2312" w:cs="宋体"/>
                <w:kern w:val="0"/>
                <w:sz w:val="20"/>
                <w:szCs w:val="20"/>
              </w:rPr>
            </w:pPr>
          </w:p>
          <w:p>
            <w:pPr>
              <w:widowControl/>
              <w:jc w:val="center"/>
              <w:rPr>
                <w:rFonts w:hint="eastAsia" w:ascii="仿宋_GB2312" w:hAnsi="宋体" w:eastAsia="仿宋_GB2312" w:cs="宋体"/>
                <w:kern w:val="0"/>
                <w:sz w:val="20"/>
                <w:szCs w:val="20"/>
              </w:rPr>
            </w:pPr>
          </w:p>
          <w:p>
            <w:pPr>
              <w:widowControl/>
              <w:jc w:val="center"/>
              <w:rPr>
                <w:rFonts w:hint="eastAsia" w:ascii="仿宋_GB2312" w:hAnsi="宋体" w:eastAsia="仿宋_GB2312" w:cs="宋体"/>
                <w:kern w:val="0"/>
                <w:sz w:val="20"/>
                <w:szCs w:val="20"/>
              </w:rPr>
            </w:pPr>
          </w:p>
          <w:p>
            <w:pPr>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过      程</w:t>
            </w:r>
          </w:p>
        </w:tc>
        <w:tc>
          <w:tcPr>
            <w:tcW w:w="429" w:type="dxa"/>
            <w:vMerge w:val="restart"/>
            <w:tcBorders>
              <w:right w:val="single" w:color="auto" w:sz="4" w:space="0"/>
            </w:tcBorders>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预算执行</w:t>
            </w:r>
          </w:p>
        </w:tc>
        <w:tc>
          <w:tcPr>
            <w:tcW w:w="567" w:type="dxa"/>
            <w:vMerge w:val="restart"/>
            <w:tcBorders>
              <w:left w:val="single" w:color="auto" w:sz="4" w:space="0"/>
            </w:tcBorders>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8</w:t>
            </w:r>
          </w:p>
        </w:tc>
        <w:tc>
          <w:tcPr>
            <w:tcW w:w="851" w:type="dxa"/>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预算  完成率</w:t>
            </w:r>
          </w:p>
        </w:tc>
        <w:tc>
          <w:tcPr>
            <w:tcW w:w="567" w:type="dxa"/>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vAlign w:val="center"/>
          </w:tcPr>
          <w:p>
            <w:pPr>
              <w:widowControl/>
              <w:jc w:val="left"/>
              <w:rPr>
                <w:rFonts w:hint="eastAsia" w:ascii="仿宋_GB2312" w:hAnsi="宋体" w:eastAsia="仿宋_GB2312" w:cs="宋体"/>
                <w:kern w:val="0"/>
                <w:sz w:val="20"/>
                <w:szCs w:val="20"/>
                <w:highlight w:val="none"/>
              </w:rPr>
            </w:pPr>
            <w:r>
              <w:rPr>
                <w:rFonts w:hint="eastAsia" w:ascii="仿宋_GB2312" w:hAnsi="宋体" w:eastAsia="仿宋_GB2312" w:cs="宋体"/>
                <w:kern w:val="0"/>
                <w:sz w:val="20"/>
                <w:szCs w:val="20"/>
                <w:highlight w:val="none"/>
              </w:rPr>
              <w:t>完成率&lt;1，计2分，</w:t>
            </w:r>
          </w:p>
          <w:p>
            <w:pPr>
              <w:widowControl/>
              <w:jc w:val="left"/>
              <w:rPr>
                <w:rFonts w:hint="eastAsia" w:ascii="仿宋_GB2312" w:hAnsi="宋体" w:eastAsia="仿宋_GB2312" w:cs="宋体"/>
                <w:kern w:val="0"/>
                <w:sz w:val="20"/>
                <w:szCs w:val="20"/>
                <w:highlight w:val="none"/>
              </w:rPr>
            </w:pPr>
            <w:r>
              <w:rPr>
                <w:rFonts w:hint="eastAsia" w:ascii="仿宋_GB2312" w:hAnsi="宋体" w:eastAsia="仿宋_GB2312" w:cs="宋体"/>
                <w:kern w:val="0"/>
                <w:sz w:val="20"/>
                <w:szCs w:val="20"/>
                <w:highlight w:val="none"/>
              </w:rPr>
              <w:t>完成率=1，计1分，</w:t>
            </w:r>
          </w:p>
          <w:p>
            <w:pPr>
              <w:widowControl/>
              <w:jc w:val="left"/>
              <w:rPr>
                <w:rFonts w:hint="eastAsia" w:ascii="仿宋_GB2312" w:hAnsi="宋体" w:eastAsia="仿宋_GB2312" w:cs="宋体"/>
                <w:kern w:val="0"/>
                <w:sz w:val="20"/>
                <w:szCs w:val="20"/>
                <w:highlight w:val="none"/>
              </w:rPr>
            </w:pPr>
            <w:r>
              <w:rPr>
                <w:rFonts w:hint="eastAsia" w:ascii="仿宋_GB2312" w:hAnsi="宋体" w:eastAsia="仿宋_GB2312" w:cs="宋体"/>
                <w:kern w:val="0"/>
                <w:sz w:val="20"/>
                <w:szCs w:val="20"/>
                <w:highlight w:val="none"/>
              </w:rPr>
              <w:t>完成率&gt;1，不得分。</w:t>
            </w:r>
          </w:p>
          <w:p>
            <w:pPr>
              <w:widowControl/>
              <w:jc w:val="left"/>
              <w:rPr>
                <w:rFonts w:hint="eastAsia" w:ascii="仿宋_GB2312" w:hAnsi="宋体" w:eastAsia="仿宋_GB2312" w:cs="宋体"/>
                <w:kern w:val="0"/>
                <w:sz w:val="20"/>
                <w:szCs w:val="20"/>
                <w:highlight w:val="none"/>
              </w:rPr>
            </w:pPr>
          </w:p>
        </w:tc>
        <w:tc>
          <w:tcPr>
            <w:tcW w:w="3472" w:type="dxa"/>
            <w:vAlign w:val="center"/>
          </w:tcPr>
          <w:p>
            <w:pPr>
              <w:autoSpaceDN w:val="0"/>
              <w:jc w:val="left"/>
              <w:textAlignment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预算完成率=（预算完成数/预算数）×100%。预算完成数：部门（单位）本年度实际完成的预算数；预算数：财政部门批复的本年度部门（单位）预算数。</w:t>
            </w:r>
          </w:p>
        </w:tc>
        <w:tc>
          <w:tcPr>
            <w:tcW w:w="617" w:type="dxa"/>
            <w:vAlign w:val="center"/>
          </w:tcPr>
          <w:p>
            <w:pPr>
              <w:widowControl/>
              <w:jc w:val="center"/>
              <w:rPr>
                <w:rFonts w:hint="default" w:ascii="宋体" w:hAnsi="宋体" w:eastAsia="宋体" w:cs="宋体"/>
                <w:kern w:val="0"/>
                <w:sz w:val="24"/>
                <w:szCs w:val="24"/>
                <w:highlight w:val="none"/>
                <w:lang w:val="en-US" w:eastAsia="zh-CN"/>
              </w:rPr>
            </w:pPr>
            <w:r>
              <w:rPr>
                <w:rFonts w:hint="eastAsia" w:ascii="宋体" w:hAnsi="宋体" w:cs="宋体"/>
                <w:kern w:val="0"/>
                <w:sz w:val="24"/>
                <w:szCs w:val="24"/>
                <w:highlight w:val="no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4" w:hRule="atLeast"/>
          <w:jc w:val="center"/>
        </w:trPr>
        <w:tc>
          <w:tcPr>
            <w:tcW w:w="411" w:type="dxa"/>
            <w:vMerge w:val="continue"/>
            <w:vAlign w:val="center"/>
          </w:tcPr>
          <w:p>
            <w:pPr>
              <w:jc w:val="center"/>
              <w:rPr>
                <w:rFonts w:ascii="仿宋_GB2312" w:hAnsi="宋体" w:eastAsia="仿宋_GB2312" w:cs="宋体"/>
                <w:kern w:val="0"/>
                <w:sz w:val="20"/>
                <w:szCs w:val="20"/>
              </w:rPr>
            </w:pPr>
          </w:p>
        </w:tc>
        <w:tc>
          <w:tcPr>
            <w:tcW w:w="429" w:type="dxa"/>
            <w:vMerge w:val="continue"/>
            <w:tcBorders>
              <w:right w:val="single" w:color="auto" w:sz="4" w:space="0"/>
            </w:tcBorders>
            <w:vAlign w:val="center"/>
          </w:tcPr>
          <w:p>
            <w:pPr>
              <w:jc w:val="center"/>
              <w:rPr>
                <w:rFonts w:hint="eastAsia" w:ascii="仿宋_GB2312" w:hAnsi="宋体" w:eastAsia="仿宋_GB2312" w:cs="宋体"/>
                <w:kern w:val="0"/>
                <w:sz w:val="20"/>
                <w:szCs w:val="20"/>
              </w:rPr>
            </w:pPr>
          </w:p>
        </w:tc>
        <w:tc>
          <w:tcPr>
            <w:tcW w:w="567" w:type="dxa"/>
            <w:vMerge w:val="continue"/>
            <w:tcBorders>
              <w:left w:val="single" w:color="auto" w:sz="4" w:space="0"/>
            </w:tcBorders>
            <w:vAlign w:val="center"/>
          </w:tcPr>
          <w:p>
            <w:pPr>
              <w:jc w:val="center"/>
              <w:rPr>
                <w:rFonts w:hint="eastAsia" w:ascii="仿宋_GB2312" w:hAnsi="宋体" w:eastAsia="仿宋_GB2312" w:cs="宋体"/>
                <w:kern w:val="0"/>
                <w:sz w:val="20"/>
                <w:szCs w:val="20"/>
              </w:rPr>
            </w:pPr>
          </w:p>
        </w:tc>
        <w:tc>
          <w:tcPr>
            <w:tcW w:w="851" w:type="dxa"/>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资金  结余</w:t>
            </w:r>
          </w:p>
        </w:tc>
        <w:tc>
          <w:tcPr>
            <w:tcW w:w="567" w:type="dxa"/>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vAlign w:val="center"/>
          </w:tcPr>
          <w:p>
            <w:pPr>
              <w:widowControl/>
              <w:jc w:val="left"/>
              <w:rPr>
                <w:rFonts w:hint="eastAsia" w:ascii="仿宋_GB2312" w:hAnsi="宋体" w:eastAsia="仿宋_GB2312" w:cs="宋体"/>
                <w:kern w:val="0"/>
                <w:sz w:val="20"/>
                <w:szCs w:val="20"/>
                <w:highlight w:val="none"/>
              </w:rPr>
            </w:pPr>
            <w:r>
              <w:rPr>
                <w:rFonts w:hint="eastAsia" w:ascii="仿宋_GB2312" w:hAnsi="宋体" w:eastAsia="仿宋_GB2312" w:cs="宋体"/>
                <w:kern w:val="0"/>
                <w:sz w:val="20"/>
                <w:szCs w:val="20"/>
                <w:highlight w:val="none"/>
              </w:rPr>
              <w:t>结余超过10%（不含），2分；结余在0-10%（含）的，1分；本年超支不得分。</w:t>
            </w:r>
          </w:p>
        </w:tc>
        <w:tc>
          <w:tcPr>
            <w:tcW w:w="3472" w:type="dxa"/>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本项结余不含未完工项目资金的结转数。</w:t>
            </w:r>
          </w:p>
        </w:tc>
        <w:tc>
          <w:tcPr>
            <w:tcW w:w="617" w:type="dxa"/>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8" w:hRule="atLeast"/>
          <w:jc w:val="center"/>
        </w:trPr>
        <w:tc>
          <w:tcPr>
            <w:tcW w:w="411" w:type="dxa"/>
            <w:vMerge w:val="continue"/>
            <w:vAlign w:val="center"/>
          </w:tcPr>
          <w:p>
            <w:pPr>
              <w:jc w:val="center"/>
              <w:rPr>
                <w:rFonts w:ascii="仿宋_GB2312" w:hAnsi="宋体" w:eastAsia="仿宋_GB2312" w:cs="宋体"/>
                <w:kern w:val="0"/>
                <w:sz w:val="20"/>
                <w:szCs w:val="20"/>
              </w:rPr>
            </w:pPr>
          </w:p>
        </w:tc>
        <w:tc>
          <w:tcPr>
            <w:tcW w:w="429" w:type="dxa"/>
            <w:vMerge w:val="continue"/>
            <w:tcBorders>
              <w:right w:val="single" w:color="auto" w:sz="4" w:space="0"/>
            </w:tcBorders>
            <w:vAlign w:val="center"/>
          </w:tcPr>
          <w:p>
            <w:pPr>
              <w:jc w:val="center"/>
              <w:rPr>
                <w:rFonts w:hint="eastAsia" w:ascii="仿宋_GB2312" w:hAnsi="宋体" w:eastAsia="仿宋_GB2312" w:cs="宋体"/>
                <w:kern w:val="0"/>
                <w:sz w:val="20"/>
                <w:szCs w:val="20"/>
              </w:rPr>
            </w:pPr>
          </w:p>
        </w:tc>
        <w:tc>
          <w:tcPr>
            <w:tcW w:w="567" w:type="dxa"/>
            <w:vMerge w:val="continue"/>
            <w:tcBorders>
              <w:left w:val="single" w:color="auto" w:sz="4" w:space="0"/>
            </w:tcBorders>
            <w:vAlign w:val="center"/>
          </w:tcPr>
          <w:p>
            <w:pPr>
              <w:jc w:val="center"/>
              <w:rPr>
                <w:rFonts w:hint="eastAsia" w:ascii="仿宋_GB2312" w:hAnsi="宋体" w:eastAsia="仿宋_GB2312" w:cs="宋体"/>
                <w:kern w:val="0"/>
                <w:sz w:val="20"/>
                <w:szCs w:val="20"/>
              </w:rPr>
            </w:pPr>
          </w:p>
        </w:tc>
        <w:tc>
          <w:tcPr>
            <w:tcW w:w="851" w:type="dxa"/>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“三公经费”</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控制率</w:t>
            </w:r>
          </w:p>
        </w:tc>
        <w:tc>
          <w:tcPr>
            <w:tcW w:w="567" w:type="dxa"/>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以100%为标准。三公经费控制率</w:t>
            </w:r>
            <w:r>
              <w:rPr>
                <w:rFonts w:hint="eastAsia" w:ascii="仿宋_GB2312" w:hAnsi="Arial" w:eastAsia="仿宋_GB2312" w:cs="Arial"/>
                <w:kern w:val="0"/>
                <w:sz w:val="20"/>
                <w:szCs w:val="20"/>
              </w:rPr>
              <w:t>≤</w:t>
            </w:r>
            <w:r>
              <w:rPr>
                <w:rFonts w:hint="eastAsia" w:ascii="仿宋_GB2312" w:hAnsi="宋体" w:eastAsia="仿宋_GB2312" w:cs="宋体"/>
                <w:kern w:val="0"/>
                <w:sz w:val="20"/>
                <w:szCs w:val="20"/>
              </w:rPr>
              <w:t>100%，计2分；每超过一个百分点扣0.2分，扣完为止。单位没有制定“三公”经费预算，该项不得分。</w:t>
            </w:r>
          </w:p>
        </w:tc>
        <w:tc>
          <w:tcPr>
            <w:tcW w:w="3472" w:type="dxa"/>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“三公经费”控制率=（“三公经费”实际支出数/“三公经费”预算安排数）×100%。</w:t>
            </w:r>
          </w:p>
        </w:tc>
        <w:tc>
          <w:tcPr>
            <w:tcW w:w="617" w:type="dxa"/>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11" w:hRule="atLeast"/>
          <w:jc w:val="center"/>
        </w:trPr>
        <w:tc>
          <w:tcPr>
            <w:tcW w:w="411" w:type="dxa"/>
            <w:vMerge w:val="continue"/>
            <w:vAlign w:val="center"/>
          </w:tcPr>
          <w:p>
            <w:pPr>
              <w:jc w:val="center"/>
              <w:rPr>
                <w:rFonts w:ascii="仿宋_GB2312" w:hAnsi="宋体" w:eastAsia="仿宋_GB2312" w:cs="宋体"/>
                <w:kern w:val="0"/>
                <w:sz w:val="20"/>
                <w:szCs w:val="20"/>
              </w:rPr>
            </w:pPr>
          </w:p>
        </w:tc>
        <w:tc>
          <w:tcPr>
            <w:tcW w:w="429" w:type="dxa"/>
            <w:vMerge w:val="continue"/>
            <w:tcBorders>
              <w:bottom w:val="single" w:color="auto" w:sz="4" w:space="0"/>
              <w:right w:val="single" w:color="auto" w:sz="4" w:space="0"/>
            </w:tcBorders>
            <w:vAlign w:val="center"/>
          </w:tcPr>
          <w:p>
            <w:pPr>
              <w:widowControl/>
              <w:jc w:val="center"/>
              <w:rPr>
                <w:rFonts w:hint="eastAsia" w:ascii="仿宋_GB2312" w:hAnsi="宋体" w:eastAsia="仿宋_GB2312" w:cs="宋体"/>
                <w:kern w:val="0"/>
                <w:sz w:val="20"/>
                <w:szCs w:val="20"/>
              </w:rPr>
            </w:pPr>
          </w:p>
        </w:tc>
        <w:tc>
          <w:tcPr>
            <w:tcW w:w="567" w:type="dxa"/>
            <w:vMerge w:val="continue"/>
            <w:tcBorders>
              <w:left w:val="single" w:color="auto" w:sz="4" w:space="0"/>
              <w:bottom w:val="single" w:color="auto" w:sz="4" w:space="0"/>
            </w:tcBorders>
            <w:vAlign w:val="center"/>
          </w:tcPr>
          <w:p>
            <w:pPr>
              <w:widowControl/>
              <w:jc w:val="center"/>
              <w:rPr>
                <w:rFonts w:hint="eastAsia" w:ascii="仿宋_GB2312" w:hAnsi="宋体" w:eastAsia="仿宋_GB2312" w:cs="宋体"/>
                <w:kern w:val="0"/>
                <w:sz w:val="20"/>
                <w:szCs w:val="20"/>
              </w:rPr>
            </w:pPr>
          </w:p>
        </w:tc>
        <w:tc>
          <w:tcPr>
            <w:tcW w:w="851" w:type="dxa"/>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政府</w:t>
            </w:r>
          </w:p>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采购</w:t>
            </w:r>
          </w:p>
        </w:tc>
        <w:tc>
          <w:tcPr>
            <w:tcW w:w="567" w:type="dxa"/>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vAlign w:val="center"/>
          </w:tcPr>
          <w:p>
            <w:pPr>
              <w:widowControl/>
              <w:jc w:val="left"/>
              <w:rPr>
                <w:rFonts w:hint="eastAsia" w:ascii="仿宋_GB2312" w:hAnsi="宋体" w:eastAsia="仿宋_GB2312" w:cs="宋体"/>
                <w:kern w:val="0"/>
                <w:sz w:val="20"/>
                <w:szCs w:val="20"/>
              </w:rPr>
            </w:pPr>
            <w:r>
              <w:rPr>
                <w:rFonts w:hint="eastAsia" w:ascii="仿宋" w:hAnsi="仿宋" w:eastAsia="仿宋" w:cs="宋体"/>
                <w:kern w:val="0"/>
                <w:sz w:val="20"/>
                <w:szCs w:val="20"/>
              </w:rPr>
              <w:t>①编</w:t>
            </w:r>
            <w:r>
              <w:rPr>
                <w:rFonts w:hint="eastAsia" w:ascii="仿宋_GB2312" w:hAnsi="宋体" w:eastAsia="仿宋_GB2312" w:cs="宋体"/>
                <w:kern w:val="0"/>
                <w:sz w:val="20"/>
                <w:szCs w:val="20"/>
              </w:rPr>
              <w:t>制政府采购年度预算并上报的，0.5分；②追加并编制政府采购预算的，0.5分；</w:t>
            </w:r>
            <w:r>
              <w:rPr>
                <w:rFonts w:hint="eastAsia" w:ascii="仿宋" w:hAnsi="仿宋" w:eastAsia="仿宋" w:cs="宋体"/>
                <w:kern w:val="0"/>
                <w:sz w:val="20"/>
                <w:szCs w:val="20"/>
              </w:rPr>
              <w:t>③</w:t>
            </w:r>
            <w:r>
              <w:rPr>
                <w:rFonts w:hint="eastAsia" w:ascii="仿宋_GB2312" w:hAnsi="宋体" w:eastAsia="仿宋_GB2312" w:cs="宋体"/>
                <w:kern w:val="0"/>
                <w:sz w:val="20"/>
                <w:szCs w:val="20"/>
              </w:rPr>
              <w:t>政府采购执行率=100%，计1分；每少一个百分点扣0.1分，扣完为止。</w:t>
            </w:r>
          </w:p>
        </w:tc>
        <w:tc>
          <w:tcPr>
            <w:tcW w:w="3472" w:type="dxa"/>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政府采购执行率=（实际实行政府采购金额/应实行政府采购金额）×100%。应实行政府采金额以《湘财购[2012]27号》文件为标准。</w:t>
            </w:r>
          </w:p>
        </w:tc>
        <w:tc>
          <w:tcPr>
            <w:tcW w:w="617" w:type="dxa"/>
            <w:vAlign w:val="center"/>
          </w:tcPr>
          <w:p>
            <w:pPr>
              <w:widowControl/>
              <w:jc w:val="center"/>
              <w:rPr>
                <w:rFonts w:hint="default" w:ascii="宋体" w:hAnsi="宋体" w:eastAsia="宋体" w:cs="宋体"/>
                <w:kern w:val="0"/>
                <w:sz w:val="24"/>
                <w:szCs w:val="24"/>
                <w:lang w:val="en-US" w:eastAsia="zh-CN"/>
              </w:rPr>
            </w:pPr>
            <w:r>
              <w:rPr>
                <w:rFonts w:hint="eastAsia" w:ascii="宋体" w:hAnsi="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5" w:hRule="atLeast"/>
          <w:jc w:val="center"/>
        </w:trPr>
        <w:tc>
          <w:tcPr>
            <w:tcW w:w="411" w:type="dxa"/>
            <w:vMerge w:val="continue"/>
            <w:vAlign w:val="center"/>
          </w:tcPr>
          <w:p>
            <w:pPr>
              <w:widowControl/>
              <w:jc w:val="center"/>
              <w:rPr>
                <w:rFonts w:ascii="仿宋_GB2312" w:hAnsi="宋体" w:eastAsia="仿宋_GB2312" w:cs="宋体"/>
                <w:kern w:val="0"/>
                <w:sz w:val="20"/>
                <w:szCs w:val="20"/>
              </w:rPr>
            </w:pPr>
          </w:p>
        </w:tc>
        <w:tc>
          <w:tcPr>
            <w:tcW w:w="429" w:type="dxa"/>
            <w:vMerge w:val="restart"/>
            <w:tcBorders>
              <w:top w:val="single" w:color="auto" w:sz="4" w:space="0"/>
              <w:right w:val="single" w:color="auto" w:sz="4" w:space="0"/>
            </w:tcBorders>
            <w:vAlign w:val="center"/>
          </w:tcPr>
          <w:p>
            <w:pPr>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预算管理</w:t>
            </w:r>
          </w:p>
        </w:tc>
        <w:tc>
          <w:tcPr>
            <w:tcW w:w="567" w:type="dxa"/>
            <w:vMerge w:val="restart"/>
            <w:tcBorders>
              <w:top w:val="single" w:color="auto" w:sz="4" w:space="0"/>
              <w:left w:val="single" w:color="auto" w:sz="4" w:space="0"/>
            </w:tcBorders>
            <w:vAlign w:val="center"/>
          </w:tcPr>
          <w:p>
            <w:pPr>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28</w:t>
            </w:r>
          </w:p>
        </w:tc>
        <w:tc>
          <w:tcPr>
            <w:tcW w:w="851" w:type="dxa"/>
            <w:tcBorders>
              <w:top w:val="single" w:color="auto" w:sz="4" w:space="0"/>
            </w:tcBorders>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管理  制度</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健全性</w:t>
            </w:r>
          </w:p>
        </w:tc>
        <w:tc>
          <w:tcPr>
            <w:tcW w:w="567" w:type="dxa"/>
            <w:tcBorders>
              <w:top w:val="single" w:color="auto" w:sz="4" w:space="0"/>
            </w:tcBorders>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6</w:t>
            </w:r>
          </w:p>
          <w:p>
            <w:pPr>
              <w:widowControl/>
              <w:jc w:val="both"/>
              <w:rPr>
                <w:rFonts w:hint="eastAsia" w:ascii="仿宋_GB2312" w:hAnsi="宋体" w:eastAsia="仿宋_GB2312" w:cs="宋体"/>
                <w:kern w:val="0"/>
                <w:sz w:val="20"/>
                <w:szCs w:val="20"/>
              </w:rPr>
            </w:pPr>
          </w:p>
        </w:tc>
        <w:tc>
          <w:tcPr>
            <w:tcW w:w="3118" w:type="dxa"/>
            <w:tcBorders>
              <w:top w:val="single" w:color="auto" w:sz="4" w:space="0"/>
            </w:tcBorders>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①已制定资金管理办法、内部财务管理制度、会计核算制度等管理制度，1分；</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②建立健全单位内部控制制度，1分；</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③会计人员、机构按规定设置，1分；</w:t>
            </w:r>
          </w:p>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④会计基础工作健全，1分；</w:t>
            </w:r>
          </w:p>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⑤会计档案符合规定要求，1分；</w:t>
            </w:r>
          </w:p>
          <w:p>
            <w:pPr>
              <w:widowControl/>
              <w:jc w:val="left"/>
              <w:rPr>
                <w:rFonts w:hint="eastAsia" w:ascii="仿宋_GB2312" w:hAnsi="宋体" w:eastAsia="仿宋_GB2312" w:cs="宋体"/>
                <w:kern w:val="0"/>
                <w:sz w:val="20"/>
                <w:szCs w:val="20"/>
              </w:rPr>
            </w:pPr>
            <w:r>
              <w:rPr>
                <w:rFonts w:hint="eastAsia" w:ascii="仿宋_GB2312" w:hAnsi="仿宋" w:eastAsia="仿宋_GB2312" w:cs="仿宋"/>
                <w:kern w:val="0"/>
                <w:sz w:val="20"/>
                <w:szCs w:val="20"/>
              </w:rPr>
              <w:t>⑥项目管理规范（包括项目立项、申报、招投标、制度建立、按时完工等），1分，每发现少一项扣0.2分，扣完为止。</w:t>
            </w:r>
          </w:p>
        </w:tc>
        <w:tc>
          <w:tcPr>
            <w:tcW w:w="3472" w:type="dxa"/>
            <w:tcBorders>
              <w:top w:val="single" w:color="auto" w:sz="4" w:space="0"/>
            </w:tcBorders>
            <w:vAlign w:val="center"/>
          </w:tcPr>
          <w:p>
            <w:pPr>
              <w:widowControl/>
              <w:jc w:val="left"/>
              <w:rPr>
                <w:rFonts w:hint="eastAsia" w:ascii="仿宋_GB2312" w:hAnsi="宋体" w:eastAsia="仿宋_GB2312" w:cs="宋体"/>
                <w:kern w:val="0"/>
                <w:sz w:val="20"/>
                <w:szCs w:val="20"/>
              </w:rPr>
            </w:pPr>
          </w:p>
        </w:tc>
        <w:tc>
          <w:tcPr>
            <w:tcW w:w="617" w:type="dxa"/>
            <w:tcBorders>
              <w:top w:val="single" w:color="auto" w:sz="4" w:space="0"/>
            </w:tcBorders>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 w:hRule="atLeast"/>
          <w:jc w:val="center"/>
        </w:trPr>
        <w:tc>
          <w:tcPr>
            <w:tcW w:w="411" w:type="dxa"/>
            <w:vMerge w:val="continue"/>
            <w:vAlign w:val="center"/>
          </w:tcPr>
          <w:p>
            <w:pPr>
              <w:widowControl/>
              <w:jc w:val="center"/>
              <w:rPr>
                <w:rFonts w:ascii="仿宋_GB2312" w:hAnsi="宋体" w:eastAsia="仿宋_GB2312" w:cs="宋体"/>
                <w:kern w:val="0"/>
                <w:sz w:val="20"/>
                <w:szCs w:val="20"/>
              </w:rPr>
            </w:pPr>
          </w:p>
        </w:tc>
        <w:tc>
          <w:tcPr>
            <w:tcW w:w="429" w:type="dxa"/>
            <w:vMerge w:val="continue"/>
            <w:tcBorders>
              <w:top w:val="single" w:color="auto" w:sz="4" w:space="0"/>
              <w:right w:val="single" w:color="auto" w:sz="4" w:space="0"/>
            </w:tcBorders>
            <w:vAlign w:val="center"/>
          </w:tcPr>
          <w:p>
            <w:pPr>
              <w:jc w:val="center"/>
              <w:rPr>
                <w:rFonts w:hint="eastAsia" w:ascii="仿宋_GB2312" w:hAnsi="宋体" w:eastAsia="仿宋_GB2312" w:cs="宋体"/>
                <w:kern w:val="0"/>
                <w:sz w:val="20"/>
                <w:szCs w:val="20"/>
              </w:rPr>
            </w:pPr>
          </w:p>
        </w:tc>
        <w:tc>
          <w:tcPr>
            <w:tcW w:w="567" w:type="dxa"/>
            <w:vMerge w:val="continue"/>
            <w:tcBorders>
              <w:top w:val="single" w:color="auto" w:sz="4" w:space="0"/>
              <w:left w:val="single" w:color="auto" w:sz="4" w:space="0"/>
            </w:tcBorders>
            <w:vAlign w:val="center"/>
          </w:tcPr>
          <w:p>
            <w:pPr>
              <w:jc w:val="center"/>
              <w:rPr>
                <w:rFonts w:hint="eastAsia" w:ascii="仿宋_GB2312" w:hAnsi="宋体" w:eastAsia="仿宋_GB2312" w:cs="宋体"/>
                <w:kern w:val="0"/>
                <w:sz w:val="20"/>
                <w:szCs w:val="20"/>
              </w:rPr>
            </w:pPr>
          </w:p>
        </w:tc>
        <w:tc>
          <w:tcPr>
            <w:tcW w:w="851" w:type="dxa"/>
            <w:tcBorders>
              <w:top w:val="single" w:color="auto" w:sz="4" w:space="0"/>
            </w:tcBorders>
            <w:vAlign w:val="center"/>
          </w:tcPr>
          <w:p>
            <w:pPr>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内控制度情况</w:t>
            </w:r>
          </w:p>
        </w:tc>
        <w:tc>
          <w:tcPr>
            <w:tcW w:w="567" w:type="dxa"/>
            <w:tcBorders>
              <w:top w:val="single" w:color="auto" w:sz="4" w:space="0"/>
            </w:tcBorders>
            <w:vAlign w:val="center"/>
          </w:tcPr>
          <w:p>
            <w:pPr>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4分</w:t>
            </w:r>
          </w:p>
        </w:tc>
        <w:tc>
          <w:tcPr>
            <w:tcW w:w="3118" w:type="dxa"/>
            <w:tcBorders>
              <w:top w:val="single" w:color="auto" w:sz="4" w:space="0"/>
            </w:tcBorders>
            <w:vAlign w:val="center"/>
          </w:tcPr>
          <w:p>
            <w:pPr>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内部控制制度完全执行，4分，执行过程中，某个环节（节点）执行不到位的，每个环节（节点）扣1分，扣完为止。</w:t>
            </w:r>
          </w:p>
        </w:tc>
        <w:tc>
          <w:tcPr>
            <w:tcW w:w="3472" w:type="dxa"/>
            <w:tcBorders>
              <w:top w:val="single" w:color="auto" w:sz="4" w:space="0"/>
            </w:tcBorders>
            <w:vAlign w:val="center"/>
          </w:tcPr>
          <w:p>
            <w:pPr>
              <w:widowControl/>
              <w:jc w:val="left"/>
              <w:rPr>
                <w:rFonts w:hint="eastAsia" w:ascii="仿宋_GB2312" w:hAnsi="宋体" w:eastAsia="仿宋_GB2312" w:cs="宋体"/>
                <w:kern w:val="0"/>
                <w:sz w:val="20"/>
                <w:szCs w:val="20"/>
              </w:rPr>
            </w:pPr>
          </w:p>
        </w:tc>
        <w:tc>
          <w:tcPr>
            <w:tcW w:w="617" w:type="dxa"/>
            <w:tcBorders>
              <w:top w:val="single" w:color="auto" w:sz="4" w:space="0"/>
            </w:tcBorders>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7" w:hRule="atLeast"/>
          <w:jc w:val="center"/>
        </w:trPr>
        <w:tc>
          <w:tcPr>
            <w:tcW w:w="411" w:type="dxa"/>
            <w:vMerge w:val="restart"/>
            <w:tcBorders>
              <w:top w:val="nil"/>
            </w:tcBorders>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过程</w:t>
            </w:r>
          </w:p>
        </w:tc>
        <w:tc>
          <w:tcPr>
            <w:tcW w:w="429" w:type="dxa"/>
            <w:vMerge w:val="continue"/>
            <w:tcBorders>
              <w:right w:val="single" w:color="auto" w:sz="4" w:space="0"/>
            </w:tcBorders>
            <w:vAlign w:val="center"/>
          </w:tcPr>
          <w:p>
            <w:pPr>
              <w:jc w:val="center"/>
              <w:rPr>
                <w:rFonts w:hint="eastAsia" w:ascii="仿宋_GB2312" w:hAnsi="宋体" w:eastAsia="仿宋_GB2312" w:cs="宋体"/>
                <w:kern w:val="0"/>
                <w:sz w:val="20"/>
                <w:szCs w:val="20"/>
              </w:rPr>
            </w:pPr>
          </w:p>
        </w:tc>
        <w:tc>
          <w:tcPr>
            <w:tcW w:w="567" w:type="dxa"/>
            <w:vMerge w:val="continue"/>
            <w:tcBorders>
              <w:left w:val="single" w:color="auto" w:sz="4" w:space="0"/>
            </w:tcBorders>
            <w:vAlign w:val="center"/>
          </w:tcPr>
          <w:p>
            <w:pPr>
              <w:jc w:val="center"/>
              <w:rPr>
                <w:rFonts w:hint="eastAsia" w:ascii="仿宋_GB2312" w:hAnsi="宋体" w:eastAsia="仿宋_GB2312" w:cs="宋体"/>
                <w:kern w:val="0"/>
                <w:sz w:val="20"/>
                <w:szCs w:val="20"/>
              </w:rPr>
            </w:pPr>
          </w:p>
        </w:tc>
        <w:tc>
          <w:tcPr>
            <w:tcW w:w="851" w:type="dxa"/>
            <w:vAlign w:val="center"/>
          </w:tcPr>
          <w:p>
            <w:pPr>
              <w:widowControl/>
              <w:jc w:val="both"/>
              <w:rPr>
                <w:rFonts w:ascii="仿宋_GB2312" w:hAnsi="宋体" w:eastAsia="仿宋_GB2312" w:cs="宋体"/>
                <w:kern w:val="0"/>
                <w:sz w:val="20"/>
                <w:szCs w:val="20"/>
              </w:rPr>
            </w:pPr>
            <w:r>
              <w:rPr>
                <w:rFonts w:hint="eastAsia" w:ascii="仿宋_GB2312" w:hAnsi="宋体" w:eastAsia="仿宋_GB2312" w:cs="宋体"/>
                <w:kern w:val="0"/>
                <w:sz w:val="20"/>
                <w:szCs w:val="20"/>
              </w:rPr>
              <w:t>资金  使用</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合规性</w:t>
            </w:r>
          </w:p>
        </w:tc>
        <w:tc>
          <w:tcPr>
            <w:tcW w:w="567" w:type="dxa"/>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14</w:t>
            </w:r>
          </w:p>
        </w:tc>
        <w:tc>
          <w:tcPr>
            <w:tcW w:w="3118" w:type="dxa"/>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①支出符合国家财经法规和财务管理制度规定以及有关专项资金管理办法的规定；</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②资金（开支）拨付有完整的审批程序和手续；</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③支出符合部门预算批复的用途；</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④资金使用无截留、挤占、挪用、虚列支出、随意借用、大额现金支付等情况。</w:t>
            </w:r>
          </w:p>
          <w:p>
            <w:pPr>
              <w:widowControl/>
              <w:jc w:val="left"/>
              <w:rPr>
                <w:rFonts w:hint="eastAsia" w:ascii="仿宋_GB2312" w:hAnsi="仿宋" w:eastAsia="仿宋_GB2312" w:cs="仿宋"/>
                <w:kern w:val="0"/>
                <w:sz w:val="20"/>
                <w:szCs w:val="20"/>
              </w:rPr>
            </w:pPr>
            <w:r>
              <w:rPr>
                <w:rFonts w:hint="eastAsia" w:ascii="仿宋_GB2312" w:hAnsi="微软雅黑" w:eastAsia="仿宋_GB2312" w:cs="微软雅黑"/>
                <w:kern w:val="0"/>
                <w:sz w:val="20"/>
                <w:szCs w:val="20"/>
              </w:rPr>
              <w:t>⑤</w:t>
            </w:r>
            <w:r>
              <w:rPr>
                <w:rFonts w:hint="eastAsia" w:ascii="仿宋_GB2312" w:hAnsi="仿宋" w:eastAsia="仿宋_GB2312" w:cs="仿宋"/>
                <w:kern w:val="0"/>
                <w:sz w:val="20"/>
                <w:szCs w:val="20"/>
              </w:rPr>
              <w:t>重大财务事项经由集体研究决策；</w:t>
            </w:r>
          </w:p>
          <w:p>
            <w:pPr>
              <w:widowControl/>
              <w:jc w:val="left"/>
              <w:rPr>
                <w:rFonts w:hint="eastAsia" w:ascii="仿宋_GB2312" w:hAnsi="仿宋" w:eastAsia="仿宋_GB2312" w:cs="仿宋"/>
                <w:kern w:val="0"/>
                <w:sz w:val="20"/>
                <w:szCs w:val="20"/>
              </w:rPr>
            </w:pPr>
            <w:r>
              <w:rPr>
                <w:rFonts w:hint="eastAsia" w:ascii="仿宋_GB2312" w:hAnsi="微软雅黑" w:eastAsia="仿宋_GB2312" w:cs="微软雅黑"/>
                <w:kern w:val="0"/>
                <w:sz w:val="20"/>
                <w:szCs w:val="20"/>
              </w:rPr>
              <w:t>⑥</w:t>
            </w:r>
            <w:r>
              <w:rPr>
                <w:rFonts w:hint="eastAsia" w:ascii="仿宋_GB2312" w:hAnsi="仿宋" w:eastAsia="仿宋_GB2312" w:cs="仿宋"/>
                <w:kern w:val="0"/>
                <w:sz w:val="20"/>
                <w:szCs w:val="20"/>
              </w:rPr>
              <w:t>专项资金做到专款专用；</w:t>
            </w:r>
          </w:p>
          <w:p>
            <w:pPr>
              <w:widowControl/>
              <w:jc w:val="left"/>
              <w:rPr>
                <w:rFonts w:hint="eastAsia" w:ascii="仿宋_GB2312" w:hAnsi="仿宋" w:eastAsia="仿宋_GB2312" w:cs="仿宋"/>
                <w:kern w:val="0"/>
                <w:sz w:val="20"/>
                <w:szCs w:val="20"/>
              </w:rPr>
            </w:pPr>
            <w:r>
              <w:rPr>
                <w:rFonts w:hint="eastAsia" w:ascii="仿宋_GB2312" w:hAnsi="微软雅黑" w:eastAsia="仿宋_GB2312" w:cs="微软雅黑"/>
                <w:kern w:val="0"/>
                <w:sz w:val="20"/>
                <w:szCs w:val="20"/>
              </w:rPr>
              <w:t>⑦</w:t>
            </w:r>
            <w:r>
              <w:rPr>
                <w:rFonts w:hint="eastAsia" w:ascii="仿宋_GB2312" w:hAnsi="仿宋" w:eastAsia="仿宋_GB2312" w:cs="仿宋"/>
                <w:kern w:val="0"/>
                <w:sz w:val="20"/>
                <w:szCs w:val="20"/>
              </w:rPr>
              <w:t>原始凭证的取得真实有效；</w:t>
            </w:r>
          </w:p>
          <w:p>
            <w:pPr>
              <w:widowControl/>
              <w:jc w:val="left"/>
              <w:rPr>
                <w:rFonts w:hint="eastAsia" w:ascii="仿宋_GB2312" w:hAnsi="仿宋" w:eastAsia="仿宋_GB2312" w:cs="仿宋"/>
                <w:kern w:val="0"/>
                <w:sz w:val="20"/>
                <w:szCs w:val="20"/>
              </w:rPr>
            </w:pPr>
            <w:r>
              <w:rPr>
                <w:rFonts w:hint="eastAsia" w:ascii="仿宋_GB2312" w:hAnsi="微软雅黑" w:eastAsia="仿宋_GB2312" w:cs="微软雅黑"/>
                <w:kern w:val="0"/>
                <w:sz w:val="20"/>
                <w:szCs w:val="20"/>
              </w:rPr>
              <w:t>⑧</w:t>
            </w:r>
            <w:r>
              <w:rPr>
                <w:rFonts w:hint="eastAsia" w:ascii="仿宋_GB2312" w:hAnsi="仿宋" w:eastAsia="仿宋_GB2312" w:cs="仿宋"/>
                <w:kern w:val="0"/>
                <w:sz w:val="20"/>
                <w:szCs w:val="20"/>
              </w:rPr>
              <w:t>无超范围、超预算开支；</w:t>
            </w:r>
          </w:p>
          <w:p>
            <w:pPr>
              <w:widowControl/>
              <w:jc w:val="left"/>
              <w:rPr>
                <w:rFonts w:ascii="仿宋_GB2312" w:hAnsi="宋体" w:eastAsia="仿宋_GB2312" w:cs="宋体"/>
                <w:kern w:val="0"/>
                <w:sz w:val="20"/>
                <w:szCs w:val="20"/>
              </w:rPr>
            </w:pPr>
            <w:r>
              <w:rPr>
                <w:rFonts w:hint="eastAsia" w:ascii="仿宋" w:hAnsi="仿宋" w:eastAsia="仿宋" w:cs="仿宋"/>
                <w:kern w:val="0"/>
                <w:sz w:val="20"/>
                <w:szCs w:val="20"/>
              </w:rPr>
              <w:t>⑨</w:t>
            </w:r>
            <w:r>
              <w:rPr>
                <w:rFonts w:hint="eastAsia" w:ascii="仿宋_GB2312" w:hAnsi="仿宋" w:eastAsia="仿宋_GB2312" w:cs="仿宋"/>
                <w:kern w:val="0"/>
                <w:sz w:val="20"/>
                <w:szCs w:val="20"/>
              </w:rPr>
              <w:t>无超标准发放津补贴、奖金，无用公款支付应由个人支付的款项。</w:t>
            </w:r>
            <w:r>
              <w:rPr>
                <w:rFonts w:hint="eastAsia" w:ascii="仿宋_GB2312" w:hAnsi="仿宋" w:eastAsia="仿宋_GB2312" w:cs="仿宋"/>
                <w:kern w:val="0"/>
                <w:sz w:val="20"/>
                <w:szCs w:val="20"/>
              </w:rPr>
              <w:br w:type="textWrapping"/>
            </w:r>
            <w:r>
              <w:rPr>
                <w:rFonts w:hint="eastAsia" w:ascii="仿宋_GB2312" w:hAnsi="仿宋" w:eastAsia="仿宋_GB2312" w:cs="仿宋"/>
                <w:kern w:val="0"/>
                <w:sz w:val="20"/>
                <w:szCs w:val="20"/>
              </w:rPr>
              <w:t>以上情况每出现一例不</w:t>
            </w:r>
            <w:r>
              <w:rPr>
                <w:rFonts w:hint="eastAsia" w:ascii="仿宋_GB2312" w:hAnsi="宋体" w:eastAsia="仿宋_GB2312" w:cs="宋体"/>
                <w:kern w:val="0"/>
                <w:sz w:val="20"/>
                <w:szCs w:val="20"/>
              </w:rPr>
              <w:t>符合要求的扣2分，扣完为止。</w:t>
            </w:r>
          </w:p>
        </w:tc>
        <w:tc>
          <w:tcPr>
            <w:tcW w:w="3472" w:type="dxa"/>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部门（单位）使用预算资金是否符合相关的预算财务管理制度的规定，用以反映和考核部门（单位）预算资金的规范运行情况。</w:t>
            </w:r>
          </w:p>
        </w:tc>
        <w:tc>
          <w:tcPr>
            <w:tcW w:w="617" w:type="dxa"/>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36" w:hRule="atLeast"/>
          <w:jc w:val="center"/>
        </w:trPr>
        <w:tc>
          <w:tcPr>
            <w:tcW w:w="411" w:type="dxa"/>
            <w:vMerge w:val="continue"/>
            <w:tcBorders>
              <w:top w:val="nil"/>
            </w:tcBorders>
            <w:vAlign w:val="center"/>
          </w:tcPr>
          <w:p>
            <w:pPr>
              <w:widowControl/>
              <w:jc w:val="center"/>
              <w:rPr>
                <w:rFonts w:ascii="仿宋_GB2312" w:hAnsi="宋体" w:eastAsia="仿宋_GB2312" w:cs="宋体"/>
                <w:kern w:val="0"/>
                <w:sz w:val="20"/>
                <w:szCs w:val="20"/>
              </w:rPr>
            </w:pPr>
          </w:p>
        </w:tc>
        <w:tc>
          <w:tcPr>
            <w:tcW w:w="429" w:type="dxa"/>
            <w:vMerge w:val="continue"/>
            <w:tcBorders>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p>
        </w:tc>
        <w:tc>
          <w:tcPr>
            <w:tcW w:w="567" w:type="dxa"/>
            <w:vMerge w:val="continue"/>
            <w:tcBorders>
              <w:left w:val="single" w:color="auto" w:sz="4" w:space="0"/>
              <w:bottom w:val="single" w:color="auto" w:sz="4" w:space="0"/>
            </w:tcBorders>
            <w:vAlign w:val="center"/>
          </w:tcPr>
          <w:p>
            <w:pPr>
              <w:widowControl/>
              <w:jc w:val="center"/>
              <w:rPr>
                <w:rFonts w:ascii="仿宋_GB2312" w:hAnsi="宋体" w:eastAsia="仿宋_GB2312" w:cs="宋体"/>
                <w:kern w:val="0"/>
                <w:sz w:val="20"/>
                <w:szCs w:val="20"/>
              </w:rPr>
            </w:pPr>
          </w:p>
        </w:tc>
        <w:tc>
          <w:tcPr>
            <w:tcW w:w="851" w:type="dxa"/>
            <w:vAlign w:val="center"/>
          </w:tcPr>
          <w:p>
            <w:pPr>
              <w:widowControl/>
              <w:jc w:val="both"/>
              <w:rPr>
                <w:rFonts w:ascii="仿宋_GB2312" w:hAnsi="宋体" w:eastAsia="仿宋_GB2312" w:cs="宋体"/>
                <w:kern w:val="0"/>
                <w:sz w:val="20"/>
                <w:szCs w:val="20"/>
              </w:rPr>
            </w:pPr>
            <w:r>
              <w:rPr>
                <w:rFonts w:hint="eastAsia" w:ascii="仿宋_GB2312" w:hAnsi="宋体" w:eastAsia="仿宋_GB2312" w:cs="宋体"/>
                <w:kern w:val="0"/>
                <w:sz w:val="20"/>
                <w:szCs w:val="20"/>
              </w:rPr>
              <w:t>预决算信息公开性和完善性</w:t>
            </w:r>
          </w:p>
        </w:tc>
        <w:tc>
          <w:tcPr>
            <w:tcW w:w="567" w:type="dxa"/>
            <w:vAlign w:val="center"/>
          </w:tcPr>
          <w:p>
            <w:pPr>
              <w:widowControl/>
              <w:jc w:val="both"/>
              <w:rPr>
                <w:rFonts w:ascii="仿宋_GB2312" w:hAnsi="宋体" w:eastAsia="仿宋_GB2312" w:cs="宋体"/>
                <w:kern w:val="0"/>
                <w:sz w:val="20"/>
                <w:szCs w:val="20"/>
              </w:rPr>
            </w:pPr>
            <w:r>
              <w:rPr>
                <w:rFonts w:hint="eastAsia" w:ascii="仿宋_GB2312" w:hAnsi="宋体" w:eastAsia="仿宋_GB2312" w:cs="宋体"/>
                <w:kern w:val="0"/>
                <w:sz w:val="20"/>
                <w:szCs w:val="20"/>
              </w:rPr>
              <w:t>4</w:t>
            </w:r>
          </w:p>
        </w:tc>
        <w:tc>
          <w:tcPr>
            <w:tcW w:w="3118" w:type="dxa"/>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 xml:space="preserve">①按规定内容公开预决算信息，1分；②按规定时限公开预决算信息，1分；③基础数据信息和会计信息资料真实、完整，1分；④基础数据信息和汇集信息资料准确，1分。                                           </w:t>
            </w:r>
          </w:p>
        </w:tc>
        <w:tc>
          <w:tcPr>
            <w:tcW w:w="3472" w:type="dxa"/>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预决算信息是指与部门预算、执行、决算、监督、绩效等管理相关的信息。</w:t>
            </w:r>
          </w:p>
        </w:tc>
        <w:tc>
          <w:tcPr>
            <w:tcW w:w="617" w:type="dxa"/>
            <w:vAlign w:val="cente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5" w:hRule="atLeast"/>
          <w:jc w:val="center"/>
        </w:trPr>
        <w:tc>
          <w:tcPr>
            <w:tcW w:w="411" w:type="dxa"/>
            <w:vMerge w:val="continue"/>
            <w:tcBorders>
              <w:top w:val="nil"/>
            </w:tcBorders>
            <w:vAlign w:val="center"/>
          </w:tcPr>
          <w:p>
            <w:pPr>
              <w:widowControl/>
              <w:jc w:val="center"/>
              <w:rPr>
                <w:rFonts w:ascii="仿宋_GB2312" w:hAnsi="宋体" w:eastAsia="仿宋_GB2312" w:cs="宋体"/>
                <w:kern w:val="0"/>
                <w:sz w:val="20"/>
                <w:szCs w:val="20"/>
              </w:rPr>
            </w:pPr>
          </w:p>
        </w:tc>
        <w:tc>
          <w:tcPr>
            <w:tcW w:w="429" w:type="dxa"/>
            <w:vMerge w:val="restart"/>
            <w:tcBorders>
              <w:top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资产管理</w:t>
            </w:r>
          </w:p>
        </w:tc>
        <w:tc>
          <w:tcPr>
            <w:tcW w:w="567" w:type="dxa"/>
            <w:vMerge w:val="restart"/>
            <w:tcBorders>
              <w:top w:val="single" w:color="auto" w:sz="4" w:space="0"/>
              <w:left w:val="single" w:color="auto" w:sz="4" w:space="0"/>
              <w:bottom w:val="single" w:color="auto" w:sz="4" w:space="0"/>
            </w:tcBorders>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20</w:t>
            </w:r>
          </w:p>
        </w:tc>
        <w:tc>
          <w:tcPr>
            <w:tcW w:w="851" w:type="dxa"/>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管理  制度</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健全性</w:t>
            </w:r>
          </w:p>
        </w:tc>
        <w:tc>
          <w:tcPr>
            <w:tcW w:w="567" w:type="dxa"/>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①已制定资产管理制度，1分；</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 xml:space="preserve">②相关资产管理制度得到有效执行，1分。                                           </w:t>
            </w:r>
          </w:p>
        </w:tc>
        <w:tc>
          <w:tcPr>
            <w:tcW w:w="3472" w:type="dxa"/>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部门（单位）为加强资产管理，规范资产管理行为而制定的管理制度是否健全完整、用以反映和考核部门（单位）资产管理制度对完成主要职责或促进社会发展的保障情况</w:t>
            </w:r>
          </w:p>
        </w:tc>
        <w:tc>
          <w:tcPr>
            <w:tcW w:w="617" w:type="dxa"/>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3" w:hRule="atLeast"/>
          <w:jc w:val="center"/>
        </w:trPr>
        <w:tc>
          <w:tcPr>
            <w:tcW w:w="411" w:type="dxa"/>
            <w:vMerge w:val="continue"/>
            <w:tcBorders>
              <w:top w:val="nil"/>
            </w:tcBorders>
            <w:vAlign w:val="center"/>
          </w:tcPr>
          <w:p>
            <w:pPr>
              <w:widowControl/>
              <w:jc w:val="center"/>
              <w:rPr>
                <w:rFonts w:hint="eastAsia" w:ascii="仿宋_GB2312" w:hAnsi="宋体" w:eastAsia="仿宋_GB2312" w:cs="宋体"/>
                <w:kern w:val="0"/>
                <w:sz w:val="20"/>
                <w:szCs w:val="20"/>
              </w:rPr>
            </w:pPr>
          </w:p>
        </w:tc>
        <w:tc>
          <w:tcPr>
            <w:tcW w:w="429" w:type="dxa"/>
            <w:vMerge w:val="continue"/>
            <w:tcBorders>
              <w:top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kern w:val="0"/>
                <w:sz w:val="20"/>
                <w:szCs w:val="20"/>
              </w:rPr>
            </w:pPr>
          </w:p>
        </w:tc>
        <w:tc>
          <w:tcPr>
            <w:tcW w:w="567" w:type="dxa"/>
            <w:vMerge w:val="continue"/>
            <w:tcBorders>
              <w:top w:val="single" w:color="auto" w:sz="4" w:space="0"/>
              <w:left w:val="single" w:color="auto" w:sz="4" w:space="0"/>
              <w:bottom w:val="single" w:color="auto" w:sz="4" w:space="0"/>
            </w:tcBorders>
            <w:vAlign w:val="center"/>
          </w:tcPr>
          <w:p>
            <w:pPr>
              <w:widowControl/>
              <w:jc w:val="center"/>
              <w:rPr>
                <w:rFonts w:hint="eastAsia" w:ascii="仿宋_GB2312" w:hAnsi="宋体" w:eastAsia="仿宋_GB2312" w:cs="宋体"/>
                <w:kern w:val="0"/>
                <w:sz w:val="20"/>
                <w:szCs w:val="20"/>
              </w:rPr>
            </w:pPr>
          </w:p>
        </w:tc>
        <w:tc>
          <w:tcPr>
            <w:tcW w:w="851" w:type="dxa"/>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资产  管理</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安全性</w:t>
            </w:r>
          </w:p>
        </w:tc>
        <w:tc>
          <w:tcPr>
            <w:tcW w:w="567" w:type="dxa"/>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16</w:t>
            </w:r>
          </w:p>
        </w:tc>
        <w:tc>
          <w:tcPr>
            <w:tcW w:w="3118" w:type="dxa"/>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 xml:space="preserve">①资产保存完整；②资产配置合理；③资产处置规范； </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④资产账务管理合规，帐实帐卡、账账、账表（决算报表等）相符；⑤资产有偿使用及处置收入及时足额上缴；</w:t>
            </w:r>
            <w:r>
              <w:rPr>
                <w:rFonts w:hint="eastAsia" w:ascii="仿宋_GB2312" w:hAnsi="仿宋" w:eastAsia="仿宋_GB2312" w:cs="仿宋"/>
                <w:kern w:val="0"/>
                <w:sz w:val="20"/>
                <w:szCs w:val="20"/>
              </w:rPr>
              <w:t>⑥清查盘点：每年至少清查盘点一次；⑦产权明晰，权证齐全</w:t>
            </w:r>
            <w:r>
              <w:rPr>
                <w:rFonts w:hint="eastAsia" w:ascii="仿宋_GB2312" w:hAnsi="宋体" w:eastAsia="仿宋_GB2312" w:cs="宋体"/>
                <w:kern w:val="0"/>
                <w:sz w:val="20"/>
                <w:szCs w:val="20"/>
              </w:rPr>
              <w:t>；⑧按标准购置固定资产。</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以上情况每出现一例不符合要求的扣2分；⑨未按时报送20</w:t>
            </w:r>
            <w:r>
              <w:rPr>
                <w:rFonts w:hint="eastAsia" w:ascii="仿宋_GB2312" w:hAnsi="宋体" w:eastAsia="仿宋_GB2312" w:cs="宋体"/>
                <w:kern w:val="0"/>
                <w:sz w:val="20"/>
                <w:szCs w:val="20"/>
                <w:lang w:val="en-US" w:eastAsia="zh-CN"/>
              </w:rPr>
              <w:t>21</w:t>
            </w:r>
            <w:r>
              <w:rPr>
                <w:rFonts w:hint="eastAsia" w:ascii="仿宋_GB2312" w:hAnsi="宋体" w:eastAsia="仿宋_GB2312" w:cs="宋体"/>
                <w:kern w:val="0"/>
                <w:sz w:val="20"/>
                <w:szCs w:val="20"/>
              </w:rPr>
              <w:t>年行政事业单位资产报表的，每延迟一天，扣1分，扣完为止。</w:t>
            </w:r>
          </w:p>
        </w:tc>
        <w:tc>
          <w:tcPr>
            <w:tcW w:w="3472" w:type="dxa"/>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部门（单位）的资产是否保存完整，使用合规、配置合理、处置规范、收入及时足额上缴，用以反映和考核部门（单位）资产安全运行情况。</w:t>
            </w:r>
          </w:p>
        </w:tc>
        <w:tc>
          <w:tcPr>
            <w:tcW w:w="617" w:type="dxa"/>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8" w:hRule="atLeast"/>
          <w:jc w:val="center"/>
        </w:trPr>
        <w:tc>
          <w:tcPr>
            <w:tcW w:w="411" w:type="dxa"/>
            <w:vMerge w:val="continue"/>
            <w:tcBorders>
              <w:top w:val="nil"/>
            </w:tcBorders>
            <w:vAlign w:val="center"/>
          </w:tcPr>
          <w:p>
            <w:pPr>
              <w:widowControl/>
              <w:jc w:val="center"/>
              <w:rPr>
                <w:rFonts w:ascii="仿宋_GB2312" w:hAnsi="宋体" w:eastAsia="仿宋_GB2312" w:cs="宋体"/>
                <w:kern w:val="0"/>
                <w:sz w:val="20"/>
                <w:szCs w:val="20"/>
              </w:rPr>
            </w:pPr>
          </w:p>
        </w:tc>
        <w:tc>
          <w:tcPr>
            <w:tcW w:w="429" w:type="dxa"/>
            <w:vMerge w:val="continue"/>
            <w:tcBorders>
              <w:top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kern w:val="0"/>
                <w:sz w:val="20"/>
                <w:szCs w:val="20"/>
              </w:rPr>
            </w:pPr>
          </w:p>
        </w:tc>
        <w:tc>
          <w:tcPr>
            <w:tcW w:w="567" w:type="dxa"/>
            <w:vMerge w:val="continue"/>
            <w:tcBorders>
              <w:top w:val="single" w:color="auto" w:sz="4" w:space="0"/>
              <w:left w:val="single" w:color="auto" w:sz="4" w:space="0"/>
              <w:bottom w:val="single" w:color="auto" w:sz="4" w:space="0"/>
            </w:tcBorders>
            <w:vAlign w:val="center"/>
          </w:tcPr>
          <w:p>
            <w:pPr>
              <w:widowControl/>
              <w:jc w:val="center"/>
              <w:rPr>
                <w:rFonts w:hint="eastAsia" w:ascii="仿宋_GB2312" w:hAnsi="宋体" w:eastAsia="仿宋_GB2312" w:cs="宋体"/>
                <w:kern w:val="0"/>
                <w:sz w:val="20"/>
                <w:szCs w:val="20"/>
              </w:rPr>
            </w:pPr>
          </w:p>
        </w:tc>
        <w:tc>
          <w:tcPr>
            <w:tcW w:w="851" w:type="dxa"/>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固定  资产</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利用率</w:t>
            </w:r>
          </w:p>
        </w:tc>
        <w:tc>
          <w:tcPr>
            <w:tcW w:w="567" w:type="dxa"/>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固定资产利用率,100%,2分,每低于一个百分点扣0.2分，扣完为止。</w:t>
            </w:r>
          </w:p>
        </w:tc>
        <w:tc>
          <w:tcPr>
            <w:tcW w:w="3472" w:type="dxa"/>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固定资产利用率=（实际在用固定资产总额/所有固定资产总额）×100%</w:t>
            </w:r>
          </w:p>
        </w:tc>
        <w:tc>
          <w:tcPr>
            <w:tcW w:w="617" w:type="dxa"/>
            <w:vAlign w:val="cente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5" w:hRule="atLeast"/>
          <w:jc w:val="center"/>
        </w:trPr>
        <w:tc>
          <w:tcPr>
            <w:tcW w:w="411" w:type="dxa"/>
            <w:vMerge w:val="continue"/>
            <w:tcBorders>
              <w:top w:val="nil"/>
            </w:tcBorders>
            <w:vAlign w:val="center"/>
          </w:tcPr>
          <w:p>
            <w:pPr>
              <w:widowControl/>
              <w:jc w:val="center"/>
              <w:rPr>
                <w:rFonts w:ascii="仿宋_GB2312" w:hAnsi="宋体" w:eastAsia="仿宋_GB2312" w:cs="宋体"/>
                <w:kern w:val="0"/>
                <w:sz w:val="20"/>
                <w:szCs w:val="20"/>
              </w:rPr>
            </w:pPr>
          </w:p>
        </w:tc>
        <w:tc>
          <w:tcPr>
            <w:tcW w:w="429" w:type="dxa"/>
            <w:vMerge w:val="restart"/>
            <w:tcBorders>
              <w:right w:val="single" w:color="auto" w:sz="4" w:space="0"/>
            </w:tcBorders>
            <w:vAlign w:val="center"/>
          </w:tcPr>
          <w:p>
            <w:pPr>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绩效管理</w:t>
            </w:r>
          </w:p>
        </w:tc>
        <w:tc>
          <w:tcPr>
            <w:tcW w:w="567" w:type="dxa"/>
            <w:vMerge w:val="restart"/>
            <w:tcBorders>
              <w:top w:val="single" w:color="auto" w:sz="4" w:space="0"/>
              <w:left w:val="single" w:color="auto" w:sz="4" w:space="0"/>
            </w:tcBorders>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17</w:t>
            </w:r>
          </w:p>
        </w:tc>
        <w:tc>
          <w:tcPr>
            <w:tcW w:w="851" w:type="dxa"/>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目标 管理</w:t>
            </w:r>
          </w:p>
        </w:tc>
        <w:tc>
          <w:tcPr>
            <w:tcW w:w="567" w:type="dxa"/>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8</w:t>
            </w:r>
          </w:p>
        </w:tc>
        <w:tc>
          <w:tcPr>
            <w:tcW w:w="3118" w:type="dxa"/>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①本单位所有专项、项目资金均实行目标管理的，各2分,每少一个专项、项目的，扣1分，扣完为止；②编制并报送</w:t>
            </w:r>
            <w:r>
              <w:rPr>
                <w:rFonts w:hint="eastAsia" w:ascii="仿宋_GB2312" w:hAnsi="宋体" w:eastAsia="仿宋_GB2312" w:cs="宋体"/>
                <w:kern w:val="0"/>
                <w:sz w:val="20"/>
                <w:szCs w:val="20"/>
                <w:lang w:eastAsia="zh-CN"/>
              </w:rPr>
              <w:t>2021</w:t>
            </w:r>
            <w:r>
              <w:rPr>
                <w:rFonts w:hint="eastAsia" w:ascii="仿宋_GB2312" w:hAnsi="宋体" w:eastAsia="仿宋_GB2312" w:cs="宋体"/>
                <w:kern w:val="0"/>
                <w:sz w:val="20"/>
                <w:szCs w:val="20"/>
              </w:rPr>
              <w:t>年度部门整体支出绩效目标的，2分；③在规定时间内报送、公开以上目标的，2分，否则不得分。</w:t>
            </w:r>
          </w:p>
        </w:tc>
        <w:tc>
          <w:tcPr>
            <w:tcW w:w="3472" w:type="dxa"/>
            <w:vAlign w:val="center"/>
          </w:tcPr>
          <w:p>
            <w:pPr>
              <w:widowControl/>
              <w:jc w:val="left"/>
              <w:rPr>
                <w:rFonts w:hint="eastAsia" w:ascii="仿宋_GB2312" w:hAnsi="宋体" w:eastAsia="仿宋_GB2312" w:cs="宋体"/>
                <w:kern w:val="0"/>
                <w:sz w:val="20"/>
                <w:szCs w:val="20"/>
              </w:rPr>
            </w:pPr>
          </w:p>
        </w:tc>
        <w:tc>
          <w:tcPr>
            <w:tcW w:w="617" w:type="dxa"/>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6" w:hRule="atLeast"/>
          <w:jc w:val="center"/>
        </w:trPr>
        <w:tc>
          <w:tcPr>
            <w:tcW w:w="411" w:type="dxa"/>
            <w:vMerge w:val="continue"/>
            <w:tcBorders>
              <w:top w:val="nil"/>
              <w:bottom w:val="single" w:color="auto" w:sz="4" w:space="0"/>
            </w:tcBorders>
            <w:vAlign w:val="center"/>
          </w:tcPr>
          <w:p>
            <w:pPr>
              <w:widowControl/>
              <w:jc w:val="center"/>
              <w:rPr>
                <w:rFonts w:ascii="仿宋_GB2312" w:hAnsi="宋体" w:eastAsia="仿宋_GB2312" w:cs="宋体"/>
                <w:kern w:val="0"/>
                <w:sz w:val="20"/>
                <w:szCs w:val="20"/>
              </w:rPr>
            </w:pPr>
          </w:p>
        </w:tc>
        <w:tc>
          <w:tcPr>
            <w:tcW w:w="429" w:type="dxa"/>
            <w:vMerge w:val="continue"/>
            <w:tcBorders>
              <w:bottom w:val="single" w:color="auto" w:sz="4" w:space="0"/>
              <w:right w:val="single" w:color="auto" w:sz="4" w:space="0"/>
            </w:tcBorders>
            <w:vAlign w:val="center"/>
          </w:tcPr>
          <w:p>
            <w:pPr>
              <w:jc w:val="center"/>
              <w:rPr>
                <w:rFonts w:hint="eastAsia" w:ascii="仿宋_GB2312" w:hAnsi="宋体" w:eastAsia="仿宋_GB2312" w:cs="宋体"/>
                <w:kern w:val="0"/>
                <w:sz w:val="20"/>
                <w:szCs w:val="20"/>
              </w:rPr>
            </w:pPr>
          </w:p>
        </w:tc>
        <w:tc>
          <w:tcPr>
            <w:tcW w:w="567" w:type="dxa"/>
            <w:vMerge w:val="continue"/>
            <w:tcBorders>
              <w:left w:val="single" w:color="auto" w:sz="4" w:space="0"/>
              <w:bottom w:val="single" w:color="auto" w:sz="4" w:space="0"/>
            </w:tcBorders>
            <w:vAlign w:val="center"/>
          </w:tcPr>
          <w:p>
            <w:pPr>
              <w:widowControl/>
              <w:jc w:val="center"/>
              <w:rPr>
                <w:rFonts w:hint="eastAsia" w:ascii="仿宋_GB2312" w:hAnsi="宋体" w:eastAsia="仿宋_GB2312" w:cs="宋体"/>
                <w:kern w:val="0"/>
                <w:sz w:val="20"/>
                <w:szCs w:val="20"/>
              </w:rPr>
            </w:pPr>
          </w:p>
        </w:tc>
        <w:tc>
          <w:tcPr>
            <w:tcW w:w="851" w:type="dxa"/>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绩效 评价</w:t>
            </w:r>
          </w:p>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管理</w:t>
            </w:r>
          </w:p>
        </w:tc>
        <w:tc>
          <w:tcPr>
            <w:tcW w:w="567" w:type="dxa"/>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7</w:t>
            </w:r>
          </w:p>
        </w:tc>
        <w:tc>
          <w:tcPr>
            <w:tcW w:w="3118" w:type="dxa"/>
            <w:vAlign w:val="center"/>
          </w:tcPr>
          <w:p>
            <w:pPr>
              <w:widowControl/>
              <w:jc w:val="left"/>
              <w:rPr>
                <w:rFonts w:hint="eastAsia" w:ascii="仿宋_GB2312" w:hAnsi="宋体" w:eastAsia="仿宋_GB2312" w:cs="宋体"/>
                <w:kern w:val="0"/>
                <w:sz w:val="20"/>
                <w:szCs w:val="20"/>
              </w:rPr>
            </w:pPr>
            <w:r>
              <w:rPr>
                <w:rFonts w:hint="eastAsia" w:ascii="仿宋" w:hAnsi="仿宋" w:eastAsia="仿宋" w:cs="宋体"/>
                <w:kern w:val="0"/>
                <w:sz w:val="20"/>
                <w:szCs w:val="20"/>
              </w:rPr>
              <w:t>①</w:t>
            </w:r>
            <w:r>
              <w:rPr>
                <w:rFonts w:hint="eastAsia" w:ascii="仿宋_GB2312" w:hAnsi="宋体" w:eastAsia="仿宋_GB2312" w:cs="宋体"/>
                <w:kern w:val="0"/>
                <w:sz w:val="20"/>
                <w:szCs w:val="20"/>
              </w:rPr>
              <w:t>开展20</w:t>
            </w:r>
            <w:r>
              <w:rPr>
                <w:rFonts w:hint="eastAsia" w:ascii="仿宋_GB2312" w:hAnsi="宋体" w:eastAsia="仿宋_GB2312" w:cs="宋体"/>
                <w:kern w:val="0"/>
                <w:sz w:val="20"/>
                <w:szCs w:val="20"/>
                <w:lang w:val="en-US" w:eastAsia="zh-CN"/>
              </w:rPr>
              <w:t>21</w:t>
            </w:r>
            <w:r>
              <w:rPr>
                <w:rFonts w:hint="eastAsia" w:ascii="仿宋_GB2312" w:hAnsi="宋体" w:eastAsia="仿宋_GB2312" w:cs="宋体"/>
                <w:kern w:val="0"/>
                <w:sz w:val="20"/>
                <w:szCs w:val="20"/>
              </w:rPr>
              <w:t>年度专项资金绩效自评的，2分，每少一个专项资金的自评扣1分，扣完为止；</w:t>
            </w:r>
            <w:r>
              <w:rPr>
                <w:rFonts w:hint="eastAsia" w:ascii="仿宋" w:hAnsi="仿宋" w:eastAsia="仿宋" w:cs="宋体"/>
                <w:kern w:val="0"/>
                <w:sz w:val="20"/>
                <w:szCs w:val="20"/>
              </w:rPr>
              <w:t>②</w:t>
            </w:r>
            <w:r>
              <w:rPr>
                <w:rFonts w:hint="eastAsia" w:ascii="仿宋_GB2312" w:hAnsi="宋体" w:eastAsia="仿宋_GB2312" w:cs="宋体"/>
                <w:kern w:val="0"/>
                <w:sz w:val="20"/>
                <w:szCs w:val="20"/>
              </w:rPr>
              <w:t>开展20</w:t>
            </w:r>
            <w:r>
              <w:rPr>
                <w:rFonts w:hint="eastAsia" w:ascii="仿宋_GB2312" w:hAnsi="宋体" w:eastAsia="仿宋_GB2312" w:cs="宋体"/>
                <w:kern w:val="0"/>
                <w:sz w:val="20"/>
                <w:szCs w:val="20"/>
                <w:lang w:val="en-US" w:eastAsia="zh-CN"/>
              </w:rPr>
              <w:t>21</w:t>
            </w:r>
            <w:r>
              <w:rPr>
                <w:rFonts w:hint="eastAsia" w:ascii="仿宋_GB2312" w:hAnsi="宋体" w:eastAsia="仿宋_GB2312" w:cs="宋体"/>
                <w:kern w:val="0"/>
                <w:sz w:val="20"/>
                <w:szCs w:val="20"/>
              </w:rPr>
              <w:t>年度已完工项目绩效自评的，2分，每少一个项目扣1分，扣完为止；</w:t>
            </w:r>
            <w:r>
              <w:rPr>
                <w:rFonts w:hint="eastAsia" w:ascii="仿宋" w:hAnsi="仿宋" w:eastAsia="仿宋" w:cs="宋体"/>
                <w:kern w:val="0"/>
                <w:sz w:val="20"/>
                <w:szCs w:val="20"/>
              </w:rPr>
              <w:t>③</w:t>
            </w:r>
            <w:r>
              <w:rPr>
                <w:rFonts w:hint="eastAsia" w:ascii="仿宋_GB2312" w:hAnsi="宋体" w:eastAsia="仿宋_GB2312" w:cs="宋体"/>
                <w:kern w:val="0"/>
                <w:sz w:val="20"/>
                <w:szCs w:val="20"/>
              </w:rPr>
              <w:t>开展20</w:t>
            </w:r>
            <w:r>
              <w:rPr>
                <w:rFonts w:hint="eastAsia" w:ascii="仿宋_GB2312" w:hAnsi="宋体" w:eastAsia="仿宋_GB2312" w:cs="宋体"/>
                <w:kern w:val="0"/>
                <w:sz w:val="20"/>
                <w:szCs w:val="20"/>
                <w:lang w:val="en-US" w:eastAsia="zh-CN"/>
              </w:rPr>
              <w:t>21</w:t>
            </w:r>
            <w:r>
              <w:rPr>
                <w:rFonts w:hint="eastAsia" w:ascii="仿宋_GB2312" w:hAnsi="宋体" w:eastAsia="仿宋_GB2312" w:cs="宋体"/>
                <w:kern w:val="0"/>
                <w:sz w:val="20"/>
                <w:szCs w:val="20"/>
              </w:rPr>
              <w:t>年度部门整体支出绩效自评的，1分；</w:t>
            </w:r>
            <w:r>
              <w:rPr>
                <w:rFonts w:hint="eastAsia" w:ascii="仿宋" w:hAnsi="仿宋" w:eastAsia="仿宋" w:cs="宋体"/>
                <w:kern w:val="0"/>
                <w:sz w:val="20"/>
                <w:szCs w:val="20"/>
              </w:rPr>
              <w:t>④</w:t>
            </w:r>
            <w:r>
              <w:rPr>
                <w:rFonts w:hint="eastAsia" w:ascii="仿宋_GB2312" w:hAnsi="宋体" w:eastAsia="仿宋_GB2312" w:cs="宋体"/>
                <w:kern w:val="0"/>
                <w:sz w:val="20"/>
                <w:szCs w:val="20"/>
              </w:rPr>
              <w:t>在规定时间内报送、公开以上自评报告材料的，2分。</w:t>
            </w:r>
          </w:p>
        </w:tc>
        <w:tc>
          <w:tcPr>
            <w:tcW w:w="3472" w:type="dxa"/>
            <w:vAlign w:val="center"/>
          </w:tcPr>
          <w:p>
            <w:pPr>
              <w:widowControl/>
              <w:jc w:val="left"/>
              <w:rPr>
                <w:rFonts w:hint="eastAsia" w:ascii="仿宋_GB2312" w:hAnsi="宋体" w:eastAsia="仿宋_GB2312" w:cs="宋体"/>
                <w:kern w:val="0"/>
                <w:sz w:val="20"/>
                <w:szCs w:val="20"/>
              </w:rPr>
            </w:pPr>
          </w:p>
        </w:tc>
        <w:tc>
          <w:tcPr>
            <w:tcW w:w="617" w:type="dxa"/>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5" w:hRule="atLeast"/>
          <w:jc w:val="center"/>
        </w:trPr>
        <w:tc>
          <w:tcPr>
            <w:tcW w:w="411" w:type="dxa"/>
            <w:tcBorders>
              <w:top w:val="nil"/>
              <w:bottom w:val="single" w:color="auto" w:sz="4" w:space="0"/>
            </w:tcBorders>
            <w:vAlign w:val="center"/>
          </w:tcPr>
          <w:p>
            <w:pPr>
              <w:widowControl/>
              <w:jc w:val="center"/>
              <w:rPr>
                <w:rFonts w:ascii="仿宋_GB2312" w:hAnsi="宋体" w:eastAsia="仿宋_GB2312" w:cs="宋体"/>
                <w:kern w:val="0"/>
                <w:sz w:val="20"/>
                <w:szCs w:val="20"/>
              </w:rPr>
            </w:pPr>
          </w:p>
        </w:tc>
        <w:tc>
          <w:tcPr>
            <w:tcW w:w="429" w:type="dxa"/>
            <w:tcBorders>
              <w:top w:val="nil"/>
              <w:bottom w:val="single" w:color="auto" w:sz="4" w:space="0"/>
              <w:right w:val="single" w:color="auto" w:sz="4" w:space="0"/>
            </w:tcBorders>
            <w:vAlign w:val="center"/>
          </w:tcPr>
          <w:p>
            <w:pPr>
              <w:jc w:val="center"/>
              <w:rPr>
                <w:rFonts w:hint="eastAsia" w:ascii="仿宋_GB2312" w:hAnsi="宋体" w:eastAsia="仿宋_GB2312" w:cs="宋体"/>
                <w:kern w:val="0"/>
                <w:sz w:val="20"/>
                <w:szCs w:val="20"/>
              </w:rPr>
            </w:pPr>
          </w:p>
        </w:tc>
        <w:tc>
          <w:tcPr>
            <w:tcW w:w="567" w:type="dxa"/>
            <w:tcBorders>
              <w:top w:val="nil"/>
              <w:left w:val="single" w:color="auto" w:sz="4" w:space="0"/>
              <w:bottom w:val="single" w:color="auto" w:sz="4" w:space="0"/>
            </w:tcBorders>
            <w:vAlign w:val="center"/>
          </w:tcPr>
          <w:p>
            <w:pPr>
              <w:widowControl/>
              <w:jc w:val="center"/>
              <w:rPr>
                <w:rFonts w:hint="eastAsia" w:ascii="仿宋_GB2312" w:hAnsi="宋体" w:eastAsia="仿宋_GB2312" w:cs="宋体"/>
                <w:kern w:val="0"/>
                <w:sz w:val="20"/>
                <w:szCs w:val="20"/>
              </w:rPr>
            </w:pPr>
          </w:p>
        </w:tc>
        <w:tc>
          <w:tcPr>
            <w:tcW w:w="851" w:type="dxa"/>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评价 结果 运用</w:t>
            </w:r>
          </w:p>
        </w:tc>
        <w:tc>
          <w:tcPr>
            <w:tcW w:w="567" w:type="dxa"/>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vAlign w:val="center"/>
          </w:tcPr>
          <w:p>
            <w:pPr>
              <w:widowControl/>
              <w:jc w:val="left"/>
              <w:rPr>
                <w:rFonts w:hint="eastAsia" w:ascii="仿宋" w:hAnsi="仿宋" w:eastAsia="仿宋" w:cs="宋体"/>
                <w:sz w:val="20"/>
                <w:szCs w:val="20"/>
              </w:rPr>
            </w:pPr>
            <w:r>
              <w:rPr>
                <w:rFonts w:hint="eastAsia" w:ascii="仿宋_GB2312" w:hAnsi="宋体" w:eastAsia="仿宋_GB2312" w:cs="宋体"/>
                <w:kern w:val="0"/>
                <w:sz w:val="20"/>
                <w:szCs w:val="20"/>
              </w:rPr>
              <w:t>根据20</w:t>
            </w:r>
            <w:r>
              <w:rPr>
                <w:rFonts w:hint="eastAsia" w:ascii="仿宋_GB2312" w:hAnsi="宋体" w:eastAsia="仿宋_GB2312" w:cs="宋体"/>
                <w:kern w:val="0"/>
                <w:sz w:val="20"/>
                <w:szCs w:val="20"/>
                <w:lang w:val="en-US" w:eastAsia="zh-CN"/>
              </w:rPr>
              <w:t>21</w:t>
            </w:r>
            <w:r>
              <w:rPr>
                <w:rFonts w:hint="eastAsia" w:ascii="仿宋_GB2312" w:hAnsi="宋体" w:eastAsia="仿宋_GB2312" w:cs="宋体"/>
                <w:kern w:val="0"/>
                <w:sz w:val="20"/>
                <w:szCs w:val="20"/>
              </w:rPr>
              <w:t>年度财政重点绩效评价和单位自评情况，向财政报送整改结果并整改到位的，2分，否则不得分。</w:t>
            </w:r>
          </w:p>
        </w:tc>
        <w:tc>
          <w:tcPr>
            <w:tcW w:w="3472" w:type="dxa"/>
            <w:vAlign w:val="center"/>
          </w:tcPr>
          <w:p>
            <w:pPr>
              <w:jc w:val="left"/>
              <w:rPr>
                <w:rFonts w:hint="eastAsia" w:ascii="仿宋_GB2312" w:hAnsi="宋体" w:eastAsia="仿宋_GB2312" w:cs="宋体"/>
                <w:kern w:val="0"/>
                <w:sz w:val="20"/>
                <w:szCs w:val="20"/>
              </w:rPr>
            </w:pPr>
          </w:p>
        </w:tc>
        <w:tc>
          <w:tcPr>
            <w:tcW w:w="617" w:type="dxa"/>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5" w:hRule="atLeast"/>
          <w:jc w:val="center"/>
        </w:trPr>
        <w:tc>
          <w:tcPr>
            <w:tcW w:w="411" w:type="dxa"/>
            <w:vMerge w:val="restart"/>
            <w:tcBorders>
              <w:top w:val="single" w:color="auto" w:sz="4" w:space="0"/>
            </w:tcBorders>
            <w:textDirection w:val="tbRlV"/>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产   出</w:t>
            </w:r>
          </w:p>
        </w:tc>
        <w:tc>
          <w:tcPr>
            <w:tcW w:w="429" w:type="dxa"/>
            <w:vMerge w:val="restart"/>
            <w:tcBorders>
              <w:top w:val="single" w:color="auto" w:sz="4" w:space="0"/>
              <w:right w:val="single" w:color="auto" w:sz="4" w:space="0"/>
            </w:tcBorders>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职责履行</w:t>
            </w:r>
          </w:p>
        </w:tc>
        <w:tc>
          <w:tcPr>
            <w:tcW w:w="567" w:type="dxa"/>
            <w:vMerge w:val="restart"/>
            <w:tcBorders>
              <w:top w:val="single" w:color="auto" w:sz="4" w:space="0"/>
              <w:left w:val="single" w:color="auto" w:sz="4" w:space="0"/>
            </w:tcBorders>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5</w:t>
            </w:r>
          </w:p>
        </w:tc>
        <w:tc>
          <w:tcPr>
            <w:tcW w:w="851" w:type="dxa"/>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重点　工作　完成率</w:t>
            </w:r>
          </w:p>
        </w:tc>
        <w:tc>
          <w:tcPr>
            <w:tcW w:w="567" w:type="dxa"/>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该项得分=重点工作完成率×2</w:t>
            </w:r>
          </w:p>
        </w:tc>
        <w:tc>
          <w:tcPr>
            <w:tcW w:w="3472" w:type="dxa"/>
            <w:vAlign w:val="center"/>
          </w:tcPr>
          <w:p>
            <w:pPr>
              <w:autoSpaceDN w:val="0"/>
              <w:jc w:val="left"/>
              <w:textAlignment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重点工作为市政府确定的为民办实事和部门重点工程与重点工作。</w:t>
            </w:r>
          </w:p>
        </w:tc>
        <w:tc>
          <w:tcPr>
            <w:tcW w:w="617" w:type="dxa"/>
            <w:vAlign w:val="cente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8" w:hRule="atLeast"/>
          <w:jc w:val="center"/>
        </w:trPr>
        <w:tc>
          <w:tcPr>
            <w:tcW w:w="411" w:type="dxa"/>
            <w:vMerge w:val="continue"/>
            <w:tcBorders>
              <w:bottom w:val="single" w:color="auto" w:sz="4" w:space="0"/>
            </w:tcBorders>
            <w:textDirection w:val="tbRlV"/>
            <w:vAlign w:val="center"/>
          </w:tcPr>
          <w:p>
            <w:pPr>
              <w:widowControl/>
              <w:jc w:val="center"/>
              <w:rPr>
                <w:rFonts w:hint="eastAsia" w:ascii="仿宋_GB2312" w:hAnsi="宋体" w:eastAsia="仿宋_GB2312" w:cs="宋体"/>
                <w:kern w:val="0"/>
                <w:sz w:val="20"/>
                <w:szCs w:val="20"/>
              </w:rPr>
            </w:pPr>
          </w:p>
        </w:tc>
        <w:tc>
          <w:tcPr>
            <w:tcW w:w="429" w:type="dxa"/>
            <w:vMerge w:val="continue"/>
            <w:tcBorders>
              <w:bottom w:val="single" w:color="auto" w:sz="4" w:space="0"/>
              <w:right w:val="single" w:color="auto" w:sz="4" w:space="0"/>
            </w:tcBorders>
            <w:vAlign w:val="center"/>
          </w:tcPr>
          <w:p>
            <w:pPr>
              <w:widowControl/>
              <w:jc w:val="center"/>
              <w:rPr>
                <w:rFonts w:hint="eastAsia" w:ascii="仿宋_GB2312" w:hAnsi="宋体" w:eastAsia="仿宋_GB2312" w:cs="宋体"/>
                <w:kern w:val="0"/>
                <w:sz w:val="20"/>
                <w:szCs w:val="20"/>
              </w:rPr>
            </w:pPr>
          </w:p>
        </w:tc>
        <w:tc>
          <w:tcPr>
            <w:tcW w:w="567" w:type="dxa"/>
            <w:vMerge w:val="continue"/>
            <w:tcBorders>
              <w:left w:val="single" w:color="auto" w:sz="4" w:space="0"/>
              <w:bottom w:val="single" w:color="auto" w:sz="4" w:space="0"/>
            </w:tcBorders>
            <w:vAlign w:val="center"/>
          </w:tcPr>
          <w:p>
            <w:pPr>
              <w:widowControl/>
              <w:jc w:val="center"/>
              <w:rPr>
                <w:rFonts w:hint="eastAsia" w:ascii="仿宋_GB2312" w:hAnsi="宋体" w:eastAsia="仿宋_GB2312" w:cs="宋体"/>
                <w:kern w:val="0"/>
                <w:sz w:val="20"/>
                <w:szCs w:val="20"/>
              </w:rPr>
            </w:pPr>
          </w:p>
        </w:tc>
        <w:tc>
          <w:tcPr>
            <w:tcW w:w="851" w:type="dxa"/>
            <w:vAlign w:val="center"/>
          </w:tcPr>
          <w:p>
            <w:pPr>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工作</w:t>
            </w:r>
          </w:p>
          <w:p>
            <w:pPr>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质量</w:t>
            </w:r>
          </w:p>
        </w:tc>
        <w:tc>
          <w:tcPr>
            <w:tcW w:w="567" w:type="dxa"/>
            <w:vAlign w:val="center"/>
          </w:tcPr>
          <w:p>
            <w:pPr>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3</w:t>
            </w:r>
          </w:p>
        </w:tc>
        <w:tc>
          <w:tcPr>
            <w:tcW w:w="3118" w:type="dxa"/>
            <w:vAlign w:val="center"/>
          </w:tcPr>
          <w:p>
            <w:pPr>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以绩效考核评估结果为标准，优秀，计3分；良好，2分；合格，1分；不合格，0分。</w:t>
            </w:r>
          </w:p>
        </w:tc>
        <w:tc>
          <w:tcPr>
            <w:tcW w:w="3472" w:type="dxa"/>
            <w:vAlign w:val="center"/>
          </w:tcPr>
          <w:p>
            <w:pPr>
              <w:autoSpaceDN w:val="0"/>
              <w:jc w:val="left"/>
              <w:textAlignment w:val="center"/>
              <w:rPr>
                <w:rFonts w:hint="eastAsia" w:ascii="仿宋_GB2312" w:hAnsi="宋体" w:eastAsia="仿宋_GB2312" w:cs="宋体"/>
                <w:kern w:val="0"/>
                <w:sz w:val="20"/>
                <w:szCs w:val="20"/>
              </w:rPr>
            </w:pPr>
          </w:p>
        </w:tc>
        <w:tc>
          <w:tcPr>
            <w:tcW w:w="617" w:type="dxa"/>
            <w:vAlign w:val="center"/>
          </w:tcPr>
          <w:p>
            <w:pPr>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7" w:hRule="atLeast"/>
          <w:jc w:val="center"/>
        </w:trPr>
        <w:tc>
          <w:tcPr>
            <w:tcW w:w="411" w:type="dxa"/>
            <w:vMerge w:val="restart"/>
            <w:tcBorders>
              <w:top w:val="single" w:color="auto" w:sz="4" w:space="0"/>
              <w:bottom w:val="single" w:color="auto" w:sz="4" w:space="0"/>
            </w:tcBorders>
            <w:textDirection w:val="tbRlV"/>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效  果</w:t>
            </w:r>
          </w:p>
        </w:tc>
        <w:tc>
          <w:tcPr>
            <w:tcW w:w="429" w:type="dxa"/>
            <w:vMerge w:val="restart"/>
            <w:tcBorders>
              <w:top w:val="single" w:color="auto" w:sz="4" w:space="0"/>
              <w:bottom w:val="single" w:color="auto" w:sz="4" w:space="0"/>
            </w:tcBorders>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履职效益</w:t>
            </w:r>
          </w:p>
        </w:tc>
        <w:tc>
          <w:tcPr>
            <w:tcW w:w="567" w:type="dxa"/>
            <w:vMerge w:val="restart"/>
            <w:tcBorders>
              <w:top w:val="single" w:color="auto" w:sz="4" w:space="0"/>
              <w:bottom w:val="single" w:color="auto" w:sz="4" w:space="0"/>
            </w:tcBorders>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4</w:t>
            </w:r>
          </w:p>
        </w:tc>
        <w:tc>
          <w:tcPr>
            <w:tcW w:w="851" w:type="dxa"/>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经济  效益</w:t>
            </w:r>
          </w:p>
        </w:tc>
        <w:tc>
          <w:tcPr>
            <w:tcW w:w="567" w:type="dxa"/>
            <w:vMerge w:val="restart"/>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6590" w:type="dxa"/>
            <w:gridSpan w:val="2"/>
            <w:vMerge w:val="restart"/>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此三项指标可根据部门实际并结合</w:t>
            </w:r>
            <w:r>
              <w:rPr>
                <w:rFonts w:hint="eastAsia" w:ascii="仿宋_GB2312" w:hAnsi="宋体" w:eastAsia="仿宋_GB2312" w:cs="宋体"/>
                <w:kern w:val="0"/>
                <w:sz w:val="20"/>
                <w:szCs w:val="20"/>
                <w:lang w:eastAsia="zh-CN"/>
              </w:rPr>
              <w:t>2021</w:t>
            </w:r>
            <w:r>
              <w:rPr>
                <w:rFonts w:hint="eastAsia" w:ascii="仿宋_GB2312" w:hAnsi="宋体" w:eastAsia="仿宋_GB2312" w:cs="宋体"/>
                <w:kern w:val="0"/>
                <w:sz w:val="20"/>
                <w:szCs w:val="20"/>
              </w:rPr>
              <w:t>年度部门整体支出绩效目标设立情况有选择的进行评价。</w:t>
            </w:r>
          </w:p>
        </w:tc>
        <w:tc>
          <w:tcPr>
            <w:tcW w:w="617" w:type="dxa"/>
            <w:vMerge w:val="restart"/>
            <w:vAlign w:val="cente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jc w:val="center"/>
        </w:trPr>
        <w:tc>
          <w:tcPr>
            <w:tcW w:w="411" w:type="dxa"/>
            <w:vMerge w:val="continue"/>
            <w:tcBorders>
              <w:top w:val="single" w:color="auto" w:sz="4" w:space="0"/>
              <w:bottom w:val="single" w:color="auto" w:sz="4" w:space="0"/>
            </w:tcBorders>
            <w:vAlign w:val="center"/>
          </w:tcPr>
          <w:p>
            <w:pPr>
              <w:widowControl/>
              <w:jc w:val="center"/>
              <w:rPr>
                <w:rFonts w:ascii="仿宋_GB2312" w:hAnsi="宋体" w:eastAsia="仿宋_GB2312" w:cs="宋体"/>
                <w:kern w:val="0"/>
                <w:sz w:val="20"/>
                <w:szCs w:val="20"/>
              </w:rPr>
            </w:pPr>
          </w:p>
        </w:tc>
        <w:tc>
          <w:tcPr>
            <w:tcW w:w="429" w:type="dxa"/>
            <w:vMerge w:val="continue"/>
            <w:tcBorders>
              <w:top w:val="single" w:color="auto" w:sz="4" w:space="0"/>
              <w:bottom w:val="single" w:color="auto" w:sz="4" w:space="0"/>
            </w:tcBorders>
            <w:vAlign w:val="center"/>
          </w:tcPr>
          <w:p>
            <w:pPr>
              <w:widowControl/>
              <w:jc w:val="center"/>
              <w:rPr>
                <w:rFonts w:hint="eastAsia" w:ascii="仿宋_GB2312" w:hAnsi="宋体" w:eastAsia="仿宋_GB2312" w:cs="宋体"/>
                <w:kern w:val="0"/>
                <w:sz w:val="20"/>
                <w:szCs w:val="20"/>
              </w:rPr>
            </w:pPr>
          </w:p>
        </w:tc>
        <w:tc>
          <w:tcPr>
            <w:tcW w:w="567" w:type="dxa"/>
            <w:vMerge w:val="continue"/>
            <w:tcBorders>
              <w:top w:val="single" w:color="auto" w:sz="4" w:space="0"/>
              <w:bottom w:val="single" w:color="auto" w:sz="4" w:space="0"/>
            </w:tcBorders>
            <w:vAlign w:val="center"/>
          </w:tcPr>
          <w:p>
            <w:pPr>
              <w:widowControl/>
              <w:jc w:val="center"/>
              <w:rPr>
                <w:rFonts w:hint="eastAsia" w:ascii="仿宋_GB2312" w:hAnsi="宋体" w:eastAsia="仿宋_GB2312" w:cs="宋体"/>
                <w:kern w:val="0"/>
                <w:sz w:val="20"/>
                <w:szCs w:val="20"/>
              </w:rPr>
            </w:pPr>
          </w:p>
        </w:tc>
        <w:tc>
          <w:tcPr>
            <w:tcW w:w="851" w:type="dxa"/>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社会  效益</w:t>
            </w:r>
          </w:p>
        </w:tc>
        <w:tc>
          <w:tcPr>
            <w:tcW w:w="567" w:type="dxa"/>
            <w:vMerge w:val="continue"/>
            <w:vAlign w:val="center"/>
          </w:tcPr>
          <w:p>
            <w:pPr>
              <w:widowControl/>
              <w:jc w:val="both"/>
              <w:rPr>
                <w:rFonts w:hint="eastAsia" w:ascii="仿宋_GB2312" w:hAnsi="宋体" w:eastAsia="仿宋_GB2312" w:cs="宋体"/>
                <w:kern w:val="0"/>
                <w:sz w:val="20"/>
                <w:szCs w:val="20"/>
              </w:rPr>
            </w:pPr>
          </w:p>
        </w:tc>
        <w:tc>
          <w:tcPr>
            <w:tcW w:w="6590" w:type="dxa"/>
            <w:gridSpan w:val="2"/>
            <w:vMerge w:val="continue"/>
            <w:vAlign w:val="center"/>
          </w:tcPr>
          <w:p>
            <w:pPr>
              <w:widowControl/>
              <w:jc w:val="left"/>
              <w:rPr>
                <w:rFonts w:hint="eastAsia" w:ascii="仿宋_GB2312" w:hAnsi="宋体" w:eastAsia="仿宋_GB2312" w:cs="宋体"/>
                <w:kern w:val="0"/>
                <w:sz w:val="20"/>
                <w:szCs w:val="20"/>
              </w:rPr>
            </w:pPr>
          </w:p>
        </w:tc>
        <w:tc>
          <w:tcPr>
            <w:tcW w:w="617" w:type="dxa"/>
            <w:vMerge w:val="continue"/>
            <w:vAlign w:val="center"/>
          </w:tcPr>
          <w:p>
            <w:pPr>
              <w:widowControl/>
              <w:jc w:val="center"/>
              <w:rPr>
                <w:rFonts w:hint="eastAsia" w:ascii="宋体" w:hAnsi="宋体" w:eastAsia="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8" w:hRule="atLeast"/>
          <w:jc w:val="center"/>
        </w:trPr>
        <w:tc>
          <w:tcPr>
            <w:tcW w:w="411" w:type="dxa"/>
            <w:vMerge w:val="continue"/>
            <w:tcBorders>
              <w:top w:val="single" w:color="auto" w:sz="4" w:space="0"/>
              <w:bottom w:val="single" w:color="auto" w:sz="4" w:space="0"/>
            </w:tcBorders>
            <w:vAlign w:val="center"/>
          </w:tcPr>
          <w:p>
            <w:pPr>
              <w:widowControl/>
              <w:jc w:val="center"/>
              <w:rPr>
                <w:rFonts w:ascii="仿宋_GB2312" w:hAnsi="宋体" w:eastAsia="仿宋_GB2312" w:cs="宋体"/>
                <w:kern w:val="0"/>
                <w:sz w:val="20"/>
                <w:szCs w:val="20"/>
              </w:rPr>
            </w:pPr>
          </w:p>
        </w:tc>
        <w:tc>
          <w:tcPr>
            <w:tcW w:w="429" w:type="dxa"/>
            <w:vMerge w:val="continue"/>
            <w:tcBorders>
              <w:top w:val="single" w:color="auto" w:sz="4" w:space="0"/>
              <w:bottom w:val="single" w:color="auto" w:sz="4" w:space="0"/>
            </w:tcBorders>
            <w:vAlign w:val="center"/>
          </w:tcPr>
          <w:p>
            <w:pPr>
              <w:widowControl/>
              <w:jc w:val="center"/>
              <w:rPr>
                <w:rFonts w:hint="eastAsia" w:ascii="仿宋_GB2312" w:hAnsi="宋体" w:eastAsia="仿宋_GB2312" w:cs="宋体"/>
                <w:kern w:val="0"/>
                <w:sz w:val="20"/>
                <w:szCs w:val="20"/>
              </w:rPr>
            </w:pPr>
          </w:p>
        </w:tc>
        <w:tc>
          <w:tcPr>
            <w:tcW w:w="567" w:type="dxa"/>
            <w:vMerge w:val="continue"/>
            <w:tcBorders>
              <w:top w:val="single" w:color="auto" w:sz="4" w:space="0"/>
              <w:bottom w:val="single" w:color="auto" w:sz="4" w:space="0"/>
            </w:tcBorders>
            <w:vAlign w:val="center"/>
          </w:tcPr>
          <w:p>
            <w:pPr>
              <w:widowControl/>
              <w:jc w:val="center"/>
              <w:rPr>
                <w:rFonts w:hint="eastAsia" w:ascii="仿宋_GB2312" w:hAnsi="宋体" w:eastAsia="仿宋_GB2312" w:cs="宋体"/>
                <w:kern w:val="0"/>
                <w:sz w:val="20"/>
                <w:szCs w:val="20"/>
              </w:rPr>
            </w:pPr>
          </w:p>
        </w:tc>
        <w:tc>
          <w:tcPr>
            <w:tcW w:w="851" w:type="dxa"/>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生态  效益</w:t>
            </w:r>
          </w:p>
        </w:tc>
        <w:tc>
          <w:tcPr>
            <w:tcW w:w="567" w:type="dxa"/>
            <w:vMerge w:val="continue"/>
            <w:vAlign w:val="center"/>
          </w:tcPr>
          <w:p>
            <w:pPr>
              <w:widowControl/>
              <w:jc w:val="both"/>
              <w:rPr>
                <w:rFonts w:hint="eastAsia" w:ascii="仿宋_GB2312" w:hAnsi="宋体" w:eastAsia="仿宋_GB2312" w:cs="宋体"/>
                <w:kern w:val="0"/>
                <w:sz w:val="20"/>
                <w:szCs w:val="20"/>
              </w:rPr>
            </w:pPr>
          </w:p>
        </w:tc>
        <w:tc>
          <w:tcPr>
            <w:tcW w:w="6590" w:type="dxa"/>
            <w:gridSpan w:val="2"/>
            <w:vMerge w:val="continue"/>
            <w:vAlign w:val="center"/>
          </w:tcPr>
          <w:p>
            <w:pPr>
              <w:widowControl/>
              <w:jc w:val="left"/>
              <w:rPr>
                <w:rFonts w:hint="eastAsia" w:ascii="仿宋_GB2312" w:hAnsi="宋体" w:eastAsia="仿宋_GB2312" w:cs="宋体"/>
                <w:kern w:val="0"/>
                <w:sz w:val="20"/>
                <w:szCs w:val="20"/>
              </w:rPr>
            </w:pPr>
          </w:p>
        </w:tc>
        <w:tc>
          <w:tcPr>
            <w:tcW w:w="617" w:type="dxa"/>
            <w:vMerge w:val="continue"/>
            <w:vAlign w:val="center"/>
          </w:tcPr>
          <w:p>
            <w:pPr>
              <w:widowControl/>
              <w:jc w:val="center"/>
              <w:rPr>
                <w:rFonts w:hint="eastAsia" w:ascii="宋体" w:hAnsi="宋体" w:eastAsia="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0" w:hRule="atLeast"/>
          <w:jc w:val="center"/>
        </w:trPr>
        <w:tc>
          <w:tcPr>
            <w:tcW w:w="411" w:type="dxa"/>
            <w:vMerge w:val="continue"/>
            <w:tcBorders>
              <w:top w:val="single" w:color="auto" w:sz="4" w:space="0"/>
              <w:bottom w:val="single" w:color="auto" w:sz="4" w:space="0"/>
            </w:tcBorders>
            <w:vAlign w:val="center"/>
          </w:tcPr>
          <w:p>
            <w:pPr>
              <w:widowControl/>
              <w:jc w:val="center"/>
              <w:rPr>
                <w:rFonts w:ascii="仿宋_GB2312" w:hAnsi="宋体" w:eastAsia="仿宋_GB2312" w:cs="宋体"/>
                <w:kern w:val="0"/>
                <w:sz w:val="20"/>
                <w:szCs w:val="20"/>
              </w:rPr>
            </w:pPr>
          </w:p>
        </w:tc>
        <w:tc>
          <w:tcPr>
            <w:tcW w:w="429" w:type="dxa"/>
            <w:vMerge w:val="continue"/>
            <w:tcBorders>
              <w:top w:val="single" w:color="auto" w:sz="4" w:space="0"/>
              <w:bottom w:val="single" w:color="auto" w:sz="4" w:space="0"/>
            </w:tcBorders>
            <w:vAlign w:val="center"/>
          </w:tcPr>
          <w:p>
            <w:pPr>
              <w:widowControl/>
              <w:jc w:val="center"/>
              <w:rPr>
                <w:rFonts w:hint="eastAsia" w:ascii="仿宋_GB2312" w:hAnsi="宋体" w:eastAsia="仿宋_GB2312" w:cs="宋体"/>
                <w:kern w:val="0"/>
                <w:sz w:val="20"/>
                <w:szCs w:val="20"/>
              </w:rPr>
            </w:pPr>
          </w:p>
        </w:tc>
        <w:tc>
          <w:tcPr>
            <w:tcW w:w="567" w:type="dxa"/>
            <w:vMerge w:val="continue"/>
            <w:tcBorders>
              <w:top w:val="single" w:color="auto" w:sz="4" w:space="0"/>
              <w:bottom w:val="single" w:color="auto" w:sz="4" w:space="0"/>
            </w:tcBorders>
            <w:vAlign w:val="center"/>
          </w:tcPr>
          <w:p>
            <w:pPr>
              <w:widowControl/>
              <w:jc w:val="center"/>
              <w:rPr>
                <w:rFonts w:hint="eastAsia" w:ascii="仿宋_GB2312" w:hAnsi="宋体" w:eastAsia="仿宋_GB2312" w:cs="宋体"/>
                <w:kern w:val="0"/>
                <w:sz w:val="20"/>
                <w:szCs w:val="20"/>
              </w:rPr>
            </w:pPr>
          </w:p>
        </w:tc>
        <w:tc>
          <w:tcPr>
            <w:tcW w:w="851" w:type="dxa"/>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社会公众或服务对象满意度</w:t>
            </w:r>
          </w:p>
        </w:tc>
        <w:tc>
          <w:tcPr>
            <w:tcW w:w="567" w:type="dxa"/>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90%（含）以上计2分；</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80%（含）-90%，计1分；70%（含）-80%，计0.5分；低于70%,计0分。</w:t>
            </w:r>
          </w:p>
        </w:tc>
        <w:tc>
          <w:tcPr>
            <w:tcW w:w="3472" w:type="dxa"/>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社会公众或服务对象是指部门（单位）履行职责而影响到的部门，群体或个人，一般采取社会调查的方式(不少于30份)。</w:t>
            </w:r>
          </w:p>
        </w:tc>
        <w:tc>
          <w:tcPr>
            <w:tcW w:w="617" w:type="dxa"/>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6" w:hRule="atLeast"/>
          <w:jc w:val="center"/>
        </w:trPr>
        <w:tc>
          <w:tcPr>
            <w:tcW w:w="840" w:type="dxa"/>
            <w:gridSpan w:val="2"/>
            <w:vAlign w:val="center"/>
          </w:tcPr>
          <w:p>
            <w:pPr>
              <w:widowControl/>
              <w:jc w:val="center"/>
              <w:rPr>
                <w:rFonts w:hint="eastAsia" w:ascii="仿宋_GB2312" w:hAnsi="宋体" w:eastAsia="仿宋_GB2312" w:cs="宋体"/>
                <w:kern w:val="0"/>
                <w:sz w:val="22"/>
                <w:szCs w:val="22"/>
              </w:rPr>
            </w:pPr>
            <w:r>
              <w:rPr>
                <w:rFonts w:hint="eastAsia" w:ascii="仿宋_GB2312" w:hAnsi="宋体" w:eastAsia="仿宋_GB2312" w:cs="宋体"/>
                <w:kern w:val="0"/>
                <w:sz w:val="22"/>
                <w:szCs w:val="22"/>
              </w:rPr>
              <w:t>合计</w:t>
            </w:r>
          </w:p>
        </w:tc>
        <w:tc>
          <w:tcPr>
            <w:tcW w:w="8575" w:type="dxa"/>
            <w:gridSpan w:val="5"/>
            <w:vAlign w:val="center"/>
          </w:tcPr>
          <w:p>
            <w:pPr>
              <w:widowControl/>
              <w:jc w:val="left"/>
              <w:rPr>
                <w:rFonts w:hint="eastAsia" w:ascii="仿宋_GB2312" w:hAnsi="宋体" w:eastAsia="仿宋_GB2312" w:cs="宋体"/>
                <w:kern w:val="0"/>
                <w:sz w:val="20"/>
                <w:szCs w:val="20"/>
              </w:rPr>
            </w:pPr>
          </w:p>
        </w:tc>
        <w:tc>
          <w:tcPr>
            <w:tcW w:w="617" w:type="dxa"/>
            <w:vAlign w:val="center"/>
          </w:tcPr>
          <w:p>
            <w:pPr>
              <w:widowControl/>
              <w:jc w:val="center"/>
              <w:rPr>
                <w:rFonts w:hint="default" w:ascii="宋体" w:hAnsi="宋体" w:eastAsia="宋体" w:cs="宋体"/>
                <w:kern w:val="0"/>
                <w:sz w:val="24"/>
                <w:szCs w:val="24"/>
                <w:lang w:val="en-US" w:eastAsia="zh-CN"/>
              </w:rPr>
            </w:pPr>
            <w:r>
              <w:rPr>
                <w:rFonts w:hint="eastAsia" w:ascii="宋体" w:hAnsi="宋体" w:cs="宋体"/>
                <w:kern w:val="0"/>
                <w:sz w:val="24"/>
                <w:szCs w:val="24"/>
                <w:lang w:val="en-US" w:eastAsia="zh-CN"/>
              </w:rPr>
              <w:t>90</w:t>
            </w:r>
          </w:p>
        </w:tc>
      </w:tr>
    </w:tbl>
    <w:p>
      <w:pPr>
        <w:spacing w:line="600" w:lineRule="exact"/>
        <w:rPr>
          <w:rFonts w:ascii="宋体" w:hAnsi="宋体" w:cs="宋体"/>
          <w:kern w:val="0"/>
          <w:sz w:val="32"/>
          <w:szCs w:val="32"/>
        </w:rPr>
      </w:pPr>
    </w:p>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4DCE745"/>
    <w:multiLevelType w:val="singleLevel"/>
    <w:tmpl w:val="84DCE745"/>
    <w:lvl w:ilvl="0" w:tentative="0">
      <w:start w:val="3"/>
      <w:numFmt w:val="decimal"/>
      <w:suff w:val="nothing"/>
      <w:lvlText w:val="（%1）"/>
      <w:lvlJc w:val="left"/>
    </w:lvl>
  </w:abstractNum>
  <w:abstractNum w:abstractNumId="1">
    <w:nsid w:val="AD63FC11"/>
    <w:multiLevelType w:val="singleLevel"/>
    <w:tmpl w:val="AD63FC11"/>
    <w:lvl w:ilvl="0" w:tentative="0">
      <w:start w:val="1"/>
      <w:numFmt w:val="chineseCounting"/>
      <w:suff w:val="nothing"/>
      <w:lvlText w:val="（%1）"/>
      <w:lvlJc w:val="left"/>
      <w:rPr>
        <w:rFonts w:hint="eastAsia"/>
      </w:rPr>
    </w:lvl>
  </w:abstractNum>
  <w:abstractNum w:abstractNumId="2">
    <w:nsid w:val="EFADE470"/>
    <w:multiLevelType w:val="singleLevel"/>
    <w:tmpl w:val="EFADE470"/>
    <w:lvl w:ilvl="0" w:tentative="0">
      <w:start w:val="4"/>
      <w:numFmt w:val="chineseCounting"/>
      <w:suff w:val="nothing"/>
      <w:lvlText w:val="%1、"/>
      <w:lvlJc w:val="left"/>
      <w:rPr>
        <w:rFonts w:hint="eastAsia"/>
      </w:rPr>
    </w:lvl>
  </w:abstractNum>
  <w:abstractNum w:abstractNumId="3">
    <w:nsid w:val="59EBF67F"/>
    <w:multiLevelType w:val="singleLevel"/>
    <w:tmpl w:val="59EBF67F"/>
    <w:lvl w:ilvl="0" w:tentative="0">
      <w:start w:val="6"/>
      <w:numFmt w:val="chineseCounting"/>
      <w:suff w:val="nothing"/>
      <w:lvlText w:val="%1、"/>
      <w:lvlJc w:val="left"/>
      <w:rPr>
        <w:rFonts w:hint="eastAsia"/>
      </w:rPr>
    </w:lvl>
  </w:abstractNum>
  <w:abstractNum w:abstractNumId="4">
    <w:nsid w:val="635235AE"/>
    <w:multiLevelType w:val="singleLevel"/>
    <w:tmpl w:val="635235AE"/>
    <w:lvl w:ilvl="0" w:tentative="0">
      <w:start w:val="2"/>
      <w:numFmt w:val="decimal"/>
      <w:suff w:val="nothing"/>
      <w:lvlText w:val="（%1）"/>
      <w:lvlJc w:val="left"/>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5"/>
  <w:bordersDoNotSurroundHeader w:val="0"/>
  <w:bordersDoNotSurroundFooter w:val="0"/>
  <w:documentProtection w:enforcement="0"/>
  <w:defaultTabStop w:val="420"/>
  <w:drawingGridHorizontalSpacing w:val="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1"/>
  </w:compat>
  <w:docVars>
    <w:docVar w:name="commondata" w:val="eyJoZGlkIjoiZmY3NmEyMzIxN2IwYzJhZjNkYjY4MjkxNjhjY2NmMmMifQ=="/>
  </w:docVars>
  <w:rsids>
    <w:rsidRoot w:val="00000000"/>
    <w:rsid w:val="14443F90"/>
    <w:rsid w:val="384733EF"/>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paragraph" w:styleId="4">
    <w:name w:val="Normal (Web)"/>
    <w:basedOn w:val="1"/>
    <w:qFormat/>
    <w:uiPriority w:val="0"/>
    <w:rPr>
      <w:sz w:val="24"/>
    </w:rPr>
  </w:style>
  <w:style w:type="character" w:styleId="7">
    <w:name w:val="page number"/>
    <w:basedOn w:val="6"/>
    <w:qFormat/>
    <w:uiPriority w:val="0"/>
  </w:style>
  <w:style w:type="character" w:styleId="8">
    <w:name w:val="FollowedHyperlink"/>
    <w:basedOn w:val="6"/>
    <w:qFormat/>
    <w:uiPriority w:val="0"/>
    <w:rPr>
      <w:color w:val="444444"/>
      <w:u w:val="none"/>
    </w:rPr>
  </w:style>
  <w:style w:type="character" w:styleId="9">
    <w:name w:val="Hyperlink"/>
    <w:basedOn w:val="6"/>
    <w:uiPriority w:val="0"/>
    <w:rPr>
      <w:color w:val="444444"/>
      <w:u w:val="none"/>
    </w:rPr>
  </w:style>
  <w:style w:type="character" w:customStyle="1" w:styleId="10">
    <w:name w:val="gai"/>
    <w:basedOn w:val="6"/>
    <w:qFormat/>
    <w:uiPriority w:val="0"/>
  </w:style>
  <w:style w:type="character" w:customStyle="1" w:styleId="11">
    <w:name w:val="gai1"/>
    <w:basedOn w:val="6"/>
    <w:qFormat/>
    <w:uiPriority w:val="0"/>
  </w:style>
  <w:style w:type="character" w:customStyle="1" w:styleId="12">
    <w:name w:val="gai2"/>
    <w:basedOn w:val="6"/>
    <w:qFormat/>
    <w:uiPriority w:val="0"/>
  </w:style>
  <w:style w:type="character" w:customStyle="1" w:styleId="13">
    <w:name w:val="gai3"/>
    <w:basedOn w:val="6"/>
    <w:qFormat/>
    <w:uiPriority w:val="0"/>
  </w:style>
  <w:style w:type="character" w:customStyle="1" w:styleId="14">
    <w:name w:val="gai4"/>
    <w:basedOn w:val="6"/>
    <w:qFormat/>
    <w:uiPriority w:val="0"/>
  </w:style>
  <w:style w:type="character" w:customStyle="1" w:styleId="15">
    <w:name w:val="you"/>
    <w:basedOn w:val="6"/>
    <w:uiPriority w:val="0"/>
  </w:style>
  <w:style w:type="character" w:customStyle="1" w:styleId="16">
    <w:name w:val="info-valid"/>
    <w:basedOn w:val="6"/>
    <w:qFormat/>
    <w:uiPriority w:val="0"/>
    <w:rPr>
      <w:color w:val="444444"/>
    </w:rPr>
  </w:style>
  <w:style w:type="character" w:customStyle="1" w:styleId="17">
    <w:name w:val="tit2"/>
    <w:basedOn w:val="6"/>
    <w:qFormat/>
    <w:uiPriority w:val="0"/>
    <w:rPr>
      <w:color w:val="1D0000"/>
      <w:sz w:val="33"/>
      <w:szCs w:val="33"/>
    </w:rPr>
  </w:style>
  <w:style w:type="character" w:customStyle="1" w:styleId="18">
    <w:name w:val="tianqi"/>
    <w:basedOn w:val="6"/>
    <w:uiPriority w:val="0"/>
  </w:style>
  <w:style w:type="character" w:customStyle="1" w:styleId="19">
    <w:name w:val="sjzs"/>
    <w:basedOn w:val="6"/>
    <w:qFormat/>
    <w:uiPriority w:val="0"/>
    <w:rPr>
      <w:sz w:val="27"/>
      <w:szCs w:val="27"/>
    </w:rPr>
  </w:style>
  <w:style w:type="character" w:customStyle="1" w:styleId="20">
    <w:name w:val="quanp"/>
    <w:basedOn w:val="6"/>
    <w:qFormat/>
    <w:uiPriority w:val="0"/>
    <w:rPr>
      <w:color w:val="FFFFFF"/>
      <w:shd w:val="clear" w:color="010000" w:fill="7CB8FE"/>
    </w:rPr>
  </w:style>
  <w:style w:type="character" w:customStyle="1" w:styleId="21">
    <w:name w:val="lname"/>
    <w:basedOn w:val="6"/>
    <w:qFormat/>
    <w:uiPriority w:val="0"/>
    <w:rPr>
      <w:color w:val="000000"/>
      <w:sz w:val="30"/>
      <w:szCs w:val="30"/>
    </w:rPr>
  </w:style>
  <w:style w:type="character" w:customStyle="1" w:styleId="22">
    <w:name w:val="first-child4"/>
    <w:basedOn w:val="6"/>
    <w:qFormat/>
    <w:uiPriority w:val="0"/>
    <w:rPr>
      <w:color w:val="BD1B09"/>
    </w:rPr>
  </w:style>
  <w:style w:type="character" w:customStyle="1" w:styleId="23">
    <w:name w:val="first-child5"/>
    <w:basedOn w:val="6"/>
    <w:qFormat/>
    <w:uiPriority w:val="0"/>
    <w:rPr>
      <w:color w:val="878787"/>
      <w:sz w:val="36"/>
      <w:szCs w:val="36"/>
      <w:shd w:val="clear" w:color="030000" w:fill="FFFFFF"/>
    </w:rPr>
  </w:style>
  <w:style w:type="character" w:customStyle="1" w:styleId="24">
    <w:name w:val="ldjs"/>
    <w:basedOn w:val="6"/>
    <w:qFormat/>
    <w:uiPriority w:val="0"/>
    <w:rPr>
      <w:color w:val="666666"/>
      <w:sz w:val="24"/>
      <w:szCs w:val="24"/>
    </w:rPr>
  </w:style>
  <w:style w:type="character" w:customStyle="1" w:styleId="25">
    <w:name w:val="quanp2"/>
    <w:basedOn w:val="6"/>
    <w:qFormat/>
    <w:uiPriority w:val="0"/>
    <w:rPr>
      <w:color w:val="FFFFFF"/>
      <w:sz w:val="16"/>
      <w:szCs w:val="16"/>
      <w:shd w:val="clear" w:color="030000" w:fill="7CB8FE"/>
    </w:rPr>
  </w:style>
  <w:style w:type="character" w:customStyle="1" w:styleId="26">
    <w:name w:val="jiaoluo"/>
    <w:basedOn w:val="6"/>
    <w:qFormat/>
    <w:uiPriority w:val="0"/>
  </w:style>
  <w:style w:type="character" w:customStyle="1" w:styleId="27">
    <w:name w:val="last3"/>
    <w:basedOn w:val="6"/>
    <w:qFormat/>
    <w:uiPriority w:val="0"/>
  </w:style>
  <w:style w:type="character" w:customStyle="1" w:styleId="28">
    <w:name w:val="last4"/>
    <w:basedOn w:val="6"/>
    <w:qFormat/>
    <w:uiPriority w:val="0"/>
  </w:style>
  <w:style w:type="character" w:customStyle="1" w:styleId="29">
    <w:name w:val="fanhui"/>
    <w:basedOn w:val="6"/>
    <w:qFormat/>
    <w:uiPriority w:val="0"/>
    <w:rPr>
      <w:color w:val="FFFFFF"/>
      <w:sz w:val="24"/>
      <w:szCs w:val="24"/>
    </w:rPr>
  </w:style>
  <w:style w:type="character" w:customStyle="1" w:styleId="30">
    <w:name w:val="jiaoluo2"/>
    <w:basedOn w:val="6"/>
    <w:qFormat/>
    <w:uiPriority w:val="0"/>
  </w:style>
  <w:style w:type="character" w:customStyle="1" w:styleId="31">
    <w:name w:val="zuo"/>
    <w:basedOn w:val="6"/>
    <w:qFormat/>
    <w:uiPriority w:val="0"/>
  </w:style>
  <w:style w:type="character" w:customStyle="1" w:styleId="32">
    <w:name w:val="dcs"/>
    <w:basedOn w:val="6"/>
    <w:qFormat/>
    <w:uiPriority w:val="0"/>
    <w:rPr>
      <w:color w:val="BD1B09"/>
    </w:rPr>
  </w:style>
  <w:style w:type="character" w:customStyle="1" w:styleId="33">
    <w:name w:val="time"/>
    <w:basedOn w:val="6"/>
    <w:qFormat/>
    <w:uiPriority w:val="0"/>
    <w:rPr>
      <w:color w:val="999999"/>
    </w:rPr>
  </w:style>
  <w:style w:type="character" w:customStyle="1" w:styleId="34">
    <w:name w:val="time1"/>
    <w:basedOn w:val="6"/>
    <w:qFormat/>
    <w:uiPriority w:val="0"/>
    <w:rPr>
      <w:color w:val="999999"/>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15</Pages>
  <Words>7591</Words>
  <Characters>8019</Characters>
  <Lines>0</Lines>
  <Paragraphs>0</Paragraphs>
  <TotalTime>10</TotalTime>
  <ScaleCrop>false</ScaleCrop>
  <LinksUpToDate>false</LinksUpToDate>
  <CharactersWithSpaces>8187</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2022-10-10T08:53:00Z</dcterms:created>
  <dc:creator>Administrator</dc:creator>
  <cp:lastModifiedBy>筠</cp:lastModifiedBy>
  <cp:lastPrinted>2022-10-21T07:22:00Z</cp:lastPrinted>
  <dcterms:modified xsi:type="dcterms:W3CDTF">2022-10-22T10:22:56Z</dcterms:modified>
  <dc:title>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2F54F18A2CE84DADA1B21E746E2F1685</vt:lpwstr>
  </property>
</Properties>
</file>