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第五部分</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color="040000" w:fill="FFFFFF"/>
        </w:rPr>
        <w:t> </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color="050000" w:fill="FFFFFF"/>
        </w:rPr>
        <w:t>附件</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color="040000" w:fill="FFFFFF"/>
        </w:rPr>
        <w:t> </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83" w:firstLineChars="200"/>
        <w:jc w:val="both"/>
        <w:rPr>
          <w:rFonts w:hint="eastAsia" w:ascii="宋体" w:hAnsi="宋体" w:eastAsia="宋体" w:cs="宋体"/>
          <w:sz w:val="44"/>
          <w:szCs w:val="44"/>
          <w:lang w:eastAsia="zh-CN"/>
        </w:rPr>
      </w:pPr>
      <w:r>
        <w:rPr>
          <w:rFonts w:hint="eastAsia" w:ascii="宋体" w:hAnsi="宋体" w:eastAsia="宋体" w:cs="宋体"/>
          <w:b/>
          <w:bCs/>
          <w:color w:val="444444"/>
          <w:sz w:val="44"/>
          <w:szCs w:val="44"/>
          <w:shd w:val="clear" w:color="060000" w:fill="FFFFFF"/>
        </w:rPr>
        <w:t>2021年度部门整体支出绩效评价报告</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一、部门概况</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（一）基本情况</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宋体" w:hAnsi="宋体" w:cs="宋体"/>
          <w:color w:val="444444"/>
          <w:kern w:val="0"/>
          <w:sz w:val="28"/>
          <w:szCs w:val="28"/>
          <w:shd w:val="clear" w:color="050000" w:fill="FFFFFF"/>
          <w:lang w:val="en-US" w:eastAsia="zh-CN"/>
        </w:rPr>
        <w:t xml:space="preserve"> </w:t>
      </w:r>
      <w:r>
        <w:rPr>
          <w:rFonts w:hint="eastAsia" w:asciiTheme="minorEastAsia" w:hAnsiTheme="minorEastAsia" w:eastAsiaTheme="minorEastAsia" w:cstheme="minorEastAsia"/>
          <w:i w:val="0"/>
          <w:iCs w:val="0"/>
          <w:caps w:val="0"/>
          <w:color w:val="555555"/>
          <w:spacing w:val="0"/>
          <w:sz w:val="24"/>
          <w:szCs w:val="24"/>
          <w:shd w:val="clear" w:fill="FFFFFF"/>
        </w:rPr>
        <w:t>(一)承担全县劳动就业服务、落实就业促进政策、提供就业政策咨询等事务性工作。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(二)承担实施再就业与创业工程、推进创业带动就业工作组织创业培训、培育创业平台、转化创业项目、提供创业服务开展创业活动、落实创业担保贷款和创业扶持政策等事务性工作。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(三)承担组织本行政区域内城乡劳动力就业失业信息采集统计工作，逐步建立实名制数据库和失业预警机制。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(四)承担对就业困难人员实施就业援助等事务性工作，做好以高校毕业生为重点的青年就业服务工作。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(五)承担就业技能培训、创业培训等事务性工作，拟订就业专项资金使用计划。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(六)承担失业保险参保单位参保登记、人员变更、失业人员待遇发放等经办服务工作;承担失业保险政策性补贴的申报受理、审核、发放工作等事务性工作。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(七)促进本行政区域内农村劳动力转移就业，实施就业扶贫，开展劳务协作。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(八)协助做好城镇社区就业服务工作，推动基层就业服务平台建设，确保城镇登记失业率不超出规定值。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(九)协助做好本行政区域内公共就业服务体系建设，推进就业服务信息化、便民化和精细化。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Theme="minorEastAsia" w:hAnsiTheme="minorEastAsia" w:eastAsiaTheme="minorEastAsia" w:cstheme="minorEastAsia"/>
          <w:i w:val="0"/>
          <w:iCs w:val="0"/>
          <w:caps w:val="0"/>
          <w:color w:val="555555"/>
          <w:spacing w:val="0"/>
          <w:sz w:val="24"/>
          <w:szCs w:val="24"/>
        </w:rPr>
      </w:pPr>
      <w:r>
        <w:rPr>
          <w:rFonts w:hint="eastAsia" w:asciiTheme="minorEastAsia" w:hAnsiTheme="minorEastAsia" w:eastAsiaTheme="minorEastAsia" w:cstheme="minorEastAsia"/>
          <w:i w:val="0"/>
          <w:iCs w:val="0"/>
          <w:caps w:val="0"/>
          <w:color w:val="555555"/>
          <w:spacing w:val="0"/>
          <w:sz w:val="24"/>
          <w:szCs w:val="24"/>
          <w:shd w:val="clear" w:fill="FFFFFF"/>
        </w:rPr>
        <w:t>(十)承办</w:t>
      </w:r>
      <w:r>
        <w:rPr>
          <w:rFonts w:hint="eastAsia" w:asciiTheme="minorEastAsia" w:hAnsiTheme="minorEastAsia" w:eastAsiaTheme="minorEastAsia" w:cstheme="minorEastAsia"/>
          <w:i w:val="0"/>
          <w:iCs w:val="0"/>
          <w:caps w:val="0"/>
          <w:color w:val="555555"/>
          <w:spacing w:val="0"/>
          <w:sz w:val="24"/>
          <w:szCs w:val="24"/>
          <w:shd w:val="clear" w:fill="FFFFFF"/>
          <w:lang w:eastAsia="zh-CN"/>
        </w:rPr>
        <w:t>区</w:t>
      </w:r>
      <w:r>
        <w:rPr>
          <w:rFonts w:hint="eastAsia" w:asciiTheme="minorEastAsia" w:hAnsiTheme="minorEastAsia" w:eastAsiaTheme="minorEastAsia" w:cstheme="minorEastAsia"/>
          <w:i w:val="0"/>
          <w:iCs w:val="0"/>
          <w:caps w:val="0"/>
          <w:color w:val="555555"/>
          <w:spacing w:val="0"/>
          <w:sz w:val="24"/>
          <w:szCs w:val="24"/>
          <w:shd w:val="clear" w:fill="FFFFFF"/>
        </w:rPr>
        <w:t>人力资源和社会保障局交办的其他工作。</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280" w:firstLineChars="100"/>
        <w:jc w:val="left"/>
        <w:rPr>
          <w:rFonts w:hint="eastAsia" w:ascii="宋体" w:hAnsi="宋体" w:eastAsia="宋体" w:cs="宋体"/>
          <w:color w:val="444444"/>
          <w:kern w:val="0"/>
          <w:sz w:val="28"/>
          <w:szCs w:val="28"/>
          <w:shd w:val="clear" w:color="050000" w:fill="FFFFFF"/>
          <w:lang w:val="en-US" w:eastAsia="zh-CN"/>
        </w:rPr>
      </w:pPr>
    </w:p>
    <w:p>
      <w:pPr>
        <w:pStyle w:val="5"/>
        <w:widowControl/>
        <w:numPr>
          <w:ilvl w:val="0"/>
          <w:numId w:val="1"/>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机构情况</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280" w:firstLineChars="1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纳入202</w:t>
      </w:r>
      <w:r>
        <w:rPr>
          <w:rFonts w:hint="eastAsia" w:ascii="宋体" w:hAnsi="宋体" w:cs="宋体"/>
          <w:color w:val="444444"/>
          <w:kern w:val="0"/>
          <w:sz w:val="28"/>
          <w:szCs w:val="28"/>
          <w:shd w:val="clear" w:color="050000" w:fill="FFFFFF"/>
          <w:lang w:val="en-US" w:eastAsia="zh-CN"/>
        </w:rPr>
        <w:t>1</w:t>
      </w:r>
      <w:r>
        <w:rPr>
          <w:rFonts w:hint="eastAsia" w:ascii="宋体" w:hAnsi="宋体" w:eastAsia="宋体" w:cs="宋体"/>
          <w:color w:val="444444"/>
          <w:kern w:val="0"/>
          <w:sz w:val="28"/>
          <w:szCs w:val="28"/>
          <w:shd w:val="clear" w:color="050000" w:fill="FFFFFF"/>
        </w:rPr>
        <w:t>年部门</w:t>
      </w:r>
      <w:r>
        <w:rPr>
          <w:rFonts w:hint="eastAsia" w:ascii="宋体" w:hAnsi="宋体" w:cs="宋体"/>
          <w:color w:val="444444"/>
          <w:kern w:val="0"/>
          <w:sz w:val="28"/>
          <w:szCs w:val="28"/>
          <w:shd w:val="clear" w:color="050000" w:fill="FFFFFF"/>
          <w:lang w:eastAsia="zh-CN"/>
        </w:rPr>
        <w:t>决算</w:t>
      </w:r>
      <w:r>
        <w:rPr>
          <w:rFonts w:hint="eastAsia" w:ascii="宋体" w:hAnsi="宋体" w:eastAsia="宋体" w:cs="宋体"/>
          <w:color w:val="444444"/>
          <w:kern w:val="0"/>
          <w:sz w:val="28"/>
          <w:szCs w:val="28"/>
          <w:shd w:val="clear" w:color="050000" w:fill="FFFFFF"/>
        </w:rPr>
        <w:t>编报的单位1个，包含北塔区就业服务中心，本部门无内设机构。</w:t>
      </w:r>
    </w:p>
    <w:p>
      <w:pPr>
        <w:pStyle w:val="5"/>
        <w:widowControl/>
        <w:numPr>
          <w:ilvl w:val="0"/>
          <w:numId w:val="2"/>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人员情况</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cs="宋体"/>
          <w:color w:val="444444"/>
          <w:kern w:val="0"/>
          <w:sz w:val="28"/>
          <w:szCs w:val="28"/>
          <w:shd w:val="clear" w:color="050000" w:fill="FFFFFF"/>
          <w:lang w:val="en-US" w:eastAsia="zh-CN"/>
        </w:rPr>
        <w:t xml:space="preserve"> </w:t>
      </w:r>
      <w:r>
        <w:rPr>
          <w:rFonts w:hint="eastAsia" w:ascii="宋体" w:hAnsi="宋体" w:eastAsia="宋体" w:cs="宋体"/>
          <w:color w:val="444444"/>
          <w:kern w:val="0"/>
          <w:sz w:val="28"/>
          <w:szCs w:val="28"/>
          <w:shd w:val="clear" w:color="050000" w:fill="FFFFFF"/>
        </w:rPr>
        <w:t>北塔区就业服务中心行政编制人数3人，实有人数10人，其中在职2人，离退休2人，其他人员6人。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二、部门整体支出管理及使用情况</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（一）基本支出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基本支出系保障我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基本支出</w:t>
      </w:r>
      <w:r>
        <w:rPr>
          <w:rFonts w:hint="eastAsia" w:ascii="宋体" w:hAnsi="宋体" w:cs="宋体"/>
          <w:color w:val="444444"/>
          <w:kern w:val="0"/>
          <w:sz w:val="28"/>
          <w:szCs w:val="28"/>
          <w:shd w:val="clear" w:color="050000" w:fill="FFFFFF"/>
          <w:lang w:val="en-US" w:eastAsia="zh-CN"/>
        </w:rPr>
        <w:t>36.92</w:t>
      </w:r>
      <w:r>
        <w:rPr>
          <w:rFonts w:hint="eastAsia" w:ascii="宋体" w:hAnsi="宋体" w:eastAsia="宋体" w:cs="宋体"/>
          <w:color w:val="444444"/>
          <w:kern w:val="0"/>
          <w:sz w:val="28"/>
          <w:szCs w:val="28"/>
          <w:shd w:val="clear" w:color="050000" w:fill="FFFFFF"/>
        </w:rPr>
        <w:t>万元，比上年同口径</w:t>
      </w:r>
      <w:r>
        <w:rPr>
          <w:rFonts w:hint="eastAsia" w:ascii="宋体" w:hAnsi="宋体" w:cs="宋体"/>
          <w:color w:val="444444"/>
          <w:kern w:val="0"/>
          <w:sz w:val="28"/>
          <w:szCs w:val="28"/>
          <w:shd w:val="clear" w:color="050000" w:fill="FFFFFF"/>
          <w:lang w:val="en-US" w:eastAsia="zh-CN"/>
        </w:rPr>
        <w:t>增加24.68</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增加201.63</w:t>
      </w:r>
      <w:r>
        <w:rPr>
          <w:rFonts w:hint="eastAsia" w:ascii="宋体" w:hAnsi="宋体" w:eastAsia="宋体" w:cs="宋体"/>
          <w:color w:val="444444"/>
          <w:kern w:val="0"/>
          <w:sz w:val="28"/>
          <w:szCs w:val="28"/>
          <w:shd w:val="clear" w:color="050000" w:fill="FFFFFF"/>
        </w:rPr>
        <w:t>%。其中：工资福利支出</w:t>
      </w:r>
      <w:r>
        <w:rPr>
          <w:rFonts w:hint="eastAsia" w:ascii="宋体" w:hAnsi="宋体" w:cs="宋体"/>
          <w:color w:val="444444"/>
          <w:kern w:val="0"/>
          <w:sz w:val="28"/>
          <w:szCs w:val="28"/>
          <w:shd w:val="clear" w:color="050000" w:fill="FFFFFF"/>
          <w:lang w:val="en-US" w:eastAsia="zh-CN"/>
        </w:rPr>
        <w:t>20.17</w:t>
      </w:r>
      <w:r>
        <w:rPr>
          <w:rFonts w:hint="eastAsia" w:ascii="宋体" w:hAnsi="宋体" w:eastAsia="宋体" w:cs="宋体"/>
          <w:color w:val="444444"/>
          <w:kern w:val="0"/>
          <w:sz w:val="28"/>
          <w:szCs w:val="28"/>
          <w:shd w:val="clear" w:color="050000" w:fill="FFFFFF"/>
        </w:rPr>
        <w:t>万元，商品和服务支出</w:t>
      </w:r>
      <w:r>
        <w:rPr>
          <w:rFonts w:hint="eastAsia" w:ascii="宋体" w:hAnsi="宋体" w:cs="宋体"/>
          <w:color w:val="444444"/>
          <w:kern w:val="0"/>
          <w:sz w:val="28"/>
          <w:szCs w:val="28"/>
          <w:shd w:val="clear" w:color="050000" w:fill="FFFFFF"/>
          <w:lang w:val="en-US" w:eastAsia="zh-CN"/>
        </w:rPr>
        <w:t>13.9</w:t>
      </w:r>
      <w:r>
        <w:rPr>
          <w:rFonts w:hint="eastAsia" w:ascii="宋体" w:hAnsi="宋体" w:eastAsia="宋体" w:cs="宋体"/>
          <w:color w:val="444444"/>
          <w:kern w:val="0"/>
          <w:sz w:val="28"/>
          <w:szCs w:val="28"/>
          <w:shd w:val="clear" w:color="050000" w:fill="FFFFFF"/>
        </w:rPr>
        <w:t>万元，对个人和家庭的补助</w:t>
      </w:r>
      <w:r>
        <w:rPr>
          <w:rFonts w:hint="eastAsia" w:ascii="宋体" w:hAnsi="宋体" w:cs="宋体"/>
          <w:color w:val="444444"/>
          <w:kern w:val="0"/>
          <w:sz w:val="28"/>
          <w:szCs w:val="28"/>
          <w:shd w:val="clear" w:color="050000" w:fill="FFFFFF"/>
          <w:lang w:val="en-US" w:eastAsia="zh-CN"/>
        </w:rPr>
        <w:t>2.85</w:t>
      </w:r>
      <w:r>
        <w:rPr>
          <w:rFonts w:hint="eastAsia" w:ascii="宋体" w:hAnsi="宋体" w:eastAsia="宋体" w:cs="宋体"/>
          <w:color w:val="444444"/>
          <w:kern w:val="0"/>
          <w:sz w:val="28"/>
          <w:szCs w:val="28"/>
          <w:shd w:val="clear" w:color="050000" w:fill="FFFFFF"/>
        </w:rPr>
        <w:t>万元。</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2021年“三公”经费实际开支总额</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万元。其中：因公出国（境）费支出本年未发生。公务用车购置及运行维护费</w:t>
      </w:r>
      <w:r>
        <w:rPr>
          <w:rFonts w:hint="eastAsia" w:ascii="宋体" w:hAnsi="宋体" w:cs="宋体"/>
          <w:color w:val="444444"/>
          <w:kern w:val="0"/>
          <w:sz w:val="28"/>
          <w:szCs w:val="28"/>
          <w:shd w:val="clear" w:color="050000" w:fill="FFFFFF"/>
          <w:lang w:val="en-US" w:eastAsia="zh-CN"/>
        </w:rPr>
        <w:t>本年未发生</w:t>
      </w:r>
      <w:r>
        <w:rPr>
          <w:rFonts w:hint="eastAsia" w:ascii="宋体" w:hAnsi="宋体" w:eastAsia="宋体" w:cs="宋体"/>
          <w:color w:val="444444"/>
          <w:kern w:val="0"/>
          <w:sz w:val="28"/>
          <w:szCs w:val="28"/>
          <w:shd w:val="clear" w:color="050000" w:fill="FFFFFF"/>
        </w:rPr>
        <w:t>（公务用车购置费未发生，公务用车运行维护费未发生），公务用车保有量</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辆；公务接待费实际开支</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万元，公务接待</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批次</w:t>
      </w:r>
      <w:r>
        <w:rPr>
          <w:rFonts w:hint="eastAsia" w:ascii="宋体" w:hAnsi="宋体" w:cs="宋体"/>
          <w:color w:val="444444"/>
          <w:kern w:val="0"/>
          <w:sz w:val="28"/>
          <w:szCs w:val="28"/>
          <w:shd w:val="clear" w:color="050000" w:fill="FFFFFF"/>
          <w:lang w:val="en-US" w:eastAsia="zh-CN"/>
        </w:rPr>
        <w:t>0</w:t>
      </w:r>
      <w:r>
        <w:rPr>
          <w:rFonts w:hint="eastAsia" w:ascii="宋体" w:hAnsi="宋体" w:eastAsia="宋体" w:cs="宋体"/>
          <w:color w:val="444444"/>
          <w:kern w:val="0"/>
          <w:sz w:val="28"/>
          <w:szCs w:val="28"/>
          <w:shd w:val="clear" w:color="050000" w:fill="FFFFFF"/>
        </w:rPr>
        <w:t>人次。2021年“三公”经费实际开支总额比2020年同口径</w:t>
      </w:r>
      <w:r>
        <w:rPr>
          <w:rFonts w:hint="eastAsia" w:ascii="宋体" w:hAnsi="宋体" w:cs="宋体"/>
          <w:color w:val="444444"/>
          <w:kern w:val="0"/>
          <w:sz w:val="28"/>
          <w:szCs w:val="28"/>
          <w:shd w:val="clear" w:color="050000" w:fill="FFFFFF"/>
          <w:lang w:eastAsia="zh-CN"/>
        </w:rPr>
        <w:t>一致，没有发生</w:t>
      </w:r>
      <w:r>
        <w:rPr>
          <w:rFonts w:hint="eastAsia" w:ascii="宋体" w:hAnsi="宋体" w:eastAsia="宋体" w:cs="宋体"/>
          <w:color w:val="444444"/>
          <w:kern w:val="0"/>
          <w:sz w:val="28"/>
          <w:szCs w:val="28"/>
          <w:shd w:val="clear" w:color="050000" w:fill="FFFFFF"/>
        </w:rPr>
        <w:t>“三公”经费实际开支</w:t>
      </w:r>
      <w:r>
        <w:rPr>
          <w:rFonts w:hint="eastAsia" w:ascii="宋体" w:hAnsi="宋体" w:cs="宋体"/>
          <w:color w:val="444444"/>
          <w:kern w:val="0"/>
          <w:sz w:val="28"/>
          <w:szCs w:val="28"/>
          <w:shd w:val="clear" w:color="050000" w:fill="FFFFFF"/>
          <w:lang w:eastAsia="zh-CN"/>
        </w:rPr>
        <w:t>。</w:t>
      </w:r>
      <w:r>
        <w:rPr>
          <w:rFonts w:hint="eastAsia" w:ascii="宋体" w:hAnsi="宋体" w:eastAsia="宋体" w:cs="宋体"/>
          <w:color w:val="444444"/>
          <w:kern w:val="0"/>
          <w:sz w:val="28"/>
          <w:szCs w:val="28"/>
          <w:shd w:val="clear" w:color="050000" w:fill="FFFFFF"/>
        </w:rPr>
        <w:t>因为</w:t>
      </w: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按照中央、省委、省政府要求，厉行节约，继续严控“三公”经费。</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（二）专项支出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 1、专项资金安排落实等情况分析。项目支出</w:t>
      </w:r>
      <w:r>
        <w:rPr>
          <w:rFonts w:hint="eastAsia" w:ascii="宋体" w:hAnsi="宋体" w:cs="宋体"/>
          <w:color w:val="444444"/>
          <w:kern w:val="0"/>
          <w:sz w:val="28"/>
          <w:szCs w:val="28"/>
          <w:shd w:val="clear" w:color="050000" w:fill="FFFFFF"/>
          <w:lang w:val="en-US" w:eastAsia="zh-CN"/>
        </w:rPr>
        <w:t>223.32</w:t>
      </w:r>
      <w:r>
        <w:rPr>
          <w:rFonts w:hint="eastAsia" w:ascii="宋体" w:hAnsi="宋体" w:eastAsia="宋体" w:cs="宋体"/>
          <w:color w:val="444444"/>
          <w:kern w:val="0"/>
          <w:sz w:val="28"/>
          <w:szCs w:val="28"/>
          <w:shd w:val="clear" w:color="050000" w:fill="FFFFFF"/>
        </w:rPr>
        <w:t>万元，</w:t>
      </w:r>
      <w:r>
        <w:rPr>
          <w:rFonts w:hint="eastAsia" w:ascii="宋体" w:hAnsi="宋体" w:cs="宋体"/>
          <w:color w:val="444444"/>
          <w:kern w:val="0"/>
          <w:sz w:val="28"/>
          <w:szCs w:val="28"/>
          <w:shd w:val="clear" w:color="050000" w:fill="FFFFFF"/>
          <w:lang w:val="en-US" w:eastAsia="zh-CN"/>
        </w:rPr>
        <w:t>主要是扶持公共就业服务项目支出，</w:t>
      </w:r>
      <w:r>
        <w:rPr>
          <w:rFonts w:hint="eastAsia" w:ascii="宋体" w:hAnsi="宋体" w:eastAsia="宋体" w:cs="宋体"/>
          <w:color w:val="444444"/>
          <w:kern w:val="0"/>
          <w:sz w:val="28"/>
          <w:szCs w:val="28"/>
          <w:shd w:val="clear" w:color="050000" w:fill="FFFFFF"/>
        </w:rPr>
        <w:t>其中，商品服务支出</w:t>
      </w:r>
      <w:r>
        <w:rPr>
          <w:rFonts w:hint="eastAsia" w:ascii="宋体" w:hAnsi="宋体" w:cs="宋体"/>
          <w:color w:val="444444"/>
          <w:kern w:val="0"/>
          <w:sz w:val="28"/>
          <w:szCs w:val="28"/>
          <w:shd w:val="clear" w:color="050000" w:fill="FFFFFF"/>
          <w:lang w:val="en-US" w:eastAsia="zh-CN"/>
        </w:rPr>
        <w:t>191.1</w:t>
      </w:r>
      <w:r>
        <w:rPr>
          <w:rFonts w:hint="eastAsia" w:ascii="宋体" w:hAnsi="宋体" w:eastAsia="宋体" w:cs="宋体"/>
          <w:color w:val="444444"/>
          <w:kern w:val="0"/>
          <w:sz w:val="28"/>
          <w:szCs w:val="28"/>
          <w:shd w:val="clear" w:color="050000" w:fill="FFFFFF"/>
        </w:rPr>
        <w:t>万元，对个人和家庭补助</w:t>
      </w:r>
      <w:r>
        <w:rPr>
          <w:rFonts w:hint="eastAsia" w:ascii="宋体" w:hAnsi="宋体" w:cs="宋体"/>
          <w:color w:val="444444"/>
          <w:kern w:val="0"/>
          <w:sz w:val="28"/>
          <w:szCs w:val="28"/>
          <w:shd w:val="clear" w:color="050000" w:fill="FFFFFF"/>
          <w:lang w:val="en-US" w:eastAsia="zh-CN"/>
        </w:rPr>
        <w:t>32.22</w:t>
      </w:r>
      <w:r>
        <w:rPr>
          <w:rFonts w:hint="eastAsia" w:ascii="宋体" w:hAnsi="宋体" w:eastAsia="宋体" w:cs="宋体"/>
          <w:color w:val="444444"/>
          <w:kern w:val="0"/>
          <w:sz w:val="28"/>
          <w:szCs w:val="28"/>
          <w:shd w:val="clear" w:color="050000" w:fill="FFFFFF"/>
        </w:rPr>
        <w:t>万元，资本性支出0万元。比上年同口径</w:t>
      </w:r>
      <w:r>
        <w:rPr>
          <w:rFonts w:hint="eastAsia" w:ascii="宋体" w:hAnsi="宋体" w:cs="宋体"/>
          <w:color w:val="444444"/>
          <w:kern w:val="0"/>
          <w:sz w:val="28"/>
          <w:szCs w:val="28"/>
          <w:shd w:val="clear" w:color="050000" w:fill="FFFFFF"/>
          <w:lang w:eastAsia="zh-CN"/>
        </w:rPr>
        <w:t>相比</w:t>
      </w:r>
      <w:r>
        <w:rPr>
          <w:rFonts w:hint="eastAsia" w:ascii="宋体" w:hAnsi="宋体" w:cs="宋体"/>
          <w:color w:val="444444"/>
          <w:kern w:val="0"/>
          <w:sz w:val="28"/>
          <w:szCs w:val="28"/>
          <w:shd w:val="clear" w:color="050000" w:fill="FFFFFF"/>
          <w:lang w:val="en-US" w:eastAsia="zh-CN"/>
        </w:rPr>
        <w:t>减少38.09万元，下降14.57%</w:t>
      </w:r>
      <w:r>
        <w:rPr>
          <w:rFonts w:hint="eastAsia" w:ascii="宋体" w:hAnsi="宋体" w:cs="宋体"/>
          <w:color w:val="444444"/>
          <w:kern w:val="0"/>
          <w:sz w:val="28"/>
          <w:szCs w:val="28"/>
          <w:shd w:val="clear" w:color="050000" w:fill="FFFFFF"/>
          <w:lang w:eastAsia="zh-CN"/>
        </w:rPr>
        <w:t>，</w:t>
      </w:r>
      <w:r>
        <w:rPr>
          <w:rFonts w:hint="eastAsia" w:ascii="宋体" w:hAnsi="宋体" w:eastAsia="宋体" w:cs="宋体"/>
          <w:color w:val="444444"/>
          <w:kern w:val="0"/>
          <w:sz w:val="28"/>
          <w:szCs w:val="28"/>
          <w:shd w:val="clear" w:color="050000" w:fill="FFFFFF"/>
        </w:rPr>
        <w:t>主要原因</w:t>
      </w:r>
      <w:r>
        <w:rPr>
          <w:rFonts w:hint="eastAsia" w:ascii="宋体" w:hAnsi="宋体" w:cs="宋体"/>
          <w:color w:val="444444"/>
          <w:kern w:val="0"/>
          <w:sz w:val="28"/>
          <w:szCs w:val="28"/>
          <w:shd w:val="clear" w:color="050000" w:fill="FFFFFF"/>
          <w:lang w:val="en-US" w:eastAsia="zh-CN"/>
        </w:rPr>
        <w:t>是</w:t>
      </w:r>
      <w:r>
        <w:rPr>
          <w:rFonts w:hint="eastAsia" w:ascii="宋体" w:hAnsi="宋体" w:eastAsia="宋体" w:cs="宋体"/>
          <w:color w:val="444444"/>
          <w:kern w:val="0"/>
          <w:sz w:val="28"/>
          <w:szCs w:val="28"/>
          <w:shd w:val="clear" w:color="050000" w:fill="FFFFFF"/>
        </w:rPr>
        <w:t>严格管理，规范支出，节约支出。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w:t>
      </w:r>
      <w:r>
        <w:rPr>
          <w:rFonts w:hint="eastAsia" w:ascii="宋体" w:hAnsi="宋体" w:cs="宋体"/>
          <w:color w:val="444444"/>
          <w:kern w:val="0"/>
          <w:sz w:val="28"/>
          <w:szCs w:val="28"/>
          <w:shd w:val="clear" w:color="050000" w:fill="FFFFFF"/>
          <w:lang w:val="en-US" w:eastAsia="zh-CN"/>
        </w:rPr>
        <w:t>2</w:t>
      </w:r>
      <w:r>
        <w:rPr>
          <w:rFonts w:hint="eastAsia" w:ascii="宋体" w:hAnsi="宋体" w:eastAsia="宋体" w:cs="宋体"/>
          <w:color w:val="444444"/>
          <w:kern w:val="0"/>
          <w:sz w:val="28"/>
          <w:szCs w:val="28"/>
          <w:shd w:val="clear" w:color="050000" w:fill="FFFFFF"/>
        </w:rPr>
        <w:t>、专项管理情况分析。根据《预算法》、《行政单位会计制度》等法律和财政部及省财政厅有关财务规章的规定，严格专项资金的审核与支出。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三、资产管理情况</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lang w:val="en-US" w:eastAsia="zh-CN"/>
        </w:rPr>
      </w:pPr>
      <w:r>
        <w:rPr>
          <w:rFonts w:hint="eastAsia" w:ascii="宋体" w:hAnsi="宋体" w:eastAsia="宋体" w:cs="宋体"/>
          <w:color w:val="444444"/>
          <w:kern w:val="0"/>
          <w:sz w:val="28"/>
          <w:szCs w:val="28"/>
          <w:shd w:val="clear" w:color="050000" w:fill="FFFFFF"/>
          <w:lang w:val="en-US" w:eastAsia="zh-CN"/>
        </w:rPr>
        <w:t>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资产管理由办公室负责，资产采购按程序实行报批采购，统一在政采云平台下单，采购后登记入账，录入资产信息系统，再派发到</w:t>
      </w:r>
      <w:r>
        <w:rPr>
          <w:rFonts w:hint="eastAsia" w:ascii="宋体" w:hAnsi="宋体" w:cs="宋体"/>
          <w:color w:val="444444"/>
          <w:kern w:val="0"/>
          <w:sz w:val="28"/>
          <w:szCs w:val="28"/>
          <w:shd w:val="clear" w:color="050000" w:fill="FFFFFF"/>
          <w:lang w:val="en-US" w:eastAsia="zh-CN"/>
        </w:rPr>
        <w:t>用人手上</w:t>
      </w:r>
      <w:r>
        <w:rPr>
          <w:rFonts w:hint="eastAsia" w:ascii="宋体" w:hAnsi="宋体" w:eastAsia="宋体" w:cs="宋体"/>
          <w:color w:val="444444"/>
          <w:kern w:val="0"/>
          <w:sz w:val="28"/>
          <w:szCs w:val="28"/>
          <w:shd w:val="clear" w:color="050000" w:fill="FFFFFF"/>
          <w:lang w:val="en-US" w:eastAsia="zh-CN"/>
        </w:rPr>
        <w:t>。一是我</w:t>
      </w:r>
      <w:r>
        <w:rPr>
          <w:rFonts w:hint="eastAsia" w:ascii="宋体" w:hAnsi="宋体" w:cs="宋体"/>
          <w:color w:val="444444"/>
          <w:kern w:val="0"/>
          <w:sz w:val="28"/>
          <w:szCs w:val="28"/>
          <w:shd w:val="clear" w:color="050000" w:fill="FFFFFF"/>
          <w:lang w:val="en-US" w:eastAsia="zh-CN"/>
        </w:rPr>
        <w:t>单位</w:t>
      </w:r>
      <w:r>
        <w:rPr>
          <w:rFonts w:hint="eastAsia" w:ascii="宋体" w:hAnsi="宋体" w:eastAsia="宋体" w:cs="宋体"/>
          <w:color w:val="444444"/>
          <w:kern w:val="0"/>
          <w:sz w:val="28"/>
          <w:szCs w:val="28"/>
          <w:shd w:val="clear" w:color="050000" w:fill="FFFFFF"/>
          <w:lang w:val="en-US" w:eastAsia="zh-CN"/>
        </w:rPr>
        <w:t>资产管理和使用坚持统一政策、统一领导、分级管理、责任到人、物尽其用的原则。二是运用资产信息管理系统加强资产管理</w:t>
      </w:r>
      <w:r>
        <w:rPr>
          <w:rFonts w:hint="eastAsia" w:ascii="宋体" w:hAnsi="宋体" w:cs="宋体"/>
          <w:color w:val="444444"/>
          <w:kern w:val="0"/>
          <w:sz w:val="28"/>
          <w:szCs w:val="28"/>
          <w:shd w:val="clear" w:color="050000" w:fill="FFFFFF"/>
          <w:lang w:val="en-US" w:eastAsia="zh-CN"/>
        </w:rPr>
        <w:t>，</w:t>
      </w:r>
      <w:r>
        <w:rPr>
          <w:rFonts w:hint="eastAsia" w:ascii="宋体" w:hAnsi="宋体" w:eastAsia="宋体" w:cs="宋体"/>
          <w:color w:val="444444"/>
          <w:kern w:val="0"/>
          <w:sz w:val="28"/>
          <w:szCs w:val="28"/>
          <w:shd w:val="clear" w:color="050000" w:fill="FFFFFF"/>
          <w:lang w:val="en-US" w:eastAsia="zh-CN"/>
        </w:rPr>
        <w:t>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截至2021年12月31日，</w:t>
      </w:r>
      <w:r>
        <w:rPr>
          <w:rFonts w:hint="eastAsia" w:ascii="宋体" w:hAnsi="宋体" w:cs="宋体"/>
          <w:color w:val="444444"/>
          <w:kern w:val="0"/>
          <w:sz w:val="28"/>
          <w:szCs w:val="28"/>
          <w:shd w:val="clear" w:color="050000" w:fill="FFFFFF"/>
          <w:lang w:val="en-US" w:eastAsia="zh-CN"/>
        </w:rPr>
        <w:t>我单位</w:t>
      </w:r>
      <w:r>
        <w:rPr>
          <w:rFonts w:hint="eastAsia" w:ascii="宋体" w:hAnsi="宋体" w:eastAsia="宋体" w:cs="宋体"/>
          <w:color w:val="444444"/>
          <w:kern w:val="0"/>
          <w:sz w:val="28"/>
          <w:szCs w:val="28"/>
          <w:shd w:val="clear" w:color="050000" w:fill="FFFFFF"/>
        </w:rPr>
        <w:t>资产总额为</w:t>
      </w:r>
      <w:r>
        <w:rPr>
          <w:rFonts w:hint="eastAsia" w:ascii="宋体" w:hAnsi="宋体" w:cs="宋体"/>
          <w:color w:val="444444"/>
          <w:kern w:val="0"/>
          <w:sz w:val="28"/>
          <w:szCs w:val="28"/>
          <w:shd w:val="clear" w:color="050000" w:fill="FFFFFF"/>
          <w:lang w:val="en-US" w:eastAsia="zh-CN"/>
        </w:rPr>
        <w:t>7.69</w:t>
      </w:r>
      <w:r>
        <w:rPr>
          <w:rFonts w:hint="eastAsia" w:ascii="宋体" w:hAnsi="宋体" w:eastAsia="宋体" w:cs="宋体"/>
          <w:color w:val="444444"/>
          <w:kern w:val="0"/>
          <w:sz w:val="28"/>
          <w:szCs w:val="28"/>
          <w:shd w:val="clear" w:color="050000" w:fill="FFFFFF"/>
        </w:rPr>
        <w:t>万元，主要由以下部分构成：流动资产</w:t>
      </w:r>
      <w:r>
        <w:rPr>
          <w:rFonts w:hint="eastAsia" w:ascii="宋体" w:hAnsi="宋体" w:cs="宋体"/>
          <w:color w:val="444444"/>
          <w:kern w:val="0"/>
          <w:sz w:val="28"/>
          <w:szCs w:val="28"/>
          <w:shd w:val="clear" w:color="050000" w:fill="FFFFFF"/>
          <w:lang w:val="en-US" w:eastAsia="zh-CN"/>
        </w:rPr>
        <w:t>0.5</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6.5</w:t>
      </w:r>
      <w:r>
        <w:rPr>
          <w:rFonts w:hint="eastAsia" w:ascii="宋体" w:hAnsi="宋体" w:eastAsia="宋体" w:cs="宋体"/>
          <w:color w:val="444444"/>
          <w:kern w:val="0"/>
          <w:sz w:val="28"/>
          <w:szCs w:val="28"/>
          <w:shd w:val="clear" w:color="050000" w:fill="FFFFFF"/>
        </w:rPr>
        <w:t>%,主要为其他应收款等;固定资产</w:t>
      </w:r>
      <w:r>
        <w:rPr>
          <w:rFonts w:hint="eastAsia" w:ascii="宋体" w:hAnsi="宋体" w:cs="宋体"/>
          <w:color w:val="444444"/>
          <w:kern w:val="0"/>
          <w:sz w:val="28"/>
          <w:szCs w:val="28"/>
          <w:shd w:val="clear" w:color="050000" w:fill="FFFFFF"/>
          <w:lang w:val="en-US" w:eastAsia="zh-CN"/>
        </w:rPr>
        <w:t>7.19</w:t>
      </w:r>
      <w:r>
        <w:rPr>
          <w:rFonts w:hint="eastAsia" w:ascii="宋体" w:hAnsi="宋体" w:eastAsia="宋体" w:cs="宋体"/>
          <w:color w:val="444444"/>
          <w:kern w:val="0"/>
          <w:sz w:val="28"/>
          <w:szCs w:val="28"/>
          <w:shd w:val="clear" w:color="050000" w:fill="FFFFFF"/>
        </w:rPr>
        <w:t>万元,占资产总额的</w:t>
      </w:r>
      <w:r>
        <w:rPr>
          <w:rFonts w:hint="eastAsia" w:ascii="宋体" w:hAnsi="宋体" w:cs="宋体"/>
          <w:color w:val="444444"/>
          <w:kern w:val="0"/>
          <w:sz w:val="28"/>
          <w:szCs w:val="28"/>
          <w:shd w:val="clear" w:color="050000" w:fill="FFFFFF"/>
          <w:lang w:val="en-US" w:eastAsia="zh-CN"/>
        </w:rPr>
        <w:t>93.5</w:t>
      </w:r>
      <w:r>
        <w:rPr>
          <w:rFonts w:hint="eastAsia" w:ascii="宋体" w:hAnsi="宋体" w:eastAsia="宋体" w:cs="宋体"/>
          <w:color w:val="444444"/>
          <w:kern w:val="0"/>
          <w:sz w:val="28"/>
          <w:szCs w:val="28"/>
          <w:shd w:val="clear" w:color="050000" w:fill="FFFFFF"/>
        </w:rPr>
        <w:t>%，主要包括办公设备等。 </w:t>
      </w:r>
    </w:p>
    <w:p>
      <w:pPr>
        <w:pStyle w:val="5"/>
        <w:widowControl/>
        <w:numPr>
          <w:ilvl w:val="0"/>
          <w:numId w:val="3"/>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部门整体支出绩效情况</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1、城镇新增就业目标完成情况。 2021年以来，全区多项稳定就业举措陆续出台并逐渐发力见效，城镇新增就业、就业困难人员实现就业、失业人员再就业等，均按进度完成年度目标任务。2021年城镇新增市定任务1567人次，完成1706人次，完成市定全年目标任务1567人的108.87%；其中:失业人员再就业806人，完成市定全年目标任务800人的100.75%；就业困难人员再就业354人，完成市定全年目标任务330人的107.27%。城镇登记失业率市定任务控制在4.5%，截止目前我区登记失业率2.10%。</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2、做好北塔区退捕渔民转产转业和就业服务相关工作。对北塔区畜牧水产事务中心提供的11个退捕渔民信息上门入户摸底调查，建立信息库。全面采集退捕渔民就业信息，力求基础信息真实、准确、完整。按照“一人一档”建立退捕渔民台账。我区现有建档立卡退捕渔民11个，其中已就业10人（自主创业1人，企业吸纳5人，灵活就业4人），达到法定退休1人；应参加养老保险11人（已参加城乡居民养老保险7人，企业职工养老保险4人）。结合摸底调查数据，全面了解掌握贫困劳动力和退浦渔民就业需求，及时将贫困劳动力和退浦渔民就业意愿和就业状态有变化的人员信息在系统中更新，对未就业有就业意愿的贫困劳动力、退浦渔民开展“送岗位、送培训、送政策、送服务”活动，引导贫困劳动力、退浦渔民关注使用“湘就业”和“邵阳人才网招聘”微信公众号，使其知晓线上求职应聘操作，在用人单位和贫困劳动者、退捕渔民之间搭建精准帮扶平台，提供一对一就业帮扶。</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3、促进贫困劳动力就地就近就业，多渠道提供就业岗位。</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是强化扶贫公益性岗位开发。2021年我区继续加大乡村公益性岗位开发，优先安置“无法离乡、无业可扶、无力脱贫”且能胜任岗位工作的贫困劳动力等。针对其他就业困难群体就业难的特点，新开发就业困难人员保洁员公益性岗位86个，待遇1280元/月，其中安置退役军人5人、残疾人20人、就业困难人员61人。</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二是加大扶贫车间建设力度。积极引导已建立的8家扶贫车间及2家扶贫基地稳步发展，拓展就业空间，增加就业岗位；加大扶贫车间政策宣传，积极引导各类企业在贫困劳动力较多的乡、镇建设就业扶贫车间，增加就业岗位，拓展就业空间，不断促进建档立卡贫困劳动力就地就近就业。目前8家帮扶车间共开发就业帮扶车间岗位 20余个，共吸纳劳动力就业273人（其中吸纳脱贫劳动力就业45人）。按照上级要求，对帮扶车间实行应补尽补、应放尽放的就业补贴政策和稳岗政策，激励脱贫劳动力就近就业。各车间补贴已落实到位。</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xml:space="preserve">  4、促进高校毕业生就业创业，推进青年见习计划。2021年组织青年就业见习基地4家，组织青年就业见习23人，完成市定高校毕业生及失业青年见习目标任务20人的115%。发放见习补贴40.25万元。进一步抓实未就业离校高校毕业生实名制就业服务，把高校毕业生就业作为就业工作的重中之重，目前我区实名登记2021届离校高校毕业生134人，实现就业率、跟踪回访率、就业服务率三个100%。</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5、认真组织就业技能培训调研，加大就业技能培训力度。扎实做好培训前期准备工作，对劳动力培训意愿摸底，突出培训的针对性和使用性，积极引导贫困劳动力、就业困难人员、零就业家庭、未就业高校毕业生等参加技能培训，提高我区劳动力就业技能择业能力。2021年共开设了电工、计算机操作、中西式面点、烹饪、家政服务等工种培训班30个班，培训建档立卡贫困劳动力、失业人员、农村转移就业劳动者、企业职工等共1496人，完成了全年目标任务900人次的166.2%，其中农村劳动力转移培训912人次，完成市定年度目标100人次的912%。。</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xml:space="preserve">  6、拓展线上线下招聘渠道，为劳动力就业搭建就业平台。  认真落实311方案.广泛收集岗位信息，及时更新岗位，为未就业高校毕业生、贫困劳动力、失业人员等进行人岗匹配，提供311就业服务4169人次，进行就业失业登记1233 人次，其中失业登记640人，开展失业人员“311”服务1989人次。 线上大力推广省“湘就业”、“邵就业”信息平台功能，优化网上办事大厅等网络服务平台，打造集中窗口服务、网上服务、移动服务、自助服务于一体的公共就业服务新模式。线下通过上门招聘、专场招聘、集中输送等方式向劳动者提供就业服务,召开“点亮万家灯火”等7场大型招聘会，致力做好企业和劳动者的“就业红娘”。引进湘窖酒业、连泰鞋业、君志达、东信棉业等65家知名企业参加，涉及加工、职教、制造等多个就业领域，涵盖行政管理、销售、服务、普工等多种职位，共发布企业招聘岗位2598个，为企业输送劳动力近千余人。</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7、完成园区用工招工专项行动。自8月以来，通过线上和线下联动的方式，加强园区招工用工行动的信息发布和宣传报道。线上充分利用主流新闻媒体积极发声，“邵阳就业服务”微信公众号等媒体不间断发布招工信息100余场次。线下通过流动广播车、招工宣传海报、宣传手册、村村响等传统宣传载体，多形式、全方位发布企业招工信息，让广大求职者不出村、不出门就能及时了解园区企业招工信息和就业服务政策。截至10月底举办线下招聘会5场，专场招聘会现场近30家企业提供文职、普工、技工、销售、储备干部等多个职位近2000个就业岗位，招聘会现场发放资料10000余份 ，吸引600多名求职者参加，超半数以上人员初步达成就业意向。截止10月底，我区组织推荐输送人员到园区企业应聘680人，成功入职428人，完成总任务350人的122%，其中：邵阳连泰鞋业办理入职登记77人，完成任务数150人的51%。</w:t>
      </w:r>
    </w:p>
    <w:p>
      <w:pPr>
        <w:pStyle w:val="5"/>
        <w:widowControl/>
        <w:numPr>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sz w:val="28"/>
          <w:szCs w:val="28"/>
        </w:rPr>
      </w:pPr>
      <w:bookmarkStart w:id="1" w:name="_GoBack"/>
      <w:bookmarkEnd w:id="1"/>
      <w:r>
        <w:rPr>
          <w:rFonts w:hint="eastAsia" w:ascii="宋体" w:hAnsi="宋体" w:eastAsia="宋体" w:cs="宋体"/>
          <w:color w:val="444444"/>
          <w:kern w:val="0"/>
          <w:sz w:val="28"/>
          <w:szCs w:val="28"/>
          <w:shd w:val="clear" w:color="050000" w:fill="FFFFFF"/>
        </w:rPr>
        <w:t>五、综合评价情况及评价结论</w:t>
      </w:r>
    </w:p>
    <w:p>
      <w:pPr>
        <w:pStyle w:val="5"/>
        <w:widowControl/>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color w:val="444444"/>
          <w:kern w:val="0"/>
          <w:sz w:val="28"/>
          <w:szCs w:val="28"/>
          <w:shd w:val="clear" w:color="050000" w:fill="FFFFFF"/>
        </w:rPr>
        <w:t>2021年我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部门整体支出绩效评价指标评分表》评分体系，我</w:t>
      </w:r>
      <w:r>
        <w:rPr>
          <w:rFonts w:hint="eastAsia" w:ascii="宋体" w:hAnsi="宋体" w:cs="宋体"/>
          <w:color w:val="444444"/>
          <w:kern w:val="0"/>
          <w:sz w:val="28"/>
          <w:szCs w:val="28"/>
          <w:shd w:val="clear" w:color="050000" w:fill="FFFFFF"/>
          <w:lang w:eastAsia="zh-CN"/>
        </w:rPr>
        <w:t>单位</w:t>
      </w:r>
      <w:r>
        <w:rPr>
          <w:rFonts w:hint="eastAsia" w:ascii="宋体" w:hAnsi="宋体" w:eastAsia="宋体" w:cs="宋体"/>
          <w:color w:val="444444"/>
          <w:kern w:val="0"/>
          <w:sz w:val="28"/>
          <w:szCs w:val="28"/>
          <w:shd w:val="clear" w:color="050000" w:fill="FFFFFF"/>
        </w:rPr>
        <w:t>整体支出绩效自评</w:t>
      </w:r>
      <w:r>
        <w:rPr>
          <w:rFonts w:hint="eastAsia" w:ascii="宋体" w:hAnsi="宋体" w:cs="宋体"/>
          <w:color w:val="444444"/>
          <w:kern w:val="0"/>
          <w:sz w:val="28"/>
          <w:szCs w:val="28"/>
          <w:shd w:val="clear" w:color="050000" w:fill="FFFFFF"/>
          <w:lang w:val="en-US" w:eastAsia="zh-CN"/>
        </w:rPr>
        <w:t>90</w:t>
      </w:r>
      <w:r>
        <w:rPr>
          <w:rFonts w:hint="eastAsia" w:ascii="宋体" w:hAnsi="宋体" w:eastAsia="宋体" w:cs="宋体"/>
          <w:color w:val="444444"/>
          <w:kern w:val="0"/>
          <w:sz w:val="28"/>
          <w:szCs w:val="28"/>
          <w:shd w:val="clear" w:color="050000" w:fill="FFFFFF"/>
        </w:rPr>
        <w:t>分，自评</w:t>
      </w:r>
      <w:r>
        <w:rPr>
          <w:rFonts w:hint="eastAsia" w:ascii="宋体" w:hAnsi="宋体" w:eastAsia="宋体" w:cs="宋体"/>
          <w:color w:val="444444"/>
          <w:kern w:val="0"/>
          <w:sz w:val="28"/>
          <w:szCs w:val="28"/>
          <w:shd w:val="clear" w:color="050000" w:fill="FFFFFF"/>
          <w:lang w:eastAsia="zh-CN"/>
        </w:rPr>
        <w:t>结果为</w:t>
      </w:r>
      <w:r>
        <w:rPr>
          <w:rFonts w:hint="eastAsia" w:ascii="宋体" w:hAnsi="宋体" w:eastAsia="宋体" w:cs="宋体"/>
          <w:color w:val="444444"/>
          <w:kern w:val="0"/>
          <w:sz w:val="28"/>
          <w:szCs w:val="28"/>
          <w:shd w:val="clear" w:color="050000" w:fill="FFFFFF"/>
          <w:lang w:val="en-US" w:eastAsia="zh-CN"/>
        </w:rPr>
        <w:t>良好</w:t>
      </w:r>
      <w:r>
        <w:rPr>
          <w:rFonts w:hint="eastAsia" w:ascii="宋体" w:hAnsi="宋体" w:eastAsia="宋体" w:cs="宋体"/>
          <w:color w:val="444444"/>
          <w:kern w:val="0"/>
          <w:sz w:val="28"/>
          <w:szCs w:val="28"/>
          <w:shd w:val="clear" w:color="050000" w:fill="FFFFFF"/>
        </w:rPr>
        <w:t>。</w:t>
      </w:r>
    </w:p>
    <w:p>
      <w:pPr>
        <w:pStyle w:val="5"/>
        <w:widowControl/>
        <w:numPr>
          <w:ilvl w:val="0"/>
          <w:numId w:val="4"/>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存在的问题及原因分析</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560" w:firstLineChars="20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一是部门预算编制不够严谨，年中追加比例过大。二是预算执行存在偏差。从预算收支情况看，年初预算与部门决算仍存在偏差，在预算执行过程中，部分预算资金支付滞后，预算下达需更加及时。</w:t>
      </w:r>
    </w:p>
    <w:p>
      <w:pPr>
        <w:pStyle w:val="5"/>
        <w:widowControl/>
        <w:numPr>
          <w:ilvl w:val="0"/>
          <w:numId w:val="4"/>
        </w:numPr>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下一步改进措施</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bookmarkStart w:id="0" w:name="RANGE!A1:H22"/>
      <w:r>
        <w:rPr>
          <w:rFonts w:hint="eastAsia" w:ascii="宋体" w:hAnsi="宋体" w:eastAsia="宋体" w:cs="宋体"/>
          <w:color w:val="444444"/>
          <w:kern w:val="0"/>
          <w:sz w:val="28"/>
          <w:szCs w:val="28"/>
          <w:shd w:val="clear" w:color="050000" w:fill="FFFFFF"/>
        </w:rPr>
        <w:t>　</w:t>
      </w:r>
      <w:r>
        <w:rPr>
          <w:rFonts w:hint="eastAsia" w:ascii="宋体" w:hAnsi="宋体" w:cs="宋体"/>
          <w:color w:val="444444"/>
          <w:kern w:val="0"/>
          <w:sz w:val="28"/>
          <w:szCs w:val="28"/>
          <w:shd w:val="clear" w:color="050000" w:fill="FFFFFF"/>
          <w:lang w:val="en-US" w:eastAsia="zh-CN"/>
        </w:rPr>
        <w:t xml:space="preserve">  </w:t>
      </w:r>
      <w:r>
        <w:rPr>
          <w:rFonts w:hint="eastAsia" w:ascii="宋体" w:hAnsi="宋体" w:eastAsia="宋体" w:cs="宋体"/>
          <w:color w:val="444444"/>
          <w:kern w:val="0"/>
          <w:sz w:val="28"/>
          <w:szCs w:val="28"/>
          <w:shd w:val="clear" w:color="050000" w:fill="FFFFFF"/>
        </w:rPr>
        <w:t>1、细化预算编制工作，认真做好年初预算编制。进一步加强单位预算管理意识，严格按照预算编制的相关要求进行编制。</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300" w:afterAutospacing="0" w:line="600" w:lineRule="atLeast"/>
        <w:ind w:right="0"/>
        <w:jc w:val="left"/>
        <w:rPr>
          <w:rFonts w:hint="eastAsia" w:ascii="宋体" w:hAnsi="宋体" w:eastAsia="宋体" w:cs="宋体"/>
          <w:color w:val="444444"/>
          <w:kern w:val="0"/>
          <w:sz w:val="28"/>
          <w:szCs w:val="28"/>
          <w:shd w:val="clear" w:color="050000" w:fill="FFFFFF"/>
        </w:rPr>
      </w:pPr>
      <w:r>
        <w:rPr>
          <w:rFonts w:hint="eastAsia" w:ascii="宋体" w:hAnsi="宋体" w:eastAsia="宋体" w:cs="宋体"/>
          <w:color w:val="444444"/>
          <w:kern w:val="0"/>
          <w:sz w:val="28"/>
          <w:szCs w:val="28"/>
          <w:shd w:val="clear" w:color="050000" w:fill="FFFFFF"/>
        </w:rPr>
        <w:t>　　3、加强对相关人员培训，特别是针对《预算法》、《政府会计制度》等方面学习培训，规范部门预算收支核算，切实提高部门预算收支管理水平。</w:t>
      </w:r>
    </w:p>
    <w:p>
      <w:pPr>
        <w:spacing w:line="600" w:lineRule="exact"/>
        <w:rPr>
          <w:rFonts w:hint="eastAsia" w:ascii="宋体" w:hAnsi="宋体" w:eastAsia="宋体" w:cs="宋体"/>
          <w:kern w:val="0"/>
          <w:sz w:val="28"/>
          <w:szCs w:val="28"/>
        </w:rPr>
      </w:pPr>
    </w:p>
    <w:p>
      <w:pPr>
        <w:spacing w:line="600" w:lineRule="exact"/>
        <w:rPr>
          <w:rFonts w:hint="eastAsia" w:ascii="宋体" w:hAnsi="宋体" w:eastAsia="宋体" w:cs="宋体"/>
          <w:kern w:val="0"/>
          <w:sz w:val="28"/>
          <w:szCs w:val="28"/>
        </w:rPr>
      </w:pPr>
    </w:p>
    <w:p>
      <w:pPr>
        <w:spacing w:line="600" w:lineRule="exact"/>
        <w:rPr>
          <w:rFonts w:hint="eastAsia"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E745"/>
    <w:multiLevelType w:val="singleLevel"/>
    <w:tmpl w:val="84DCE745"/>
    <w:lvl w:ilvl="0" w:tentative="0">
      <w:start w:val="3"/>
      <w:numFmt w:val="decimal"/>
      <w:suff w:val="nothing"/>
      <w:lvlText w:val="（%1）"/>
      <w:lvlJc w:val="left"/>
    </w:lvl>
  </w:abstractNum>
  <w:abstractNum w:abstractNumId="1">
    <w:nsid w:val="EFADE470"/>
    <w:multiLevelType w:val="singleLevel"/>
    <w:tmpl w:val="EFADE470"/>
    <w:lvl w:ilvl="0" w:tentative="0">
      <w:start w:val="4"/>
      <w:numFmt w:val="chineseCounting"/>
      <w:suff w:val="nothing"/>
      <w:lvlText w:val="%1、"/>
      <w:lvlJc w:val="left"/>
      <w:rPr>
        <w:rFonts w:hint="eastAsia"/>
      </w:rPr>
    </w:lvl>
  </w:abstractNum>
  <w:abstractNum w:abstractNumId="2">
    <w:nsid w:val="59EBF67F"/>
    <w:multiLevelType w:val="singleLevel"/>
    <w:tmpl w:val="59EBF67F"/>
    <w:lvl w:ilvl="0" w:tentative="0">
      <w:start w:val="6"/>
      <w:numFmt w:val="chineseCounting"/>
      <w:suff w:val="nothing"/>
      <w:lvlText w:val="%1、"/>
      <w:lvlJc w:val="left"/>
      <w:rPr>
        <w:rFonts w:hint="eastAsia"/>
      </w:rPr>
    </w:lvl>
  </w:abstractNum>
  <w:abstractNum w:abstractNumId="3">
    <w:nsid w:val="635235AE"/>
    <w:multiLevelType w:val="singleLevel"/>
    <w:tmpl w:val="635235AE"/>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mY3NmEyMzIxN2IwYzJhZjNkYjY4MjkxNjhjY2NmMmMifQ=="/>
  </w:docVars>
  <w:rsids>
    <w:rsidRoot w:val="00000000"/>
    <w:rsid w:val="08AE00F1"/>
    <w:rsid w:val="14443F90"/>
    <w:rsid w:val="36E1277F"/>
    <w:rsid w:val="384733EF"/>
    <w:rsid w:val="38C9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gai"/>
    <w:basedOn w:val="7"/>
    <w:qFormat/>
    <w:uiPriority w:val="0"/>
  </w:style>
  <w:style w:type="character" w:customStyle="1" w:styleId="12">
    <w:name w:val="gai1"/>
    <w:basedOn w:val="7"/>
    <w:qFormat/>
    <w:uiPriority w:val="0"/>
  </w:style>
  <w:style w:type="character" w:customStyle="1" w:styleId="13">
    <w:name w:val="gai2"/>
    <w:basedOn w:val="7"/>
    <w:qFormat/>
    <w:uiPriority w:val="0"/>
  </w:style>
  <w:style w:type="character" w:customStyle="1" w:styleId="14">
    <w:name w:val="gai3"/>
    <w:basedOn w:val="7"/>
    <w:qFormat/>
    <w:uiPriority w:val="0"/>
  </w:style>
  <w:style w:type="character" w:customStyle="1" w:styleId="15">
    <w:name w:val="gai4"/>
    <w:basedOn w:val="7"/>
    <w:qFormat/>
    <w:uiPriority w:val="0"/>
  </w:style>
  <w:style w:type="character" w:customStyle="1" w:styleId="16">
    <w:name w:val="you"/>
    <w:basedOn w:val="7"/>
    <w:qFormat/>
    <w:uiPriority w:val="0"/>
  </w:style>
  <w:style w:type="character" w:customStyle="1" w:styleId="17">
    <w:name w:val="info-valid"/>
    <w:basedOn w:val="7"/>
    <w:qFormat/>
    <w:uiPriority w:val="0"/>
    <w:rPr>
      <w:color w:val="444444"/>
    </w:rPr>
  </w:style>
  <w:style w:type="character" w:customStyle="1" w:styleId="18">
    <w:name w:val="tit2"/>
    <w:basedOn w:val="7"/>
    <w:qFormat/>
    <w:uiPriority w:val="0"/>
    <w:rPr>
      <w:color w:val="1D0000"/>
      <w:sz w:val="33"/>
      <w:szCs w:val="33"/>
    </w:rPr>
  </w:style>
  <w:style w:type="character" w:customStyle="1" w:styleId="19">
    <w:name w:val="tianqi"/>
    <w:basedOn w:val="7"/>
    <w:qFormat/>
    <w:uiPriority w:val="0"/>
  </w:style>
  <w:style w:type="character" w:customStyle="1" w:styleId="20">
    <w:name w:val="sjzs"/>
    <w:basedOn w:val="7"/>
    <w:qFormat/>
    <w:uiPriority w:val="0"/>
    <w:rPr>
      <w:sz w:val="27"/>
      <w:szCs w:val="27"/>
    </w:rPr>
  </w:style>
  <w:style w:type="character" w:customStyle="1" w:styleId="21">
    <w:name w:val="quanp"/>
    <w:basedOn w:val="7"/>
    <w:qFormat/>
    <w:uiPriority w:val="0"/>
    <w:rPr>
      <w:color w:val="FFFFFF"/>
      <w:shd w:val="clear" w:color="010000" w:fill="7CB8FE"/>
    </w:rPr>
  </w:style>
  <w:style w:type="character" w:customStyle="1" w:styleId="22">
    <w:name w:val="lname"/>
    <w:basedOn w:val="7"/>
    <w:qFormat/>
    <w:uiPriority w:val="0"/>
    <w:rPr>
      <w:color w:val="000000"/>
      <w:sz w:val="30"/>
      <w:szCs w:val="30"/>
    </w:rPr>
  </w:style>
  <w:style w:type="character" w:customStyle="1" w:styleId="23">
    <w:name w:val="first-child4"/>
    <w:basedOn w:val="7"/>
    <w:qFormat/>
    <w:uiPriority w:val="0"/>
    <w:rPr>
      <w:color w:val="BD1B09"/>
    </w:rPr>
  </w:style>
  <w:style w:type="character" w:customStyle="1" w:styleId="24">
    <w:name w:val="first-child5"/>
    <w:basedOn w:val="7"/>
    <w:qFormat/>
    <w:uiPriority w:val="0"/>
    <w:rPr>
      <w:color w:val="878787"/>
      <w:sz w:val="36"/>
      <w:szCs w:val="36"/>
      <w:shd w:val="clear" w:color="030000" w:fill="FFFFFF"/>
    </w:rPr>
  </w:style>
  <w:style w:type="character" w:customStyle="1" w:styleId="25">
    <w:name w:val="ldjs"/>
    <w:basedOn w:val="7"/>
    <w:qFormat/>
    <w:uiPriority w:val="0"/>
    <w:rPr>
      <w:color w:val="666666"/>
      <w:sz w:val="24"/>
      <w:szCs w:val="24"/>
    </w:rPr>
  </w:style>
  <w:style w:type="character" w:customStyle="1" w:styleId="26">
    <w:name w:val="quanp2"/>
    <w:basedOn w:val="7"/>
    <w:qFormat/>
    <w:uiPriority w:val="0"/>
    <w:rPr>
      <w:color w:val="FFFFFF"/>
      <w:sz w:val="16"/>
      <w:szCs w:val="16"/>
      <w:shd w:val="clear" w:color="030000" w:fill="7CB8FE"/>
    </w:rPr>
  </w:style>
  <w:style w:type="character" w:customStyle="1" w:styleId="27">
    <w:name w:val="jiaoluo"/>
    <w:basedOn w:val="7"/>
    <w:qFormat/>
    <w:uiPriority w:val="0"/>
  </w:style>
  <w:style w:type="character" w:customStyle="1" w:styleId="28">
    <w:name w:val="last3"/>
    <w:basedOn w:val="7"/>
    <w:qFormat/>
    <w:uiPriority w:val="0"/>
  </w:style>
  <w:style w:type="character" w:customStyle="1" w:styleId="29">
    <w:name w:val="last4"/>
    <w:basedOn w:val="7"/>
    <w:qFormat/>
    <w:uiPriority w:val="0"/>
  </w:style>
  <w:style w:type="character" w:customStyle="1" w:styleId="30">
    <w:name w:val="fanhui"/>
    <w:basedOn w:val="7"/>
    <w:qFormat/>
    <w:uiPriority w:val="0"/>
    <w:rPr>
      <w:color w:val="FFFFFF"/>
      <w:sz w:val="24"/>
      <w:szCs w:val="24"/>
    </w:rPr>
  </w:style>
  <w:style w:type="character" w:customStyle="1" w:styleId="31">
    <w:name w:val="jiaoluo2"/>
    <w:basedOn w:val="7"/>
    <w:qFormat/>
    <w:uiPriority w:val="0"/>
  </w:style>
  <w:style w:type="character" w:customStyle="1" w:styleId="32">
    <w:name w:val="zuo"/>
    <w:basedOn w:val="7"/>
    <w:qFormat/>
    <w:uiPriority w:val="0"/>
  </w:style>
  <w:style w:type="character" w:customStyle="1" w:styleId="33">
    <w:name w:val="dcs"/>
    <w:basedOn w:val="7"/>
    <w:qFormat/>
    <w:uiPriority w:val="0"/>
    <w:rPr>
      <w:color w:val="BD1B09"/>
    </w:rPr>
  </w:style>
  <w:style w:type="character" w:customStyle="1" w:styleId="34">
    <w:name w:val="time"/>
    <w:basedOn w:val="7"/>
    <w:qFormat/>
    <w:uiPriority w:val="0"/>
    <w:rPr>
      <w:color w:val="999999"/>
    </w:rPr>
  </w:style>
  <w:style w:type="character" w:customStyle="1" w:styleId="35">
    <w:name w:val="time1"/>
    <w:basedOn w:val="7"/>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4997</Words>
  <Characters>5254</Characters>
  <Lines>0</Lines>
  <Paragraphs>0</Paragraphs>
  <TotalTime>20</TotalTime>
  <ScaleCrop>false</ScaleCrop>
  <LinksUpToDate>false</LinksUpToDate>
  <CharactersWithSpaces>5419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筠</cp:lastModifiedBy>
  <cp:lastPrinted>2022-10-21T07:22:00Z</cp:lastPrinted>
  <dcterms:modified xsi:type="dcterms:W3CDTF">2022-10-23T04:36:46Z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2F54F18A2CE84DADA1B21E746E2F1685</vt:lpwstr>
  </property>
</Properties>
</file>