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jc w:val="center"/>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 xml:space="preserve">  </w:t>
      </w:r>
    </w:p>
    <w:p>
      <w:pPr>
        <w:spacing w:line="348" w:lineRule="auto"/>
        <w:jc w:val="center"/>
        <w:rPr>
          <w:rFonts w:hint="eastAsia" w:ascii="方正小标宋简体" w:hAnsi="方正小标宋简体" w:eastAsia="方正小标宋简体" w:cs="方正小标宋简体"/>
          <w:b w:val="0"/>
          <w:bCs/>
          <w:color w:val="auto"/>
          <w:sz w:val="44"/>
          <w:szCs w:val="44"/>
          <w:highlight w:val="none"/>
          <w:lang w:val="en-US" w:eastAsia="zh-CN"/>
        </w:rPr>
      </w:pPr>
    </w:p>
    <w:p>
      <w:pPr>
        <w:pStyle w:val="15"/>
        <w:rPr>
          <w:rFonts w:hint="eastAsia"/>
          <w:lang w:val="en-US" w:eastAsia="zh-CN"/>
        </w:rPr>
      </w:pPr>
    </w:p>
    <w:p>
      <w:pPr>
        <w:spacing w:line="348" w:lineRule="auto"/>
        <w:jc w:val="center"/>
        <w:rPr>
          <w:rFonts w:hint="eastAsia" w:ascii="方正小标宋简体" w:hAnsi="方正小标宋简体" w:eastAsia="方正小标宋简体" w:cs="方正小标宋简体"/>
          <w:b/>
          <w:bCs w:val="0"/>
          <w:color w:val="auto"/>
          <w:sz w:val="52"/>
          <w:szCs w:val="52"/>
          <w:highlight w:val="none"/>
        </w:rPr>
      </w:pPr>
      <w:r>
        <w:rPr>
          <w:rFonts w:hint="eastAsia" w:ascii="方正小标宋简体" w:hAnsi="方正小标宋简体" w:eastAsia="方正小标宋简体" w:cs="方正小标宋简体"/>
          <w:b/>
          <w:bCs w:val="0"/>
          <w:color w:val="auto"/>
          <w:sz w:val="52"/>
          <w:szCs w:val="52"/>
          <w:highlight w:val="none"/>
        </w:rPr>
        <w:t>绩效评价报告</w:t>
      </w:r>
    </w:p>
    <w:p>
      <w:pPr>
        <w:widowControl/>
        <w:ind w:firstLine="1960" w:firstLineChars="700"/>
        <w:rPr>
          <w:rFonts w:ascii="Arial Narrow" w:hAnsi="Arial Narrow" w:cs="Arial Narrow"/>
          <w:b w:val="0"/>
          <w:bCs/>
          <w:color w:val="auto"/>
          <w:sz w:val="28"/>
          <w:szCs w:val="28"/>
          <w:highlight w:val="none"/>
        </w:rPr>
      </w:pPr>
    </w:p>
    <w:p>
      <w:pPr>
        <w:pStyle w:val="9"/>
        <w:rPr>
          <w:color w:val="auto"/>
          <w:sz w:val="28"/>
          <w:szCs w:val="28"/>
          <w:highlight w:val="none"/>
        </w:rPr>
      </w:pPr>
    </w:p>
    <w:p>
      <w:pPr>
        <w:pStyle w:val="9"/>
        <w:rPr>
          <w:color w:val="auto"/>
          <w:sz w:val="28"/>
          <w:szCs w:val="28"/>
          <w:highlight w:val="none"/>
        </w:rPr>
      </w:pPr>
    </w:p>
    <w:p>
      <w:pPr>
        <w:pStyle w:val="9"/>
        <w:rPr>
          <w:color w:val="auto"/>
          <w:sz w:val="28"/>
          <w:szCs w:val="28"/>
          <w:highlight w:val="none"/>
        </w:rPr>
      </w:pPr>
    </w:p>
    <w:p>
      <w:pPr>
        <w:pStyle w:val="9"/>
        <w:rPr>
          <w:color w:val="auto"/>
          <w:sz w:val="28"/>
          <w:szCs w:val="28"/>
          <w:highlight w:val="none"/>
        </w:rPr>
      </w:pPr>
    </w:p>
    <w:p>
      <w:pPr>
        <w:pStyle w:val="9"/>
        <w:rPr>
          <w:color w:val="auto"/>
          <w:sz w:val="28"/>
          <w:szCs w:val="28"/>
          <w:highlight w:val="none"/>
        </w:rPr>
      </w:pPr>
    </w:p>
    <w:p>
      <w:pPr>
        <w:pStyle w:val="9"/>
        <w:rPr>
          <w:color w:val="auto"/>
          <w:sz w:val="28"/>
          <w:szCs w:val="28"/>
          <w:highlight w:val="none"/>
        </w:rPr>
      </w:pPr>
    </w:p>
    <w:tbl>
      <w:tblPr>
        <w:tblStyle w:val="13"/>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5852" w:type="dxa"/>
            <w:tcBorders>
              <w:top w:val="nil"/>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北塔</w:t>
            </w:r>
            <w:r>
              <w:rPr>
                <w:rFonts w:hint="eastAsia" w:ascii="仿宋" w:hAnsi="仿宋" w:eastAsia="仿宋" w:cs="仿宋"/>
                <w:sz w:val="32"/>
                <w:szCs w:val="32"/>
                <w:u w:val="none"/>
                <w:vertAlign w:val="baseline"/>
                <w:lang w:eastAsia="zh-CN"/>
              </w:rPr>
              <w:t>区</w:t>
            </w:r>
            <w:r>
              <w:rPr>
                <w:rFonts w:hint="eastAsia" w:ascii="仿宋" w:hAnsi="仿宋" w:eastAsia="仿宋" w:cs="仿宋"/>
                <w:sz w:val="32"/>
                <w:szCs w:val="32"/>
                <w:u w:val="none"/>
                <w:vertAlign w:val="baseline"/>
                <w:lang w:val="en-US" w:eastAsia="zh-CN"/>
              </w:rPr>
              <w:t>2022</w:t>
            </w:r>
            <w:r>
              <w:rPr>
                <w:rFonts w:hint="eastAsia" w:ascii="仿宋" w:hAnsi="仿宋" w:eastAsia="仿宋" w:cs="仿宋"/>
                <w:sz w:val="32"/>
                <w:szCs w:val="32"/>
                <w:u w:val="none"/>
                <w:vertAlign w:val="baseline"/>
                <w:lang w:eastAsia="zh-CN"/>
              </w:rPr>
              <w:t>年度</w:t>
            </w:r>
            <w:r>
              <w:rPr>
                <w:rFonts w:hint="eastAsia" w:ascii="仿宋" w:hAnsi="仿宋" w:eastAsia="仿宋" w:cs="仿宋"/>
                <w:sz w:val="32"/>
                <w:szCs w:val="32"/>
                <w:u w:val="none"/>
                <w:vertAlign w:val="baseline"/>
                <w:lang w:val="en-US" w:eastAsia="zh-CN"/>
              </w:rPr>
              <w:t>养老服务建设项目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项目单位：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tabs>
                <w:tab w:val="left" w:pos="1812"/>
              </w:tabs>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委托单位：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jc w:val="center"/>
        <w:rPr>
          <w:rFonts w:eastAsia="仿宋_GB2312"/>
          <w:sz w:val="32"/>
          <w:szCs w:val="32"/>
          <w:u w:val="single"/>
        </w:rPr>
      </w:pPr>
    </w:p>
    <w:p>
      <w:pPr>
        <w:jc w:val="center"/>
        <w:rPr>
          <w:rFonts w:eastAsia="仿宋_GB2312"/>
          <w:sz w:val="32"/>
          <w:szCs w:val="32"/>
          <w:u w:val="single"/>
        </w:rPr>
      </w:pPr>
    </w:p>
    <w:p>
      <w:pPr>
        <w:spacing w:before="156" w:beforeLines="50" w:after="156" w:afterLines="50" w:line="360" w:lineRule="auto"/>
        <w:jc w:val="center"/>
        <w:rPr>
          <w:rFonts w:hint="eastAsia" w:ascii="仿宋" w:hAnsi="仿宋" w:eastAsia="仿宋" w:cs="仿宋"/>
          <w:b/>
          <w:bCs/>
          <w:sz w:val="32"/>
          <w:szCs w:val="32"/>
        </w:rPr>
      </w:pPr>
    </w:p>
    <w:p>
      <w:pPr>
        <w:spacing w:before="156" w:beforeLines="50" w:after="156" w:afterLines="50" w:line="360" w:lineRule="auto"/>
        <w:jc w:val="center"/>
        <w:outlineLvl w:val="0"/>
        <w:rPr>
          <w:rFonts w:hint="eastAsia" w:eastAsia="仿宋"/>
          <w:color w:val="auto"/>
          <w:spacing w:val="-20"/>
          <w:u w:val="double"/>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bCs/>
          <w:sz w:val="32"/>
          <w:szCs w:val="32"/>
        </w:rPr>
        <w:t>二○二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cs="仿宋"/>
          <w:b/>
          <w:bCs/>
          <w:color w:val="000000"/>
          <w:sz w:val="32"/>
          <w:szCs w:val="32"/>
          <w:lang w:val="en-US" w:eastAsia="zh-CN"/>
        </w:rPr>
        <w:t>十一</w:t>
      </w:r>
      <w:r>
        <w:rPr>
          <w:rFonts w:hint="eastAsia" w:ascii="仿宋" w:hAnsi="仿宋" w:eastAsia="仿宋" w:cs="仿宋"/>
          <w:b/>
          <w:bCs/>
          <w:color w:val="000000"/>
          <w:sz w:val="32"/>
          <w:szCs w:val="32"/>
        </w:rPr>
        <w:t>月</w:t>
      </w:r>
      <w:r>
        <w:rPr>
          <w:rFonts w:hint="eastAsia" w:cs="仿宋"/>
          <w:b/>
          <w:bCs/>
          <w:color w:val="000000"/>
          <w:sz w:val="32"/>
          <w:szCs w:val="32"/>
          <w:lang w:val="en-US" w:eastAsia="zh-CN"/>
        </w:rPr>
        <w:t>二十六</w:t>
      </w:r>
      <w:r>
        <w:rPr>
          <w:rFonts w:hint="eastAsia" w:ascii="仿宋" w:hAnsi="仿宋" w:eastAsia="仿宋" w:cs="仿宋"/>
          <w:b/>
          <w:bCs/>
          <w:color w:val="000000"/>
          <w:sz w:val="32"/>
          <w:szCs w:val="32"/>
        </w:rPr>
        <w:t>日</w:t>
      </w:r>
    </w:p>
    <w:p>
      <w:pPr>
        <w:pStyle w:val="17"/>
        <w:keepNext w:val="0"/>
        <w:keepLines w:val="0"/>
        <w:pageBreakBefore w:val="0"/>
        <w:kinsoku/>
        <w:wordWrap/>
        <w:overflowPunct/>
        <w:topLinePunct w:val="0"/>
        <w:autoSpaceDE/>
        <w:autoSpaceDN/>
        <w:bidi w:val="0"/>
        <w:spacing w:line="288" w:lineRule="auto"/>
        <w:ind w:left="0" w:leftChars="0" w:firstLine="0" w:firstLineChars="0"/>
        <w:textAlignment w:val="auto"/>
        <w:rPr>
          <w:rFonts w:hint="eastAsia" w:ascii="仿宋" w:hAnsi="仿宋" w:eastAsia="仿宋" w:cs="仿宋"/>
          <w:b/>
          <w:bCs/>
          <w:color w:val="000000"/>
          <w:sz w:val="32"/>
          <w:szCs w:val="32"/>
        </w:rPr>
      </w:pPr>
    </w:p>
    <w:p>
      <w:pPr>
        <w:pStyle w:val="17"/>
        <w:keepNext w:val="0"/>
        <w:keepLines w:val="0"/>
        <w:pageBreakBefore w:val="0"/>
        <w:kinsoku/>
        <w:wordWrap/>
        <w:overflowPunct/>
        <w:topLinePunct w:val="0"/>
        <w:autoSpaceDE/>
        <w:autoSpaceDN/>
        <w:bidi w:val="0"/>
        <w:spacing w:line="288" w:lineRule="auto"/>
        <w:ind w:left="0" w:leftChars="0" w:firstLine="0" w:firstLineChars="0"/>
        <w:textAlignment w:val="auto"/>
        <w:rPr>
          <w:rFonts w:hint="eastAsia" w:ascii="仿宋" w:hAnsi="仿宋" w:eastAsia="仿宋" w:cs="仿宋"/>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hint="eastAsia" w:ascii="仿宋" w:hAnsi="仿宋" w:eastAsia="仿宋" w:cs="仿宋"/>
          <w:color w:val="000000"/>
          <w:sz w:val="28"/>
          <w:szCs w:val="28"/>
          <w:shd w:val="clear" w:color="auto" w:fill="FFFFFF"/>
          <w:lang w:eastAsia="zh-CN"/>
        </w:rPr>
        <w:t>202</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]第</w:t>
      </w:r>
      <w:r>
        <w:rPr>
          <w:rFonts w:hint="eastAsia" w:ascii="仿宋" w:hAnsi="仿宋" w:eastAsia="仿宋" w:cs="仿宋"/>
          <w:color w:val="000000"/>
          <w:sz w:val="28"/>
          <w:szCs w:val="28"/>
          <w:shd w:val="clear" w:color="auto" w:fill="FFFFFF"/>
          <w:lang w:val="en-US" w:eastAsia="zh-CN"/>
        </w:rPr>
        <w:t>039</w:t>
      </w:r>
      <w:r>
        <w:rPr>
          <w:rFonts w:hint="eastAsia" w:ascii="仿宋" w:hAnsi="仿宋" w:eastAsia="仿宋" w:cs="仿宋"/>
          <w:color w:val="000000"/>
          <w:sz w:val="28"/>
          <w:szCs w:val="28"/>
          <w:shd w:val="clear" w:color="auto" w:fill="FFFFFF"/>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32"/>
          <w:szCs w:val="32"/>
          <w:lang w:eastAsia="zh-CN"/>
        </w:rPr>
      </w:pPr>
    </w:p>
    <w:p>
      <w:pPr>
        <w:spacing w:line="560" w:lineRule="exact"/>
        <w:jc w:val="center"/>
        <w:rPr>
          <w:rFonts w:hint="default" w:ascii="宋体" w:hAnsi="宋体" w:eastAsia="宋体" w:cs="Times New Roman"/>
          <w:b/>
          <w:bCs/>
          <w:sz w:val="36"/>
          <w:szCs w:val="36"/>
          <w:lang w:val="en-US"/>
        </w:rPr>
      </w:pPr>
      <w:r>
        <w:rPr>
          <w:rFonts w:hint="eastAsia" w:ascii="宋体" w:hAnsi="宋体" w:eastAsia="宋体" w:cs="Times New Roman"/>
          <w:b/>
          <w:bCs/>
          <w:sz w:val="36"/>
          <w:szCs w:val="36"/>
          <w:lang w:val="en-US" w:eastAsia="zh-CN"/>
        </w:rPr>
        <w:t>北塔</w:t>
      </w:r>
      <w:r>
        <w:rPr>
          <w:rFonts w:hint="eastAsia" w:ascii="宋体" w:hAnsi="宋体" w:eastAsia="宋体" w:cs="Times New Roman"/>
          <w:b/>
          <w:bCs/>
          <w:sz w:val="36"/>
          <w:szCs w:val="36"/>
          <w:lang w:eastAsia="zh-CN"/>
        </w:rPr>
        <w:t>区20</w:t>
      </w:r>
      <w:r>
        <w:rPr>
          <w:rFonts w:hint="eastAsia" w:ascii="宋体" w:hAnsi="宋体" w:eastAsia="宋体" w:cs="Times New Roman"/>
          <w:b/>
          <w:bCs/>
          <w:sz w:val="36"/>
          <w:szCs w:val="36"/>
          <w:lang w:val="en-US" w:eastAsia="zh-CN"/>
        </w:rPr>
        <w:t>22</w:t>
      </w:r>
      <w:r>
        <w:rPr>
          <w:rFonts w:hint="eastAsia" w:ascii="宋体" w:hAnsi="宋体" w:eastAsia="宋体" w:cs="Times New Roman"/>
          <w:b/>
          <w:bCs/>
          <w:sz w:val="36"/>
          <w:szCs w:val="36"/>
          <w:lang w:eastAsia="zh-CN"/>
        </w:rPr>
        <w:t>年度</w:t>
      </w:r>
      <w:r>
        <w:rPr>
          <w:rFonts w:hint="eastAsia" w:ascii="宋体" w:hAnsi="宋体" w:eastAsia="宋体" w:cs="Times New Roman"/>
          <w:b/>
          <w:bCs/>
          <w:sz w:val="36"/>
          <w:szCs w:val="36"/>
          <w:lang w:val="en-US" w:eastAsia="zh-CN"/>
        </w:rPr>
        <w:t>养老服务建设项目</w:t>
      </w:r>
    </w:p>
    <w:p>
      <w:pPr>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绩效评价报告</w:t>
      </w:r>
    </w:p>
    <w:p>
      <w:pPr>
        <w:pStyle w:val="17"/>
        <w:keepNext w:val="0"/>
        <w:keepLines w:val="0"/>
        <w:pageBreakBefore w:val="0"/>
        <w:kinsoku/>
        <w:wordWrap/>
        <w:overflowPunct/>
        <w:topLinePunct w:val="0"/>
        <w:autoSpaceDE/>
        <w:autoSpaceDN/>
        <w:bidi w:val="0"/>
        <w:spacing w:line="288" w:lineRule="auto"/>
        <w:ind w:left="0" w:leftChars="0" w:firstLine="0" w:firstLineChars="0"/>
        <w:textAlignment w:val="auto"/>
        <w:rPr>
          <w:rFonts w:hint="eastAsia" w:ascii="仿宋" w:hAnsi="仿宋" w:eastAsia="仿宋" w:cs="仿宋"/>
          <w:b/>
          <w:bCs/>
          <w:color w:val="000000"/>
          <w:sz w:val="32"/>
          <w:szCs w:val="32"/>
        </w:rPr>
      </w:pPr>
    </w:p>
    <w:p>
      <w:pPr>
        <w:pStyle w:val="17"/>
        <w:keepNext w:val="0"/>
        <w:keepLines w:val="0"/>
        <w:pageBreakBefore w:val="0"/>
        <w:widowControl w:val="0"/>
        <w:kinsoku/>
        <w:wordWrap/>
        <w:overflowPunct w:val="0"/>
        <w:topLinePunct w:val="0"/>
        <w:autoSpaceDE/>
        <w:autoSpaceDN/>
        <w:bidi w:val="0"/>
        <w:spacing w:beforeAutospacing="0" w:afterAutospacing="0" w:line="540" w:lineRule="exact"/>
        <w:ind w:firstLine="640"/>
        <w:textAlignment w:val="auto"/>
        <w:rPr>
          <w:rFonts w:hint="eastAsia" w:ascii="仿宋" w:hAnsi="仿宋" w:eastAsia="仿宋" w:cs="仿宋"/>
          <w:color w:val="auto"/>
          <w:sz w:val="28"/>
          <w:szCs w:val="28"/>
          <w:highlight w:val="none"/>
        </w:rPr>
      </w:pPr>
      <w:r>
        <w:rPr>
          <w:rFonts w:hint="eastAsia" w:ascii="仿宋" w:hAnsi="仿宋" w:eastAsia="仿宋" w:cs="仿宋"/>
          <w:color w:val="000000"/>
          <w:sz w:val="28"/>
          <w:szCs w:val="28"/>
          <w:shd w:val="clear" w:color="auto" w:fill="FFFFFF"/>
          <w:lang w:eastAsia="zh-CN"/>
        </w:rPr>
        <w:t>为全面掌握</w:t>
      </w:r>
      <w:r>
        <w:rPr>
          <w:rFonts w:hint="eastAsia" w:ascii="仿宋" w:hAnsi="仿宋" w:eastAsia="仿宋" w:cs="仿宋"/>
          <w:color w:val="000000"/>
          <w:sz w:val="28"/>
          <w:szCs w:val="28"/>
          <w:shd w:val="clear" w:color="auto" w:fill="FFFFFF"/>
          <w:lang w:val="en-US" w:eastAsia="zh-CN"/>
        </w:rPr>
        <w:t>北塔</w:t>
      </w:r>
      <w:r>
        <w:rPr>
          <w:rFonts w:hint="eastAsia" w:ascii="仿宋" w:hAnsi="仿宋" w:eastAsia="仿宋" w:cs="仿宋"/>
          <w:color w:val="000000"/>
          <w:sz w:val="28"/>
          <w:szCs w:val="28"/>
          <w:shd w:val="clear" w:color="auto" w:fill="FFFFFF"/>
          <w:lang w:eastAsia="zh-CN"/>
        </w:rPr>
        <w:t>区20</w:t>
      </w:r>
      <w:r>
        <w:rPr>
          <w:rFonts w:hint="eastAsia" w:ascii="仿宋" w:hAnsi="仿宋" w:eastAsia="仿宋" w:cs="仿宋"/>
          <w:color w:val="000000"/>
          <w:sz w:val="28"/>
          <w:szCs w:val="28"/>
          <w:shd w:val="clear" w:color="auto" w:fill="FFFFFF"/>
          <w:lang w:val="en-US" w:eastAsia="zh-CN"/>
        </w:rPr>
        <w:t>22</w:t>
      </w:r>
      <w:r>
        <w:rPr>
          <w:rFonts w:hint="eastAsia" w:ascii="仿宋" w:hAnsi="仿宋" w:eastAsia="仿宋" w:cs="仿宋"/>
          <w:color w:val="000000"/>
          <w:sz w:val="28"/>
          <w:szCs w:val="28"/>
          <w:shd w:val="clear" w:color="auto" w:fill="FFFFFF"/>
          <w:lang w:eastAsia="zh-CN"/>
        </w:rPr>
        <w:t>年度</w:t>
      </w:r>
      <w:r>
        <w:rPr>
          <w:rFonts w:hint="eastAsia" w:ascii="仿宋" w:hAnsi="仿宋" w:eastAsia="仿宋" w:cs="仿宋"/>
          <w:color w:val="000000"/>
          <w:sz w:val="28"/>
          <w:szCs w:val="28"/>
          <w:shd w:val="clear" w:color="auto" w:fill="FFFFFF"/>
          <w:lang w:val="en-US" w:eastAsia="zh-CN"/>
        </w:rPr>
        <w:t>养老服务建设项目资金使用情况及取得的效果，</w:t>
      </w:r>
      <w:r>
        <w:rPr>
          <w:rFonts w:hint="eastAsia" w:ascii="仿宋" w:hAnsi="仿宋" w:eastAsia="仿宋" w:cs="仿宋"/>
          <w:color w:val="000000"/>
          <w:sz w:val="28"/>
          <w:szCs w:val="28"/>
          <w:shd w:val="clear" w:color="auto" w:fill="FFFFFF"/>
          <w:lang w:eastAsia="zh-CN"/>
        </w:rPr>
        <w:t>进一步规范和加强专项资金管理，切实提高财政资金使用效益。</w:t>
      </w:r>
      <w:r>
        <w:rPr>
          <w:rFonts w:hint="eastAsia" w:ascii="仿宋" w:hAnsi="仿宋" w:eastAsia="仿宋" w:cs="仿宋"/>
          <w:color w:val="auto"/>
          <w:sz w:val="28"/>
          <w:szCs w:val="28"/>
          <w:highlight w:val="none"/>
        </w:rPr>
        <w:t>根据《中共中央国务院关于全面实施预算绩效管理的意见》（中发〔2018〕34号）、《财政部关于印发〈项目支出绩效评价管理办法〉的通知》（财预〔2020〕10号）和《中共湖南省委办公厅湖南省人民政府办公厅关于全面实施预算绩效管理的实施意见》（湘办发〔2019〕10号）等文件精神，为全面掌握北塔区养老服务建设项目资金使用情况及取得的效果，进一步规范和加强专项资金管理，切实提高财政资金使用效益，邵阳市北塔区财政局委托湖南骏新联合会计师事务所（普通合伙）对北塔区民政局资金开展绩效评价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评价采用定量分析和定性分析相结合的方法，从项目决策、项目过程、项目绩效完成等方面对项目进行了综合评价。现将绩效评价情况汇报如下：</w:t>
      </w:r>
    </w:p>
    <w:p>
      <w:pPr>
        <w:pStyle w:val="17"/>
        <w:keepNext w:val="0"/>
        <w:keepLines w:val="0"/>
        <w:pageBreakBefore w:val="0"/>
        <w:widowControl w:val="0"/>
        <w:kinsoku/>
        <w:wordWrap/>
        <w:overflowPunct w:val="0"/>
        <w:topLinePunct w:val="0"/>
        <w:autoSpaceDE/>
        <w:autoSpaceDN/>
        <w:bidi w:val="0"/>
        <w:spacing w:beforeAutospacing="0" w:afterAutospacing="0" w:line="540" w:lineRule="exact"/>
        <w:ind w:firstLine="64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rPr>
        <w:t>项目资金概况</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（一）项目基本情况</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北塔区养老服务建设项目是根据国家老龄化现象加剧而设立服务于老年人的综合服务机构，旨在推进养老服务工作平稳、健康、可持续发展。该项目包括建设养老服务站（</w:t>
      </w:r>
      <w:r>
        <w:rPr>
          <w:rFonts w:hint="eastAsia" w:ascii="仿宋" w:hAnsi="仿宋" w:eastAsia="仿宋" w:cs="仿宋"/>
          <w:color w:val="auto"/>
          <w:sz w:val="28"/>
          <w:szCs w:val="28"/>
          <w:highlight w:val="none"/>
          <w:lang w:val="en-US" w:eastAsia="zh-CN"/>
        </w:rPr>
        <w:t>康养中心</w:t>
      </w:r>
      <w:r>
        <w:rPr>
          <w:rFonts w:hint="eastAsia" w:ascii="仿宋" w:hAnsi="仿宋" w:eastAsia="仿宋" w:cs="仿宋"/>
          <w:color w:val="auto"/>
          <w:sz w:val="28"/>
          <w:szCs w:val="28"/>
          <w:highlight w:val="none"/>
        </w:rPr>
        <w:t>）和改建1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个社区养老服务中心。</w:t>
      </w:r>
      <w:r>
        <w:rPr>
          <w:rFonts w:hint="eastAsia" w:ascii="仿宋" w:hAnsi="仿宋" w:eastAsia="仿宋" w:cs="仿宋"/>
          <w:color w:val="auto"/>
          <w:sz w:val="28"/>
          <w:szCs w:val="28"/>
          <w:highlight w:val="none"/>
          <w:lang w:val="en-US" w:eastAsia="zh-CN"/>
        </w:rPr>
        <w:t>康养中心</w:t>
      </w:r>
      <w:r>
        <w:rPr>
          <w:rFonts w:hint="eastAsia" w:ascii="仿宋" w:hAnsi="仿宋" w:eastAsia="仿宋" w:cs="仿宋"/>
          <w:color w:val="auto"/>
          <w:sz w:val="28"/>
          <w:szCs w:val="28"/>
          <w:highlight w:val="none"/>
        </w:rPr>
        <w:t>项目位于北塔区新滩镇陈家山，建设康养大楼 1 栋，总建设面积 21000 ㎡，涉及老年养护、康养服务、营养食堂、老年活动室等配套功能，建设停车场、道路及场地硬化、绿化水电等配套设施，新增床位 400 张，工期两年，预计2025年年初完成建设并投入使用。改建1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个社区养老服务中心项目分别位于状元州街道观音新村居家和社区养老服务中心、陈家桥镇万桥社区居家和社区养老服务中心、陈家桥镇白泥田社区居家和社区养老服务中心、陈家桥镇柑子塘社区居家和社区养老服务中心、陈家桥镇桂花社区居家和社区养老服务中心等社区，改建面积3400㎡，新增床位合计102张，工期3个月，已全部完工。</w:t>
      </w:r>
      <w:r>
        <w:rPr>
          <w:rFonts w:hint="eastAsia" w:ascii="仿宋" w:hAnsi="仿宋" w:eastAsia="仿宋" w:cs="仿宋"/>
          <w:color w:val="auto"/>
          <w:kern w:val="0"/>
          <w:sz w:val="28"/>
          <w:szCs w:val="28"/>
          <w:highlight w:val="none"/>
          <w:lang w:val="en-US" w:eastAsia="zh-CN" w:bidi="ar-SA"/>
        </w:rPr>
        <w:t>该工程采用设计采购施工总承包模式（EPC模式），总承包商为湖南志鹏建设集团有限公司、湖南方圆建筑工程设计有限公司，由邵阳市北塔区民政局组织实施。</w:t>
      </w:r>
    </w:p>
    <w:p>
      <w:pPr>
        <w:pStyle w:val="4"/>
        <w:pageBreakBefore w:val="0"/>
        <w:kinsoku/>
        <w:wordWrap/>
        <w:overflowPunct/>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（二）项目资金基本情况</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北塔区养老服务建设项目总投资10300万元，其中：建设投资9931万元，建设期间利息369万元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其中建设工程费用8,680.56万元，其他费用638.14万元，预备费612.21万元。</w:t>
      </w:r>
      <w:r>
        <w:rPr>
          <w:rFonts w:hint="eastAsia" w:ascii="仿宋" w:hAnsi="仿宋" w:eastAsia="仿宋" w:cs="仿宋"/>
          <w:color w:val="auto"/>
          <w:sz w:val="28"/>
          <w:szCs w:val="28"/>
          <w:highlight w:val="none"/>
        </w:rPr>
        <w:t>项目建设所需资金来源为财政资金及专项债资金。已收到专项债券资金5000万元整。康养大楼建设项目费用共计849.73552万元，改建1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个社区养老服务中心及物资采购费用共计493.109225元，拨付双控账户共计3657.155255万元，共计支出5000万元。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560" w:firstLineChars="200"/>
        <w:textAlignment w:val="auto"/>
        <w:rPr>
          <w:rFonts w:hint="eastAsia" w:ascii="仿宋" w:hAnsi="仿宋" w:eastAsia="仿宋" w:cs="仿宋"/>
          <w:color w:val="auto"/>
          <w:spacing w:val="0"/>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政府专项债发行情况具体如下：</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righ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金额（万元）</w:t>
      </w:r>
    </w:p>
    <w:tbl>
      <w:tblPr>
        <w:tblStyle w:val="12"/>
        <w:tblW w:w="8503" w:type="dxa"/>
        <w:tblInd w:w="0" w:type="dxa"/>
        <w:shd w:val="clear" w:color="auto" w:fill="FFFFFF"/>
        <w:tblLayout w:type="fixed"/>
        <w:tblCellMar>
          <w:top w:w="15" w:type="dxa"/>
          <w:left w:w="15" w:type="dxa"/>
          <w:bottom w:w="15" w:type="dxa"/>
          <w:right w:w="15" w:type="dxa"/>
        </w:tblCellMar>
      </w:tblPr>
      <w:tblGrid>
        <w:gridCol w:w="1913"/>
        <w:gridCol w:w="2129"/>
        <w:gridCol w:w="1005"/>
        <w:gridCol w:w="1209"/>
        <w:gridCol w:w="1072"/>
        <w:gridCol w:w="1175"/>
      </w:tblGrid>
      <w:tr>
        <w:tblPrEx>
          <w:shd w:val="clear" w:color="auto" w:fill="FFFFFF"/>
          <w:tblCellMar>
            <w:top w:w="15" w:type="dxa"/>
            <w:left w:w="15" w:type="dxa"/>
            <w:bottom w:w="15" w:type="dxa"/>
            <w:right w:w="15" w:type="dxa"/>
          </w:tblCellMar>
        </w:tblPrEx>
        <w:trPr>
          <w:trHeight w:val="540" w:hRule="atLeast"/>
        </w:trPr>
        <w:tc>
          <w:tcPr>
            <w:tcW w:w="1913"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债券名称</w:t>
            </w:r>
          </w:p>
        </w:tc>
        <w:tc>
          <w:tcPr>
            <w:tcW w:w="2129"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债券项目名称</w:t>
            </w:r>
          </w:p>
        </w:tc>
        <w:tc>
          <w:tcPr>
            <w:tcW w:w="1005"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金额</w:t>
            </w:r>
          </w:p>
        </w:tc>
        <w:tc>
          <w:tcPr>
            <w:tcW w:w="1209"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期限（年）</w:t>
            </w:r>
          </w:p>
        </w:tc>
        <w:tc>
          <w:tcPr>
            <w:tcW w:w="1072" w:type="dxa"/>
            <w:tcBorders>
              <w:top w:val="single" w:color="000000" w:sz="6" w:space="0"/>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利率%</w:t>
            </w:r>
          </w:p>
        </w:tc>
        <w:tc>
          <w:tcPr>
            <w:tcW w:w="1175" w:type="dxa"/>
            <w:tcBorders>
              <w:top w:val="single" w:color="000000" w:sz="6" w:space="0"/>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发行日期</w:t>
            </w:r>
          </w:p>
        </w:tc>
      </w:tr>
      <w:tr>
        <w:tblPrEx>
          <w:tblCellMar>
            <w:top w:w="15" w:type="dxa"/>
            <w:left w:w="15" w:type="dxa"/>
            <w:bottom w:w="15" w:type="dxa"/>
            <w:right w:w="15" w:type="dxa"/>
          </w:tblCellMar>
        </w:tblPrEx>
        <w:trPr>
          <w:trHeight w:val="1391" w:hRule="atLeast"/>
        </w:trPr>
        <w:tc>
          <w:tcPr>
            <w:tcW w:w="1913"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2022年湖南省社会事业专项债权（十九期）-2022年湖南省政府专项债权（九十期）</w:t>
            </w:r>
          </w:p>
        </w:tc>
        <w:tc>
          <w:tcPr>
            <w:tcW w:w="2129"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邵阳市北塔区养老服务建设项目</w:t>
            </w:r>
          </w:p>
        </w:tc>
        <w:tc>
          <w:tcPr>
            <w:tcW w:w="1005"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5000.00</w:t>
            </w:r>
          </w:p>
        </w:tc>
        <w:tc>
          <w:tcPr>
            <w:tcW w:w="1209"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15年</w:t>
            </w:r>
          </w:p>
        </w:tc>
        <w:tc>
          <w:tcPr>
            <w:tcW w:w="1072"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3.71</w:t>
            </w:r>
          </w:p>
        </w:tc>
        <w:tc>
          <w:tcPr>
            <w:tcW w:w="1175" w:type="dxa"/>
            <w:tcBorders>
              <w:top w:val="nil"/>
              <w:left w:val="nil"/>
              <w:bottom w:val="single" w:color="000000" w:sz="6" w:space="0"/>
              <w:right w:val="nil"/>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2022-06</w:t>
            </w:r>
          </w:p>
        </w:tc>
      </w:tr>
      <w:tr>
        <w:tblPrEx>
          <w:tblCellMar>
            <w:top w:w="15" w:type="dxa"/>
            <w:left w:w="15" w:type="dxa"/>
            <w:bottom w:w="15" w:type="dxa"/>
            <w:right w:w="15" w:type="dxa"/>
          </w:tblCellMar>
        </w:tblPrEx>
        <w:trPr>
          <w:trHeight w:val="285" w:hRule="atLeast"/>
        </w:trPr>
        <w:tc>
          <w:tcPr>
            <w:tcW w:w="1913"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合计</w:t>
            </w:r>
          </w:p>
        </w:tc>
        <w:tc>
          <w:tcPr>
            <w:tcW w:w="2129"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仿宋" w:hAnsi="仿宋" w:eastAsia="仿宋" w:cs="仿宋"/>
                <w:color w:val="auto"/>
                <w:sz w:val="28"/>
                <w:szCs w:val="28"/>
                <w:highlight w:val="none"/>
                <w:lang w:val="en-US" w:eastAsia="zh-CN"/>
              </w:rPr>
            </w:pPr>
          </w:p>
        </w:tc>
        <w:tc>
          <w:tcPr>
            <w:tcW w:w="1005" w:type="dxa"/>
            <w:tcBorders>
              <w:top w:val="nil"/>
              <w:left w:val="nil"/>
              <w:bottom w:val="single" w:color="000000" w:sz="6" w:space="0"/>
              <w:right w:val="single" w:color="000000" w:sz="6" w:space="0"/>
            </w:tcBorders>
            <w:shd w:val="clear" w:color="auto" w:fill="auto"/>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5000.00</w:t>
            </w:r>
          </w:p>
        </w:tc>
        <w:tc>
          <w:tcPr>
            <w:tcW w:w="1209"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仿宋" w:hAnsi="仿宋" w:eastAsia="仿宋" w:cs="仿宋"/>
                <w:color w:val="auto"/>
                <w:sz w:val="28"/>
                <w:szCs w:val="28"/>
                <w:highlight w:val="none"/>
                <w:lang w:val="en-US" w:eastAsia="zh-CN"/>
              </w:rPr>
            </w:pPr>
          </w:p>
        </w:tc>
        <w:tc>
          <w:tcPr>
            <w:tcW w:w="1072"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仿宋" w:hAnsi="仿宋" w:eastAsia="仿宋" w:cs="仿宋"/>
                <w:color w:val="auto"/>
                <w:sz w:val="28"/>
                <w:szCs w:val="28"/>
                <w:highlight w:val="none"/>
                <w:lang w:val="en-US" w:eastAsia="zh-CN"/>
              </w:rPr>
            </w:pPr>
          </w:p>
        </w:tc>
        <w:tc>
          <w:tcPr>
            <w:tcW w:w="1175" w:type="dxa"/>
            <w:tcBorders>
              <w:top w:val="nil"/>
              <w:left w:val="nil"/>
              <w:bottom w:val="single" w:color="000000" w:sz="6" w:space="0"/>
              <w:right w:val="nil"/>
            </w:tcBorders>
            <w:shd w:val="clear" w:color="auto" w:fill="auto"/>
            <w:noWrap/>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60" w:firstLineChars="200"/>
              <w:textAlignment w:val="auto"/>
              <w:rPr>
                <w:rFonts w:hint="eastAsia" w:ascii="仿宋" w:hAnsi="仿宋" w:eastAsia="仿宋" w:cs="仿宋"/>
                <w:color w:val="auto"/>
                <w:sz w:val="28"/>
                <w:szCs w:val="28"/>
                <w:highlight w:val="none"/>
                <w:lang w:val="en-US" w:eastAsia="zh-CN"/>
              </w:rPr>
            </w:pPr>
          </w:p>
        </w:tc>
      </w:tr>
    </w:tbl>
    <w:p>
      <w:pPr>
        <w:pStyle w:val="4"/>
        <w:pageBreakBefore w:val="0"/>
        <w:kinsoku/>
        <w:wordWrap/>
        <w:overflowPunct/>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（三）项目预期收益、偿债资金来源</w:t>
      </w:r>
    </w:p>
    <w:p>
      <w:pPr>
        <w:keepNext w:val="0"/>
        <w:keepLines w:val="0"/>
        <w:pageBreakBefore w:val="0"/>
        <w:widowControl/>
        <w:suppressLineNumbers w:val="0"/>
        <w:kinsoku/>
        <w:wordWrap/>
        <w:overflowPunct/>
        <w:topLinePunct w:val="0"/>
        <w:autoSpaceDE/>
        <w:autoSpaceDN/>
        <w:bidi w:val="0"/>
        <w:snapToGrid/>
        <w:spacing w:beforeAutospacing="0" w:afterAutospacing="0" w:line="540" w:lineRule="exact"/>
        <w:ind w:firstLine="560" w:firstLineChars="200"/>
        <w:jc w:val="left"/>
        <w:rPr>
          <w:rFonts w:hint="eastAsia" w:ascii="仿宋" w:hAnsi="仿宋" w:eastAsia="仿宋" w:cs="仿宋"/>
          <w:color w:val="auto"/>
          <w:spacing w:val="0"/>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 xml:space="preserve">根据《邵阳市 2022 年社会事业专项债券 邵阳市北塔区养老服务建设项目预期收益与融资平衡方案》，债券存续期内项目总收入为 21,022.71 万元，运营成本预计 9,452.34 万元，项目净收益为 11,570.37 万元。 </w:t>
      </w:r>
    </w:p>
    <w:p>
      <w:pPr>
        <w:pStyle w:val="4"/>
        <w:pageBreakBefore w:val="0"/>
        <w:kinsoku/>
        <w:wordWrap/>
        <w:overflowPunct/>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（四）项目资金绩效目标</w:t>
      </w:r>
    </w:p>
    <w:p>
      <w:pPr>
        <w:keepNext w:val="0"/>
        <w:keepLines w:val="0"/>
        <w:pageBreakBefore w:val="0"/>
        <w:widowControl w:val="0"/>
        <w:suppressLineNumbers w:val="0"/>
        <w:kinsoku/>
        <w:wordWrap/>
        <w:overflowPunct w:val="0"/>
        <w:topLinePunct w:val="0"/>
        <w:autoSpaceDE/>
        <w:autoSpaceDN/>
        <w:bidi w:val="0"/>
        <w:adjustRightInd/>
        <w:snapToGrid/>
        <w:spacing w:beforeAutospacing="0" w:afterAutospacing="0" w:line="54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邵阳市北塔区养老服务建设项目位于北塔区新滩镇陈家山，项目包括建设 1 家北塔区养老中心、改建 17 个社区养老服务中心。北塔区养老中心项目总用地面积 23333.33㎡（35 亩），建设康养大楼1栋，总建筑面积 21000㎡，涉及老年养护、康养服务、营养食堂、老年活动室等配套功能，建设停车场、道路及场地硬化、绿化、水电等配套设施，新增床位 400 张。社区养老服务中心改建北塔区17个社区养老服务中心，改建面积合计 3400㎡（每个服务中心改建面积 200㎡），新增床位合计 102 张。</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项目建设期限为2年，2022年6月-2024年5月。</w:t>
      </w:r>
    </w:p>
    <w:p>
      <w:pPr>
        <w:pStyle w:val="3"/>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二、项目资金使用及管理情况</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（一）资金应到位及实际到位情况</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0" w:firstLineChars="200"/>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z w:val="28"/>
          <w:szCs w:val="28"/>
          <w:highlight w:val="none"/>
          <w:lang w:val="en-US" w:eastAsia="zh-CN"/>
        </w:rPr>
        <w:t>根据《邵阳市</w:t>
      </w:r>
      <w:r>
        <w:rPr>
          <w:rFonts w:hint="eastAsia" w:ascii="仿宋" w:hAnsi="仿宋" w:eastAsia="仿宋" w:cs="仿宋"/>
          <w:color w:val="auto"/>
          <w:kern w:val="2"/>
          <w:sz w:val="28"/>
          <w:szCs w:val="28"/>
          <w:highlight w:val="none"/>
          <w:lang w:val="en-US" w:eastAsia="zh-CN" w:bidi="ar-SA"/>
        </w:rPr>
        <w:t xml:space="preserve"> 2022 </w:t>
      </w:r>
      <w:r>
        <w:rPr>
          <w:rFonts w:hint="eastAsia" w:ascii="仿宋" w:hAnsi="仿宋" w:eastAsia="仿宋" w:cs="仿宋"/>
          <w:color w:val="auto"/>
          <w:sz w:val="28"/>
          <w:szCs w:val="28"/>
          <w:highlight w:val="none"/>
          <w:lang w:val="en-US" w:eastAsia="zh-CN"/>
        </w:rPr>
        <w:t>年社会事业专项债券 邵阳市北塔区养老服务建设项目预期收益与融资平衡方案》中投资分年计划表，</w:t>
      </w:r>
      <w:r>
        <w:rPr>
          <w:rFonts w:hint="eastAsia" w:ascii="仿宋" w:hAnsi="仿宋" w:eastAsia="仿宋" w:cs="仿宋"/>
          <w:color w:val="auto"/>
          <w:kern w:val="2"/>
          <w:sz w:val="28"/>
          <w:szCs w:val="28"/>
          <w:highlight w:val="none"/>
          <w:lang w:val="en-US" w:eastAsia="zh-CN" w:bidi="ar-SA"/>
        </w:rPr>
        <w:t>2022年</w:t>
      </w:r>
      <w:r>
        <w:rPr>
          <w:rFonts w:hint="eastAsia" w:ascii="仿宋" w:hAnsi="仿宋" w:eastAsia="仿宋" w:cs="仿宋"/>
          <w:color w:val="auto"/>
          <w:sz w:val="28"/>
          <w:szCs w:val="28"/>
          <w:highlight w:val="none"/>
          <w:lang w:val="en-US" w:eastAsia="zh-CN"/>
        </w:rPr>
        <w:t>投资金</w:t>
      </w:r>
      <w:r>
        <w:rPr>
          <w:rFonts w:hint="eastAsia" w:ascii="仿宋" w:hAnsi="仿宋" w:eastAsia="仿宋" w:cs="仿宋"/>
          <w:color w:val="auto"/>
          <w:kern w:val="2"/>
          <w:sz w:val="28"/>
          <w:szCs w:val="28"/>
          <w:highlight w:val="none"/>
          <w:lang w:val="en-US" w:eastAsia="zh-CN" w:bidi="ar-SA"/>
        </w:rPr>
        <w:t>额6,000万元，其中政府专项债券金额5,000万元。2022年政府专项债实际发行5,000万元</w:t>
      </w:r>
      <w:r>
        <w:rPr>
          <w:rFonts w:hint="eastAsia" w:ascii="仿宋" w:hAnsi="仿宋" w:eastAsia="仿宋" w:cs="仿宋"/>
          <w:color w:val="auto"/>
          <w:sz w:val="28"/>
          <w:szCs w:val="28"/>
          <w:highlight w:val="none"/>
          <w:lang w:val="en-US" w:eastAsia="zh-CN"/>
        </w:rPr>
        <w:t>，实际到位</w:t>
      </w:r>
      <w:r>
        <w:rPr>
          <w:rFonts w:hint="eastAsia" w:ascii="仿宋" w:hAnsi="仿宋" w:eastAsia="仿宋" w:cs="仿宋"/>
          <w:color w:val="auto"/>
          <w:kern w:val="2"/>
          <w:sz w:val="28"/>
          <w:szCs w:val="28"/>
          <w:highlight w:val="none"/>
          <w:lang w:val="en-US" w:eastAsia="zh-CN" w:bidi="ar-SA"/>
        </w:rPr>
        <w:t>5,000万元。</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（二）资金实际使用情况</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北塔区养老服务建设康养大楼建设项目费用共计</w:t>
      </w:r>
      <w:r>
        <w:rPr>
          <w:rFonts w:hint="eastAsia" w:ascii="仿宋" w:hAnsi="仿宋" w:eastAsia="仿宋" w:cs="仿宋"/>
          <w:color w:val="auto"/>
          <w:kern w:val="2"/>
          <w:sz w:val="28"/>
          <w:szCs w:val="28"/>
          <w:highlight w:val="none"/>
          <w:lang w:val="en-US" w:eastAsia="zh-CN" w:bidi="ar-SA"/>
        </w:rPr>
        <w:t>849.73552万元，北塔区社区养老服务中心改建项目及物资采购费用共计493.109225万元，拨付双控账户共计3657.155255万元，共计支出5000.0024万元。</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（三）资金管理情况</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设立专户，做了到专款专用、凭证完整、严格把控报账流程、杜绝虚假报账现象。</w:t>
      </w:r>
    </w:p>
    <w:p>
      <w:pPr>
        <w:pStyle w:val="3"/>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三、项目管理情况</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（一）建设期项目施工组织管理</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为加强项目建设管理和保证项目顺利实施，本项目成立了专门的项目建设管理领导小组，具体负责项目的组织领导和各项管理，以确保项目的顺利实施。</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（二）项目管理措施</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项目建设管理中，严格执行国家建设资金管理、工程招投标制和工程监理制等规定，并接受国家、地方有关部门的监督、审计、稽查。</w:t>
      </w:r>
    </w:p>
    <w:p>
      <w:pPr>
        <w:pStyle w:val="3"/>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四、债务信息报送与</w:t>
      </w:r>
      <w:r>
        <w:rPr>
          <w:rFonts w:hint="eastAsia" w:ascii="宋体" w:hAnsi="宋体" w:eastAsia="宋体" w:cs="宋体"/>
          <w:color w:val="auto"/>
          <w:sz w:val="28"/>
          <w:szCs w:val="28"/>
          <w:highlight w:val="none"/>
        </w:rPr>
        <w:t>公开情况</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本年度发行政府专项债券5,000.00万元，在中国债权信息网公开发布。</w:t>
      </w:r>
    </w:p>
    <w:p>
      <w:pPr>
        <w:pStyle w:val="3"/>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五、债务风险控制与还本付息情况</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（一）债务风险控制</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 本项目严格按照项目建设内容和项目总投资要求进行施工设计，严格控制项目成本，确保不产生项目资金筹措计划以外的项目债务。</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 本项目按照《地方政府专项债券资金管理办法》对项目资金现金流进行动态监控，确保项目收入及时足额的缴入国库，纳入政府性基金预算管理。</w:t>
      </w:r>
    </w:p>
    <w:p>
      <w:pPr>
        <w:keepNext w:val="0"/>
        <w:keepLines w:val="0"/>
        <w:pageBreakBefore w:val="0"/>
        <w:widowControl w:val="0"/>
        <w:suppressLineNumbers w:val="0"/>
        <w:kinsoku/>
        <w:wordWrap/>
        <w:overflowPunct w:val="0"/>
        <w:topLinePunct w:val="0"/>
        <w:autoSpaceDE/>
        <w:autoSpaceDN/>
        <w:bidi w:val="0"/>
        <w:snapToGrid/>
        <w:spacing w:beforeAutospacing="0" w:afterAutospacing="0" w:line="540" w:lineRule="exact"/>
        <w:ind w:firstLine="560" w:firstLineChars="2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 为确保按时还本付息，本项目根据《地方政府专项债务预算管理办法》的规定，专项债务收支按照对应的政府性基金收入，专项收入实现收支平衡。本项目偿债资金来源为床位收入、健康管理服务收入、餐饮服务收入。本次对外融资偿还期内项目预计收益总额为21,022.71万元，扣除相关运营成本9,452.34万元后，预计用于融资平衡的相关收益为11,570.37 万元，相关收益对融资本息的覆盖倍数为1.49。项目收益与融资能实现自求平衡，不能还本付息的风险较小。</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（二）还本付息情况</w:t>
      </w:r>
    </w:p>
    <w:p>
      <w:pPr>
        <w:pStyle w:val="8"/>
        <w:keepNext w:val="0"/>
        <w:keepLines w:val="0"/>
        <w:pageBreakBefore w:val="0"/>
        <w:widowControl w:val="0"/>
        <w:kinsoku/>
        <w:wordWrap/>
        <w:overflowPunct w:val="0"/>
        <w:topLinePunct w:val="0"/>
        <w:autoSpaceDE/>
        <w:autoSpaceDN/>
        <w:bidi w:val="0"/>
        <w:snapToGrid/>
        <w:spacing w:before="0" w:beforeAutospacing="0" w:after="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项目政府专项债存续期15年，债权年利率3.71%，每半年付息一次，本金在债权到期时一次性偿还，债券存续期内本息共计 7,782.50 万元。暂未支付利息。</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六、项目资金绩效情况</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（一）项目决策情况</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加快地方政府专项债券发行使用有关工作的通知》（财预〔2020〕94号）中提到，专项债券资金重点用于国务院常务会议确定的交通基础设施、能源项目、农林水利、生态环保项目、民生服务、冷链物流设施、市政和产业园区基础设施等七大领域。本项目属于民生服务项目，属于专项债券支持的领域。邵阳市北塔区养老服务建设项目已经和永信和瑞工程咨询有限公司编制了可行性研究报告，并通过邵阳市北塔区发展和改革局立项批复（邵北发改字[2022]10号）项目属于民生服务项目，符合专项债券支持领域和方向情况。</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（二）项目产出情况</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2022年以来，区民政局实施的养老服务业建设资金项目效果明显，申报及监管制度较为完善；确保相关重点项目顺利实施。社区改建项目实施以来，满足了社区老年人就近就便、多层次、多样化的社区养老服务需求，有效提高老年人生活质量，有助于解决社会老龄化问题，促进社会稳定及和谐。北塔区养老中心康养大楼于2023年6月10日开工，预计2025年年初完成建设并投入使用。</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（三）项目效益情况</w:t>
      </w:r>
    </w:p>
    <w:p>
      <w:pPr>
        <w:pStyle w:val="5"/>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1. 社会效益</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提高老年人的生理和心理健康水平，是应对人口老龄化的重要措施。项目建成投入使用后，能为老年人提供生活保障与福利服务，是落实科学发展观，构建和谐社会，展示社会主义制度优越性的具体体现。本项目建设不仅解决老年人生活的具体问题和困难，而且还可以丰富其文化生活，营造全社会尊老敬老的良好社会氛围。项目医疗护理内容是发展老年医疗卫生事业的一部分，有利于加快完善医疗保险制度和公共医疗服务体系，加快建设老年医疗服务设施，提高老年疾病预防和治疗技术。同时有利于发展老年文化教育事业，丰富老年人精神文化生活，为老年人参与社会、奉献社会开辟更多途径。其社会效益十分显著。</w:t>
      </w:r>
    </w:p>
    <w:p>
      <w:pPr>
        <w:pStyle w:val="5"/>
        <w:keepNext w:val="0"/>
        <w:keepLines w:val="0"/>
        <w:pageBreakBefore w:val="0"/>
        <w:widowControl w:val="0"/>
        <w:numPr>
          <w:ilvl w:val="0"/>
          <w:numId w:val="1"/>
        </w:numPr>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经济效益</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从短期来看，项目的投资、建设和运营会为当地带来适量的就业岗位。从长远看，项目的建成促进当地经济发展，拓宽就业渠道，有利于增加所在地区居民的就业机会，影响程度较好。</w:t>
      </w:r>
    </w:p>
    <w:p>
      <w:pPr>
        <w:keepNext w:val="0"/>
        <w:keepLines w:val="0"/>
        <w:pageBreakBefore w:val="0"/>
        <w:widowControl w:val="0"/>
        <w:numPr>
          <w:ilvl w:val="0"/>
          <w:numId w:val="2"/>
        </w:numPr>
        <w:kinsoku/>
        <w:wordWrap/>
        <w:overflowPunct w:val="0"/>
        <w:topLinePunct w:val="0"/>
        <w:autoSpaceDE/>
        <w:autoSpaceDN/>
        <w:bidi w:val="0"/>
        <w:snapToGrid/>
        <w:spacing w:beforeAutospacing="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可持续影响</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项目的建设符合当地城市发展规划要求，对改善当地基础设施以及提高社会服务容量、推进城市化进程有较好的影响。</w:t>
      </w:r>
    </w:p>
    <w:p>
      <w:pPr>
        <w:pStyle w:val="3"/>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七、存在的问题及原因分析</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（一）资金使用较慢</w:t>
      </w:r>
    </w:p>
    <w:p>
      <w:pPr>
        <w:pStyle w:val="6"/>
        <w:keepNext w:val="0"/>
        <w:keepLines w:val="0"/>
        <w:pageBreakBefore w:val="0"/>
        <w:widowControl w:val="0"/>
        <w:kinsoku/>
        <w:wordWrap/>
        <w:overflowPunct w:val="0"/>
        <w:topLinePunct w:val="0"/>
        <w:autoSpaceDE/>
        <w:autoSpaceDN/>
        <w:bidi w:val="0"/>
        <w:snapToGrid/>
        <w:spacing w:beforeAutospacing="0" w:afterAutospacing="0" w:line="540" w:lineRule="exact"/>
        <w:ind w:left="0" w:leftChars="0" w:firstLine="560" w:firstLineChars="200"/>
        <w:rPr>
          <w:rFonts w:hint="eastAsia" w:ascii="仿宋" w:hAnsi="仿宋" w:eastAsia="仿宋" w:cs="仿宋"/>
          <w:color w:val="auto"/>
          <w:spacing w:val="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根据《湖南省政府专项债权管理暂行办法》第三十二条，各级财政部门按照专项债权项目实施进度和合同约定对债权资金实行国库集中支付。当年发行的专项债权资金原则上应在年内使用完毕，严禁滞留国库、沉淀在部门单位。该专项债发行时间为2022年6月，发行金额5,000万元，于2022年8月24日资金全部拨付到位；截至2022年12月31日，实际使用1014.46万元，预算执行率为20.29%；截至2023年6月30日实际使用5,000万元，预算执行率为100%。</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（二）未按期支付利息</w:t>
      </w:r>
    </w:p>
    <w:p>
      <w:pPr>
        <w:pStyle w:val="6"/>
        <w:keepNext w:val="0"/>
        <w:keepLines w:val="0"/>
        <w:pageBreakBefore w:val="0"/>
        <w:widowControl w:val="0"/>
        <w:kinsoku/>
        <w:wordWrap/>
        <w:overflowPunct w:val="0"/>
        <w:topLinePunct w:val="0"/>
        <w:autoSpaceDE/>
        <w:autoSpaceDN/>
        <w:bidi w:val="0"/>
        <w:snapToGrid/>
        <w:spacing w:beforeAutospacing="0" w:afterAutospacing="0" w:line="540" w:lineRule="exact"/>
        <w:ind w:left="0" w:leftChars="0" w:firstLine="560" w:firstLineChars="200"/>
        <w:rPr>
          <w:rFonts w:hint="eastAsia" w:ascii="仿宋" w:hAnsi="仿宋" w:eastAsia="仿宋" w:cs="仿宋"/>
          <w:color w:val="auto"/>
          <w:spacing w:val="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项目政府专项债存续期15年，债权年利率3.71%，每半年付息一次，本金在债权到期时一次性偿还，债券存续期内本息共计 7,782.50 万元。暂未支付利息。</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（三）项目建设任务有滞后现象</w:t>
      </w:r>
    </w:p>
    <w:p>
      <w:pPr>
        <w:pStyle w:val="6"/>
        <w:keepNext w:val="0"/>
        <w:keepLines w:val="0"/>
        <w:pageBreakBefore w:val="0"/>
        <w:widowControl w:val="0"/>
        <w:kinsoku/>
        <w:wordWrap/>
        <w:overflowPunct w:val="0"/>
        <w:topLinePunct w:val="0"/>
        <w:autoSpaceDE/>
        <w:autoSpaceDN/>
        <w:bidi w:val="0"/>
        <w:snapToGrid/>
        <w:spacing w:beforeAutospacing="0" w:afterAutospacing="0" w:line="540" w:lineRule="exact"/>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该项目建设内容为：建设以老年人为中心的养老服务康养大楼和改建17个社区养老服务中心。《邵阳市北塔区养老服务建设项目可行性研究报告》中工程计划设定建设工期2年，即2022年3月-2024年2月，《邵阳市北塔区养老服务建设项目预期收益与融资平衡方案》中预计项目建设期限为2022年6月-2024年5月，邵阳市北塔区民政与湖南志鹏建设集团有限公司签订的合同协议书中计划开始现场施工日期为2023年3月26日。康养大楼于2023年6月10日开工，目前，正在进行基础工程，要求加快项目进度，确保项目完成建设并投入使用。</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（四）自评报告质量有待提高</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单位对项目的自评报告不够细化，未说明项目在实施过程中存在的问题及相应的意见和建议。自评报告对项目开展情况、相关资金使用情况等方面描述过于简单，缺乏较为深入、详细的分析。</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（五）部分合同签订不严谨</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经查看北塔区民政局提供的资料，发现《邵阳市北塔区社区养老服务中心改建项目（第二次）施工合同》，未写明履行合同的时间及地点。</w:t>
      </w:r>
    </w:p>
    <w:p>
      <w:pPr>
        <w:pStyle w:val="3"/>
        <w:keepNext w:val="0"/>
        <w:keepLines w:val="0"/>
        <w:pageBreakBefore w:val="0"/>
        <w:widowControl w:val="0"/>
        <w:numPr>
          <w:ilvl w:val="0"/>
          <w:numId w:val="0"/>
        </w:numPr>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有关建议</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（一）加快项目建设进度</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敦促项目单位，完善项目管理制度，强化对项目各个环节的管理，进一步规范项目管理，提高工作效率。对进度较慢的项目，采取督查、通报、约谈等方式，督促项目承担单位加快建设进度，完成目标任务，尽早投入使用。</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（二）加强项目合同管理</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建议项目单位建立健全合同管理制度，严格按照制定的合同管理制度进行合同管理。合同文本拟定时要完善合同各项要素，关注主要条款是否齐备，如合同中标的、合同金额、履职期限、订立日期、违约责任、解决争议的办法等事项。合同拟好后建议提交给具有资质的律师审核后出具专业意见，再进行单位内部审批流程。保证合同完整、合法，预防合同纠纷，提高依法经营管理水平，防范风险，保障项目单位合法权益。</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（三）提高自评工作质量</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加强绩效自评工作，落实单位绩效评价主体责任，认真开展本单位绩效自评工作。确保绩效自评报告格式规范，数据全面、真实、准确、问题全面、意见具体可行。根据资金管理使用情况与项目组织实施情况，对照项目绩效目标，分析存在的问题，提出合理的整改建议，加强对绩效执行全过程的监控，对资金使用的绩效情况要进行跟踪检查。</w:t>
      </w:r>
    </w:p>
    <w:p>
      <w:pPr>
        <w:pStyle w:val="3"/>
        <w:keepNext w:val="0"/>
        <w:keepLines w:val="0"/>
        <w:pageBreakBefore w:val="0"/>
        <w:widowControl w:val="0"/>
        <w:numPr>
          <w:ilvl w:val="0"/>
          <w:numId w:val="0"/>
        </w:numPr>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九</w:t>
      </w:r>
      <w:r>
        <w:rPr>
          <w:rFonts w:hint="eastAsia" w:ascii="宋体" w:hAnsi="宋体" w:eastAsia="宋体" w:cs="宋体"/>
          <w:color w:val="auto"/>
          <w:sz w:val="28"/>
          <w:szCs w:val="28"/>
          <w:highlight w:val="none"/>
        </w:rPr>
        <w:t>、评价结果</w:t>
      </w:r>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（一）绩效评价指标分析</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邵阳市北塔区养老服务建设项目评价指标体系分为共性指标和个性指标，共性指标包括决策和过程，设定分值为50分，其中决策指标设定15分，过程指标设定35分。个性指标设定分值为50分，其中产出指标20分，效益指标30分。通过数据采集、问卷调查及访谈等方式，对邵阳市北塔区养老服务建设项目绩效进行客观评价，最终评分结果为90.5分，绩效评级为“优”。具体评分情况如下：</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2" w:firstLineChars="200"/>
        <w:rPr>
          <w:rFonts w:hint="eastAsia" w:ascii="仿宋" w:hAnsi="仿宋" w:eastAsia="仿宋" w:cs="仿宋"/>
          <w:b/>
          <w:bCs/>
          <w:color w:val="auto"/>
          <w:kern w:val="2"/>
          <w:sz w:val="28"/>
          <w:szCs w:val="28"/>
          <w:highlight w:val="none"/>
          <w:lang w:val="en-US" w:eastAsia="zh-CN" w:bidi="ar-SA"/>
        </w:rPr>
      </w:pPr>
      <w:bookmarkStart w:id="0" w:name="_Toc1052"/>
      <w:bookmarkStart w:id="1" w:name="_Toc20677"/>
      <w:bookmarkStart w:id="2" w:name="_Toc32016"/>
      <w:bookmarkStart w:id="3" w:name="_Toc6223"/>
      <w:bookmarkStart w:id="4" w:name="_Toc27519"/>
      <w:bookmarkStart w:id="5" w:name="_Toc2186"/>
      <w:bookmarkStart w:id="6" w:name="_Toc3360"/>
      <w:bookmarkStart w:id="7" w:name="_Toc21414"/>
      <w:bookmarkStart w:id="8" w:name="_Toc14642"/>
      <w:bookmarkStart w:id="9" w:name="_Toc12255"/>
      <w:r>
        <w:rPr>
          <w:rFonts w:hint="eastAsia" w:ascii="仿宋" w:hAnsi="仿宋" w:eastAsia="仿宋" w:cs="仿宋"/>
          <w:b/>
          <w:bCs/>
          <w:color w:val="auto"/>
          <w:kern w:val="2"/>
          <w:sz w:val="28"/>
          <w:szCs w:val="28"/>
          <w:highlight w:val="none"/>
          <w:lang w:val="en-US" w:eastAsia="zh-CN" w:bidi="ar-SA"/>
        </w:rPr>
        <w:t>1、共性指标—决策和过程评价</w:t>
      </w:r>
      <w:bookmarkEnd w:id="0"/>
      <w:bookmarkEnd w:id="1"/>
      <w:bookmarkEnd w:id="2"/>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共性指标50分，实际得分42.5分，扣7.5分。其中决策总分15分，包括项目立项、绩效目标、资金投入，实际得分为15分，未扣分；过程总分35分，包括资金管理、风险控制、组织实施，实际得分为27.5分，扣7.5分。具体扣分情况如下：</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（1）项目决策。未扣分。</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项目过程。截至2022年12月31日，实际使用1014.46万元，预算执行率为20.29%，根据“预算执行率100%，得6分；预算执行率90%以上，得4分；预算执行率85%以上，得3分；预算执行率80%以上，得2分；预算执行率75%以上，得1分，低于75%不得分”，扣6分。项目未按照转贷协议约定,及时缴纳项目应当承担的利息，根据“按照转贷协议约定,及时缴纳项目应当承担的利息得1分，否则不得分”；扣1分；绩效自评报告的综合评审等级良，根据“绩效自评报告的综合评审等级，优得1分，良得0.5分，中得0.3分，差不得分。”扣0.5分。</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2" w:firstLineChars="200"/>
        <w:rPr>
          <w:rFonts w:hint="eastAsia" w:ascii="仿宋" w:hAnsi="仿宋" w:eastAsia="仿宋" w:cs="仿宋"/>
          <w:b/>
          <w:bCs/>
          <w:color w:val="auto"/>
          <w:kern w:val="2"/>
          <w:sz w:val="28"/>
          <w:szCs w:val="28"/>
          <w:highlight w:val="none"/>
          <w:lang w:val="en-US" w:eastAsia="zh-CN" w:bidi="ar-SA"/>
        </w:rPr>
      </w:pPr>
      <w:bookmarkStart w:id="10" w:name="_Toc16771"/>
      <w:bookmarkStart w:id="11" w:name="_Toc23457"/>
      <w:bookmarkStart w:id="12" w:name="_Toc25454"/>
      <w:bookmarkStart w:id="13" w:name="_Toc11926"/>
      <w:bookmarkStart w:id="14" w:name="_Toc6160"/>
      <w:bookmarkStart w:id="15" w:name="_Toc5548"/>
      <w:bookmarkStart w:id="16" w:name="_Toc2100"/>
      <w:bookmarkStart w:id="17" w:name="_Toc12502"/>
      <w:bookmarkStart w:id="18" w:name="_Toc13736"/>
      <w:bookmarkStart w:id="19" w:name="_Toc22394"/>
      <w:r>
        <w:rPr>
          <w:rFonts w:hint="eastAsia" w:ascii="仿宋" w:hAnsi="仿宋" w:eastAsia="仿宋" w:cs="仿宋"/>
          <w:b/>
          <w:bCs/>
          <w:color w:val="auto"/>
          <w:kern w:val="2"/>
          <w:sz w:val="28"/>
          <w:szCs w:val="28"/>
          <w:highlight w:val="none"/>
          <w:lang w:val="en-US" w:eastAsia="zh-CN" w:bidi="ar-SA"/>
        </w:rPr>
        <w:t>2、个性指标-预算支出产出和效益评价</w:t>
      </w:r>
      <w:bookmarkEnd w:id="10"/>
      <w:bookmarkEnd w:id="11"/>
      <w:bookmarkEnd w:id="12"/>
      <w:bookmarkEnd w:id="13"/>
      <w:bookmarkEnd w:id="14"/>
      <w:bookmarkEnd w:id="15"/>
      <w:bookmarkEnd w:id="16"/>
      <w:bookmarkEnd w:id="17"/>
      <w:bookmarkEnd w:id="18"/>
      <w:bookmarkEnd w:id="19"/>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个性指标设定分值为50分，实际得分48分，扣2分。其中产出指标20分，包括数量、质量、时效和成本指标，实际得分为18分，扣2分；效益指标30分，包括社会效益、生态效益、经济效益、可持续影响及服务对象满意度，实际得分为30分，未扣分。具体扣分情况如下：</w:t>
      </w:r>
    </w:p>
    <w:p>
      <w:pPr>
        <w:keepNext w:val="0"/>
        <w:keepLines w:val="0"/>
        <w:pageBreakBefore w:val="0"/>
        <w:widowControl w:val="0"/>
        <w:numPr>
          <w:ilvl w:val="0"/>
          <w:numId w:val="3"/>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产出指标。完成及时率=50%，根据“完成及时率=计划时限内实际完成的项目数量/计划时限内应完成的项目数量×100%，完成及时率*权重分”，扣2分。</w:t>
      </w:r>
    </w:p>
    <w:p>
      <w:pPr>
        <w:keepNext w:val="0"/>
        <w:keepLines w:val="0"/>
        <w:pageBreakBefore w:val="0"/>
        <w:widowControl w:val="0"/>
        <w:numPr>
          <w:ilvl w:val="0"/>
          <w:numId w:val="3"/>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效益指标。未扣分。</w:t>
      </w:r>
      <w:bookmarkStart w:id="20" w:name="_Toc30040"/>
      <w:bookmarkStart w:id="21" w:name="_Toc26013"/>
      <w:bookmarkStart w:id="22" w:name="_Toc27274"/>
      <w:bookmarkStart w:id="23" w:name="_Toc19423"/>
      <w:bookmarkStart w:id="24" w:name="_Toc18122"/>
      <w:bookmarkStart w:id="25" w:name="_Toc7134"/>
      <w:bookmarkStart w:id="26" w:name="_Toc14463"/>
      <w:bookmarkStart w:id="27" w:name="_Toc21045"/>
      <w:bookmarkStart w:id="28" w:name="_Toc27299"/>
      <w:bookmarkStart w:id="29" w:name="_Toc26417"/>
      <w:bookmarkStart w:id="30" w:name="_Toc17430"/>
      <w:bookmarkStart w:id="31" w:name="_Toc24545"/>
    </w:p>
    <w:p>
      <w:pPr>
        <w:pStyle w:val="4"/>
        <w:keepNext w:val="0"/>
        <w:keepLines w:val="0"/>
        <w:pageBreakBefore w:val="0"/>
        <w:widowControl w:val="0"/>
        <w:kinsoku/>
        <w:wordWrap/>
        <w:overflowPunct w:val="0"/>
        <w:topLinePunct w:val="0"/>
        <w:autoSpaceDE/>
        <w:autoSpaceDN/>
        <w:bidi w:val="0"/>
        <w:snapToGrid/>
        <w:spacing w:before="0" w:beforeLines="0" w:beforeAutospacing="0" w:after="0" w:afterLines="0" w:afterAutospacing="0" w:line="540" w:lineRule="exact"/>
        <w:ind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（二）</w:t>
      </w:r>
      <w:bookmarkEnd w:id="20"/>
      <w:bookmarkEnd w:id="21"/>
      <w:bookmarkEnd w:id="22"/>
      <w:bookmarkEnd w:id="23"/>
      <w:bookmarkEnd w:id="24"/>
      <w:bookmarkEnd w:id="25"/>
      <w:bookmarkEnd w:id="26"/>
      <w:bookmarkEnd w:id="27"/>
      <w:bookmarkEnd w:id="28"/>
      <w:bookmarkEnd w:id="29"/>
      <w:bookmarkEnd w:id="30"/>
      <w:bookmarkEnd w:id="31"/>
      <w:r>
        <w:rPr>
          <w:rFonts w:hint="eastAsia" w:ascii="仿宋" w:hAnsi="仿宋" w:eastAsia="仿宋" w:cs="仿宋"/>
          <w:b/>
          <w:bCs w:val="0"/>
          <w:color w:val="auto"/>
          <w:sz w:val="28"/>
          <w:szCs w:val="28"/>
          <w:highlight w:val="none"/>
          <w:lang w:val="en-US" w:eastAsia="zh-CN"/>
        </w:rPr>
        <w:t>评价结论</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通过对各项绩效指标的综合考核评分，北塔区养老服务建设项目专项债券绩效评价得分为90.5分，评价档次为“优”。</w:t>
      </w:r>
    </w:p>
    <w:p>
      <w:pPr>
        <w:pStyle w:val="15"/>
        <w:keepNext w:val="0"/>
        <w:keepLines w:val="0"/>
        <w:pageBreakBefore w:val="0"/>
        <w:widowControl w:val="0"/>
        <w:kinsoku/>
        <w:wordWrap/>
        <w:overflowPunct w:val="0"/>
        <w:topLinePunct w:val="0"/>
        <w:autoSpaceDE/>
        <w:autoSpaceDN/>
        <w:bidi w:val="0"/>
        <w:snapToGrid/>
        <w:spacing w:beforeAutospacing="0" w:afterAutospacing="0" w:line="540" w:lineRule="exact"/>
        <w:rPr>
          <w:rFonts w:hint="eastAsia" w:ascii="仿宋" w:hAnsi="仿宋" w:eastAsia="仿宋" w:cs="仿宋"/>
          <w:color w:val="auto"/>
          <w:sz w:val="28"/>
          <w:szCs w:val="28"/>
          <w:highlight w:val="none"/>
          <w:lang w:val="en-US" w:eastAsia="zh-CN"/>
        </w:rPr>
      </w:pP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lang w:val="en-US" w:eastAsia="zh-CN" w:bidi="ar-SA"/>
        </w:rPr>
        <w:t>附件1： 邵阳市北塔区养老服务建设项目评价指标评分表</w:t>
      </w:r>
    </w:p>
    <w:p>
      <w:pPr>
        <w:spacing w:line="600" w:lineRule="exact"/>
        <w:jc w:val="right"/>
        <w:rPr>
          <w:rFonts w:hint="eastAsia" w:ascii="仿宋" w:hAnsi="仿宋" w:eastAsia="仿宋" w:cs="仿宋"/>
          <w:b/>
          <w:bCs/>
          <w:color w:val="auto"/>
          <w:spacing w:val="-20"/>
          <w:sz w:val="28"/>
          <w:szCs w:val="28"/>
          <w:highlight w:val="none"/>
        </w:rPr>
      </w:pPr>
      <w:r>
        <w:rPr>
          <w:rFonts w:hint="eastAsia" w:ascii="仿宋" w:hAnsi="仿宋" w:eastAsia="仿宋" w:cs="仿宋"/>
          <w:b/>
          <w:bCs/>
          <w:color w:val="auto"/>
          <w:spacing w:val="-20"/>
          <w:sz w:val="28"/>
          <w:szCs w:val="28"/>
          <w:highlight w:val="none"/>
        </w:rPr>
        <w:t>湖南</w:t>
      </w:r>
      <w:r>
        <w:rPr>
          <w:rFonts w:hint="eastAsia" w:ascii="仿宋" w:hAnsi="仿宋" w:eastAsia="仿宋" w:cs="仿宋"/>
          <w:b/>
          <w:bCs/>
          <w:color w:val="auto"/>
          <w:spacing w:val="-20"/>
          <w:sz w:val="28"/>
          <w:szCs w:val="28"/>
          <w:highlight w:val="none"/>
          <w:lang w:val="en-US" w:eastAsia="zh-CN"/>
        </w:rPr>
        <w:t>骏新联合会计师事务所</w:t>
      </w:r>
      <w:r>
        <w:rPr>
          <w:rFonts w:hint="eastAsia" w:ascii="仿宋" w:hAnsi="仿宋" w:eastAsia="仿宋" w:cs="仿宋"/>
          <w:b/>
          <w:bCs/>
          <w:color w:val="auto"/>
          <w:spacing w:val="-20"/>
          <w:sz w:val="28"/>
          <w:szCs w:val="28"/>
          <w:highlight w:val="none"/>
        </w:rPr>
        <w:t>（普通合伙）</w:t>
      </w:r>
    </w:p>
    <w:p>
      <w:pPr>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二○二</w:t>
      </w: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rPr>
        <w:t>年十</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月</w:t>
      </w:r>
      <w:r>
        <w:rPr>
          <w:rFonts w:hint="eastAsia" w:ascii="仿宋" w:hAnsi="仿宋" w:eastAsia="仿宋" w:cs="仿宋"/>
          <w:b/>
          <w:bCs/>
          <w:color w:val="auto"/>
          <w:sz w:val="28"/>
          <w:szCs w:val="28"/>
          <w:highlight w:val="none"/>
          <w:lang w:val="en-US" w:eastAsia="zh-CN"/>
        </w:rPr>
        <w:t>二十六</w:t>
      </w:r>
      <w:r>
        <w:rPr>
          <w:rFonts w:hint="eastAsia" w:ascii="仿宋" w:hAnsi="仿宋" w:eastAsia="仿宋" w:cs="仿宋"/>
          <w:b/>
          <w:bCs/>
          <w:color w:val="auto"/>
          <w:sz w:val="28"/>
          <w:szCs w:val="28"/>
          <w:highlight w:val="none"/>
        </w:rPr>
        <w:t>日</w:t>
      </w:r>
    </w:p>
    <w:p>
      <w:pPr>
        <w:pStyle w:val="9"/>
        <w:rPr>
          <w:rFonts w:hint="eastAsia" w:ascii="仿宋" w:hAnsi="仿宋" w:eastAsia="仿宋" w:cs="仿宋"/>
          <w:color w:val="auto"/>
          <w:sz w:val="28"/>
          <w:szCs w:val="28"/>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line="600" w:lineRule="exact"/>
        <w:jc w:val="left"/>
        <w:rPr>
          <w:rFonts w:hint="eastAsia"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附件</w:t>
      </w:r>
      <w:r>
        <w:rPr>
          <w:rFonts w:hint="eastAsia" w:ascii="黑体" w:hAnsi="黑体" w:eastAsia="黑体" w:cs="黑体"/>
          <w:b w:val="0"/>
          <w:bCs w:val="0"/>
          <w:color w:val="auto"/>
          <w:kern w:val="0"/>
          <w:sz w:val="32"/>
          <w:szCs w:val="32"/>
          <w:highlight w:val="none"/>
          <w:lang w:val="en-US" w:eastAsia="zh-CN"/>
        </w:rPr>
        <w:t>1：</w:t>
      </w:r>
    </w:p>
    <w:p>
      <w:pPr>
        <w:jc w:val="center"/>
        <w:rPr>
          <w:rFonts w:hint="eastAsia" w:ascii="黑体" w:hAnsi="黑体" w:eastAsia="黑体" w:cs="黑体"/>
          <w:bCs/>
          <w:color w:val="auto"/>
          <w:sz w:val="36"/>
          <w:szCs w:val="36"/>
          <w:highlight w:val="none"/>
        </w:rPr>
      </w:pPr>
      <w:bookmarkStart w:id="32" w:name="_GoBack"/>
      <w:bookmarkEnd w:id="32"/>
      <w:r>
        <w:rPr>
          <w:rFonts w:hint="eastAsia" w:ascii="黑体" w:hAnsi="黑体" w:eastAsia="黑体" w:cs="黑体"/>
          <w:bCs/>
          <w:color w:val="auto"/>
          <w:sz w:val="36"/>
          <w:szCs w:val="36"/>
          <w:highlight w:val="none"/>
          <w:lang w:val="en-US" w:eastAsia="zh-CN"/>
        </w:rPr>
        <w:t>邵阳市</w:t>
      </w:r>
      <w:r>
        <w:rPr>
          <w:rFonts w:hint="eastAsia" w:ascii="黑体" w:hAnsi="黑体" w:eastAsia="黑体" w:cs="黑体"/>
          <w:bCs/>
          <w:color w:val="auto"/>
          <w:sz w:val="36"/>
          <w:szCs w:val="36"/>
          <w:highlight w:val="none"/>
        </w:rPr>
        <w:t>北塔区养老服务建设项目绩效评价指标表</w:t>
      </w:r>
    </w:p>
    <w:tbl>
      <w:tblPr>
        <w:tblStyle w:val="12"/>
        <w:tblW w:w="15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027"/>
        <w:gridCol w:w="1118"/>
        <w:gridCol w:w="3165"/>
        <w:gridCol w:w="690"/>
        <w:gridCol w:w="4185"/>
        <w:gridCol w:w="3489"/>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一级指标</w:t>
            </w:r>
          </w:p>
        </w:tc>
        <w:tc>
          <w:tcPr>
            <w:tcW w:w="1027"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二级指标</w:t>
            </w:r>
          </w:p>
        </w:tc>
        <w:tc>
          <w:tcPr>
            <w:tcW w:w="1118"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三级指标</w:t>
            </w:r>
          </w:p>
        </w:tc>
        <w:tc>
          <w:tcPr>
            <w:tcW w:w="3165"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指标解释</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分数</w:t>
            </w:r>
          </w:p>
        </w:tc>
        <w:tc>
          <w:tcPr>
            <w:tcW w:w="4185"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评价标准</w:t>
            </w:r>
          </w:p>
        </w:tc>
        <w:tc>
          <w:tcPr>
            <w:tcW w:w="3489"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auto"/>
                <w:kern w:val="0"/>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得分依据</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020"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决策</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1027"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项目立项</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（8分）</w:t>
            </w:r>
          </w:p>
        </w:tc>
        <w:tc>
          <w:tcPr>
            <w:tcW w:w="1118" w:type="dxa"/>
            <w:shd w:val="clear" w:color="auto" w:fill="auto"/>
            <w:vAlign w:val="center"/>
          </w:tcPr>
          <w:p>
            <w:pPr>
              <w:pStyle w:val="18"/>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项目立项充分性</w:t>
            </w:r>
          </w:p>
        </w:tc>
        <w:tc>
          <w:tcPr>
            <w:tcW w:w="3165" w:type="dxa"/>
            <w:shd w:val="clear" w:color="auto" w:fill="auto"/>
            <w:vAlign w:val="center"/>
          </w:tcPr>
          <w:p>
            <w:pPr>
              <w:pStyle w:val="18"/>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项目立项是否符合法律法规、相关政策、发展规划以及部门职责</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4185" w:type="dxa"/>
            <w:shd w:val="clear" w:color="auto" w:fill="auto"/>
            <w:vAlign w:val="center"/>
          </w:tcPr>
          <w:p>
            <w:pPr>
              <w:pStyle w:val="18"/>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①立项符合国家相关法律法规、国民经济发展规划和相关政策，得1分，否则不得分；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②立项符合行业发展规划和政策要求，得1分，否则不得分；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③立项与部门职责范围相符，属于部门履职所需，得1分，否则不得分。</w:t>
            </w:r>
          </w:p>
        </w:tc>
        <w:tc>
          <w:tcPr>
            <w:tcW w:w="3489" w:type="dxa"/>
            <w:shd w:val="clear" w:color="auto" w:fill="auto"/>
            <w:vAlign w:val="center"/>
          </w:tcPr>
          <w:p>
            <w:pPr>
              <w:widowControl/>
              <w:adjustRightInd w:val="0"/>
              <w:snapToGrid w:val="0"/>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①立项符合国家相关法律法规、国民经济发展规划和相关政策，得1分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②立项符合行业发展规划和政策要求，得1分；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③立项与部门职责范围相符，属于部门履职所需，得1分。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pStyle w:val="18"/>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立项程序规范性</w:t>
            </w:r>
          </w:p>
        </w:tc>
        <w:tc>
          <w:tcPr>
            <w:tcW w:w="3165" w:type="dxa"/>
            <w:shd w:val="clear" w:color="auto" w:fill="auto"/>
            <w:vAlign w:val="center"/>
          </w:tcPr>
          <w:p>
            <w:pPr>
              <w:pStyle w:val="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项目支出申请、设立过程是否符合相关要求</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4185" w:type="dxa"/>
            <w:shd w:val="clear" w:color="auto" w:fill="auto"/>
            <w:vAlign w:val="center"/>
          </w:tcPr>
          <w:p>
            <w:pPr>
              <w:pStyle w:val="18"/>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①预算支出按照规定的程序申请设立，得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分，否则不得分；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②审批文件、材料符合相关要求，得1分，否则不得分；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③事前已经过必要的可行性研究、专家论证、风险评估、绩效评估、集体决策，得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分，否则不得分。</w:t>
            </w:r>
          </w:p>
        </w:tc>
        <w:tc>
          <w:tcPr>
            <w:tcW w:w="3489" w:type="dxa"/>
            <w:shd w:val="clear" w:color="auto" w:fill="auto"/>
            <w:vAlign w:val="center"/>
          </w:tcPr>
          <w:p>
            <w:pPr>
              <w:widowControl/>
              <w:adjustRightInd w:val="0"/>
              <w:snapToGrid w:val="0"/>
              <w:jc w:val="left"/>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①预算支出按照规定的程序申请设立，得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②审批文件、材料符合相关要求，得1分；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③事前已经过必要的可行性研究、专家论证、风险评估、绩效评估、集体决策，得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b w:val="0"/>
                <w:bCs w:val="0"/>
                <w:color w:val="auto"/>
                <w:kern w:val="0"/>
                <w:sz w:val="21"/>
                <w:szCs w:val="21"/>
                <w:highlight w:val="none"/>
                <w:lang w:val="en-US" w:eastAsia="zh-CN"/>
              </w:rPr>
            </w:pPr>
            <w:r>
              <w:rPr>
                <w:rFonts w:hint="eastAsia" w:asciiTheme="minorEastAsia" w:hAnsiTheme="minorEastAsia" w:eastAsiaTheme="minorEastAsia" w:cstheme="minorEastAsia"/>
                <w:b w:val="0"/>
                <w:bCs w:val="0"/>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绩效目标</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（6分）</w:t>
            </w:r>
          </w:p>
        </w:tc>
        <w:tc>
          <w:tcPr>
            <w:tcW w:w="1118" w:type="dxa"/>
            <w:shd w:val="clear" w:color="auto" w:fill="auto"/>
            <w:vAlign w:val="center"/>
          </w:tcPr>
          <w:p>
            <w:pPr>
              <w:pStyle w:val="18"/>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绩效目标合理性</w:t>
            </w:r>
          </w:p>
        </w:tc>
        <w:tc>
          <w:tcPr>
            <w:tcW w:w="3165" w:type="dxa"/>
            <w:shd w:val="clear" w:color="auto" w:fill="auto"/>
            <w:vAlign w:val="center"/>
          </w:tcPr>
          <w:p>
            <w:pPr>
              <w:pStyle w:val="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项目支出所设定的绩效目标是否依据充分，是否符合客观实际</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4185" w:type="dxa"/>
            <w:shd w:val="clear" w:color="auto" w:fill="auto"/>
            <w:vAlign w:val="center"/>
          </w:tcPr>
          <w:p>
            <w:pPr>
              <w:pStyle w:val="18"/>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①预算支出有绩效目标，得1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分，否则不得分；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②预算支出绩效目标与实际工作内容具有相关性，得1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分，否则不得分。</w:t>
            </w:r>
          </w:p>
        </w:tc>
        <w:tc>
          <w:tcPr>
            <w:tcW w:w="3489"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①预算支出有绩效目标，得1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②预算支出绩效目标与实际工作内容具有相关性，得1</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pStyle w:val="18"/>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绩效指标明确性</w:t>
            </w:r>
          </w:p>
        </w:tc>
        <w:tc>
          <w:tcPr>
            <w:tcW w:w="3165" w:type="dxa"/>
            <w:shd w:val="clear" w:color="auto" w:fill="auto"/>
            <w:vAlign w:val="center"/>
          </w:tcPr>
          <w:p>
            <w:pPr>
              <w:pStyle w:val="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依据绩效目标设定的绩效指标是否清晰、细化、可衡量等</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4185" w:type="dxa"/>
            <w:shd w:val="clear" w:color="auto" w:fill="auto"/>
            <w:vAlign w:val="center"/>
          </w:tcPr>
          <w:p>
            <w:pPr>
              <w:pStyle w:val="18"/>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①将预算支出绩效目标细化分解为具体的绩效指标，得2分，否则不得分；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②通过清晰、可衡量的指标值体现，得2分，否则不得分。</w:t>
            </w:r>
          </w:p>
        </w:tc>
        <w:tc>
          <w:tcPr>
            <w:tcW w:w="3489" w:type="dxa"/>
            <w:shd w:val="clear" w:color="auto" w:fill="auto"/>
            <w:vAlign w:val="bottom"/>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①将预算支出绩效目标细化分解为具体的绩效指标，得2分；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②通过清晰、可衡量的指标值体现，得2分。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资金投入</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（2分）</w:t>
            </w:r>
          </w:p>
        </w:tc>
        <w:tc>
          <w:tcPr>
            <w:tcW w:w="1118"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预算编制科学性</w:t>
            </w:r>
          </w:p>
        </w:tc>
        <w:tc>
          <w:tcPr>
            <w:tcW w:w="316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预算编制是否经过科学论证、有明确标准，资金额度与年度目标是否相适应</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①预算编制是否经过科学论证，是得1分，否则不得分；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color w:val="auto"/>
                <w:kern w:val="0"/>
                <w:sz w:val="21"/>
                <w:szCs w:val="21"/>
                <w:highlight w:val="none"/>
              </w:rPr>
              <w:t>预算额度测算依据是否充分，是否按照标准编制，是得1分，否则不得分；</w:t>
            </w:r>
          </w:p>
        </w:tc>
        <w:tc>
          <w:tcPr>
            <w:tcW w:w="3489"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①预算编制是经过科学论证，得1分；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sz w:val="21"/>
                <w:szCs w:val="21"/>
                <w:highlight w:val="none"/>
              </w:rPr>
              <w:t>②</w:t>
            </w:r>
            <w:r>
              <w:rPr>
                <w:rFonts w:hint="eastAsia" w:asciiTheme="minorEastAsia" w:hAnsiTheme="minorEastAsia" w:eastAsiaTheme="minorEastAsia" w:cstheme="minorEastAsia"/>
                <w:color w:val="auto"/>
                <w:kern w:val="0"/>
                <w:sz w:val="21"/>
                <w:szCs w:val="21"/>
                <w:highlight w:val="none"/>
              </w:rPr>
              <w:t>预算额度测算依据充分，按照标准编制，得1分</w:t>
            </w:r>
            <w:r>
              <w:rPr>
                <w:rFonts w:hint="eastAsia" w:asciiTheme="minorEastAsia" w:hAnsiTheme="minorEastAsia" w:eastAsiaTheme="minorEastAsia" w:cstheme="minorEastAsia"/>
                <w:color w:val="auto"/>
                <w:kern w:val="0"/>
                <w:sz w:val="21"/>
                <w:szCs w:val="21"/>
                <w:highlight w:val="none"/>
                <w:lang w:eastAsia="zh-CN"/>
              </w:rPr>
              <w:t>。</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020" w:type="dxa"/>
            <w:vMerge w:val="restart"/>
            <w:shd w:val="clear" w:color="auto" w:fill="auto"/>
            <w:vAlign w:val="center"/>
          </w:tcPr>
          <w:p>
            <w:pPr>
              <w:widowControl/>
              <w:adjustRightInd w:val="0"/>
              <w:snapToGrid w:val="0"/>
              <w:ind w:firstLine="210" w:firstLineChars="1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过程</w:t>
            </w:r>
          </w:p>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1027"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资金管理</w:t>
            </w:r>
            <w:r>
              <w:rPr>
                <w:rFonts w:hint="eastAsia" w:asciiTheme="minorEastAsia" w:hAnsiTheme="minorEastAsia" w:eastAsiaTheme="minorEastAsia" w:cstheme="minorEastAsia"/>
                <w:color w:val="auto"/>
                <w:kern w:val="0"/>
                <w:sz w:val="21"/>
                <w:szCs w:val="21"/>
                <w:highlight w:val="none"/>
              </w:rPr>
              <w:br w:type="page"/>
            </w:r>
          </w:p>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（19分）</w:t>
            </w:r>
          </w:p>
          <w:p>
            <w:pPr>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资金到位率</w:t>
            </w:r>
          </w:p>
        </w:tc>
        <w:tc>
          <w:tcPr>
            <w:tcW w:w="316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用以反映和考核资金落实情况对预算支出实施的总体保障程度=（实际到位数/预算数）×100%</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资金到位率90%以上，得3分；资金到位率80%以上，得2分；资金到位率70%以上，得1分；低于70%不得分。</w:t>
            </w:r>
          </w:p>
        </w:tc>
        <w:tc>
          <w:tcPr>
            <w:tcW w:w="3489"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资金到位率90%以上，得3分</w:t>
            </w:r>
            <w:r>
              <w:rPr>
                <w:rFonts w:hint="eastAsia" w:asciiTheme="minorEastAsia" w:hAnsiTheme="minorEastAsia" w:eastAsiaTheme="minorEastAsia" w:cstheme="minorEastAsia"/>
                <w:color w:val="auto"/>
                <w:kern w:val="0"/>
                <w:sz w:val="21"/>
                <w:szCs w:val="21"/>
                <w:highlight w:val="none"/>
                <w:lang w:eastAsia="zh-CN"/>
              </w:rPr>
              <w:t>。</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shd w:val="clear" w:color="auto" w:fill="auto"/>
            <w:vAlign w:val="center"/>
          </w:tcPr>
          <w:p>
            <w:pPr>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预算执行率</w:t>
            </w:r>
          </w:p>
        </w:tc>
        <w:tc>
          <w:tcPr>
            <w:tcW w:w="316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用以反映项目预算执行的进度预算执行率=（实际支出数/预算数）×100%</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预算执行率100%，得6分；预算执行率90%以上，得4分；预算执行率85%以上，得3分；预算执行率80%以上，得2分；预算执行率75%以上，得1分，低于75%不得分。</w:t>
            </w:r>
          </w:p>
        </w:tc>
        <w:tc>
          <w:tcPr>
            <w:tcW w:w="3489"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截至2022年12月31日，实际使用1014.46万元，预算执行率为20.29%</w:t>
            </w:r>
            <w:r>
              <w:rPr>
                <w:rFonts w:hint="eastAsia" w:asciiTheme="minorEastAsia" w:hAnsiTheme="minorEastAsia" w:eastAsiaTheme="minorEastAsia" w:cstheme="minorEastAsia"/>
                <w:color w:val="auto"/>
                <w:kern w:val="0"/>
                <w:sz w:val="21"/>
                <w:szCs w:val="21"/>
                <w:highlight w:val="none"/>
                <w:lang w:eastAsia="zh-CN"/>
              </w:rPr>
              <w:t>。</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还本付息</w:t>
            </w:r>
          </w:p>
        </w:tc>
        <w:tc>
          <w:tcPr>
            <w:tcW w:w="316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①是否准确编制了项目还本付息计划和落实还本付息资金情况；</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②按照转贷协议约定,及时缴纳项目应当承担的利息情况；</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③专项债券期限与项目建设运营期限是否匹配；④是否存在使用其他项目对应的项目收益错项偿还到期债券本息情况。</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①准确编制了项目还本付息计划和落实还本付息资金情况得1分，否则不得分；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②按照转贷协议约定,及时缴纳项目应当承担的利息得1分，否则不得分；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③专项债券期限与项目建设运营期限匹配得1分，否则不得分；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④存在使用其他项目对应的项目收益款项偿还到期债券本息现象，本项4分全扣。</w:t>
            </w:r>
          </w:p>
        </w:tc>
        <w:tc>
          <w:tcPr>
            <w:tcW w:w="3489"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①准确编制了项目还本付息计划和落实还本付息资金情况得1分；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w:t>
            </w:r>
            <w:r>
              <w:rPr>
                <w:rFonts w:hint="eastAsia" w:asciiTheme="minorEastAsia" w:hAnsiTheme="minorEastAsia" w:eastAsiaTheme="minorEastAsia" w:cstheme="minorEastAsia"/>
                <w:color w:val="auto"/>
                <w:kern w:val="0"/>
                <w:sz w:val="21"/>
                <w:szCs w:val="21"/>
                <w:highlight w:val="none"/>
                <w:lang w:val="en-US" w:eastAsia="zh-CN"/>
              </w:rPr>
              <w:t>未</w:t>
            </w:r>
            <w:r>
              <w:rPr>
                <w:rFonts w:hint="eastAsia" w:asciiTheme="minorEastAsia" w:hAnsiTheme="minorEastAsia" w:eastAsiaTheme="minorEastAsia" w:cstheme="minorEastAsia"/>
                <w:color w:val="auto"/>
                <w:kern w:val="0"/>
                <w:sz w:val="21"/>
                <w:szCs w:val="21"/>
                <w:highlight w:val="none"/>
              </w:rPr>
              <w:t>按照转贷协议约定,及时缴纳项目应当承担的利息</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不得分</w:t>
            </w:r>
            <w:r>
              <w:rPr>
                <w:rFonts w:hint="eastAsia" w:asciiTheme="minorEastAsia" w:hAnsiTheme="minorEastAsia" w:eastAsiaTheme="minorEastAsia" w:cstheme="minorEastAsia"/>
                <w:color w:val="auto"/>
                <w:kern w:val="0"/>
                <w:sz w:val="21"/>
                <w:szCs w:val="21"/>
                <w:highlight w:val="none"/>
              </w:rPr>
              <w:t>；</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③专项债券期限与项目建设运营期限匹配得1分；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④</w:t>
            </w:r>
            <w:r>
              <w:rPr>
                <w:rFonts w:hint="eastAsia" w:asciiTheme="minorEastAsia" w:hAnsiTheme="minorEastAsia" w:eastAsiaTheme="minorEastAsia" w:cstheme="minorEastAsia"/>
                <w:color w:val="auto"/>
                <w:kern w:val="0"/>
                <w:sz w:val="21"/>
                <w:szCs w:val="21"/>
                <w:highlight w:val="none"/>
                <w:lang w:val="en-US" w:eastAsia="zh-CN"/>
              </w:rPr>
              <w:t>不</w:t>
            </w:r>
            <w:r>
              <w:rPr>
                <w:rFonts w:hint="eastAsia" w:asciiTheme="minorEastAsia" w:hAnsiTheme="minorEastAsia" w:eastAsiaTheme="minorEastAsia" w:cstheme="minorEastAsia"/>
                <w:color w:val="auto"/>
                <w:kern w:val="0"/>
                <w:sz w:val="21"/>
                <w:szCs w:val="21"/>
                <w:highlight w:val="none"/>
              </w:rPr>
              <w:t>存在使用其他项目对应的项目收益款项偿还到期债券本息现象。</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资金使用合规性</w:t>
            </w:r>
          </w:p>
        </w:tc>
        <w:tc>
          <w:tcPr>
            <w:tcW w:w="316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是否存在资金挤占、挪用情况，重复申报、虚报冒领的情况</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①未进行专项核算，扣2分；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②存在截留、挤占、挪用、虚列支出等情况，扣2分；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③存在重复申报、虚报冒领的情况，扣2分</w:t>
            </w:r>
          </w:p>
        </w:tc>
        <w:tc>
          <w:tcPr>
            <w:tcW w:w="3489" w:type="dxa"/>
            <w:shd w:val="clear" w:color="auto" w:fill="auto"/>
            <w:vAlign w:val="bottom"/>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①</w:t>
            </w:r>
            <w:r>
              <w:rPr>
                <w:rFonts w:hint="eastAsia" w:asciiTheme="minorEastAsia" w:hAnsiTheme="minorEastAsia" w:eastAsiaTheme="minorEastAsia" w:cstheme="minorEastAsia"/>
                <w:color w:val="auto"/>
                <w:kern w:val="0"/>
                <w:sz w:val="21"/>
                <w:szCs w:val="21"/>
                <w:highlight w:val="none"/>
                <w:lang w:val="en-US" w:eastAsia="zh-CN"/>
              </w:rPr>
              <w:t>进</w:t>
            </w:r>
            <w:r>
              <w:rPr>
                <w:rFonts w:hint="eastAsia" w:asciiTheme="minorEastAsia" w:hAnsiTheme="minorEastAsia" w:eastAsiaTheme="minorEastAsia" w:cstheme="minorEastAsia"/>
                <w:color w:val="auto"/>
                <w:kern w:val="0"/>
                <w:sz w:val="21"/>
                <w:szCs w:val="21"/>
                <w:highlight w:val="none"/>
              </w:rPr>
              <w:t>行</w:t>
            </w:r>
            <w:r>
              <w:rPr>
                <w:rFonts w:hint="eastAsia" w:asciiTheme="minorEastAsia" w:hAnsiTheme="minorEastAsia" w:eastAsiaTheme="minorEastAsia" w:cstheme="minorEastAsia"/>
                <w:color w:val="auto"/>
                <w:kern w:val="0"/>
                <w:sz w:val="21"/>
                <w:szCs w:val="21"/>
                <w:highlight w:val="none"/>
                <w:lang w:eastAsia="zh-CN"/>
              </w:rPr>
              <w:t>了</w:t>
            </w:r>
            <w:r>
              <w:rPr>
                <w:rFonts w:hint="eastAsia" w:asciiTheme="minorEastAsia" w:hAnsiTheme="minorEastAsia" w:eastAsiaTheme="minorEastAsia" w:cstheme="minorEastAsia"/>
                <w:color w:val="auto"/>
                <w:kern w:val="0"/>
                <w:sz w:val="21"/>
                <w:szCs w:val="21"/>
                <w:highlight w:val="none"/>
              </w:rPr>
              <w:t>专项核算，</w:t>
            </w:r>
            <w:r>
              <w:rPr>
                <w:rFonts w:hint="eastAsia" w:asciiTheme="minorEastAsia" w:hAnsiTheme="minorEastAsia" w:eastAsiaTheme="minorEastAsia" w:cstheme="minorEastAsia"/>
                <w:color w:val="auto"/>
                <w:kern w:val="0"/>
                <w:sz w:val="21"/>
                <w:szCs w:val="21"/>
                <w:highlight w:val="none"/>
                <w:lang w:val="en-US" w:eastAsia="zh-CN"/>
              </w:rPr>
              <w:t>不扣</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②</w:t>
            </w:r>
            <w:r>
              <w:rPr>
                <w:rFonts w:hint="eastAsia" w:asciiTheme="minorEastAsia" w:hAnsiTheme="minorEastAsia" w:eastAsiaTheme="minorEastAsia" w:cstheme="minorEastAsia"/>
                <w:color w:val="auto"/>
                <w:kern w:val="0"/>
                <w:sz w:val="21"/>
                <w:szCs w:val="21"/>
                <w:highlight w:val="none"/>
                <w:lang w:val="en-US" w:eastAsia="zh-CN"/>
              </w:rPr>
              <w:t>不</w:t>
            </w:r>
            <w:r>
              <w:rPr>
                <w:rFonts w:hint="eastAsia" w:asciiTheme="minorEastAsia" w:hAnsiTheme="minorEastAsia" w:eastAsiaTheme="minorEastAsia" w:cstheme="minorEastAsia"/>
                <w:color w:val="auto"/>
                <w:kern w:val="0"/>
                <w:sz w:val="21"/>
                <w:szCs w:val="21"/>
                <w:highlight w:val="none"/>
              </w:rPr>
              <w:t>存在截留、挤占、挪用、虚列支出等情况，</w:t>
            </w:r>
            <w:r>
              <w:rPr>
                <w:rFonts w:hint="eastAsia" w:asciiTheme="minorEastAsia" w:hAnsiTheme="minorEastAsia" w:eastAsiaTheme="minorEastAsia" w:cstheme="minorEastAsia"/>
                <w:color w:val="auto"/>
                <w:kern w:val="0"/>
                <w:sz w:val="21"/>
                <w:szCs w:val="21"/>
                <w:highlight w:val="none"/>
                <w:lang w:val="en-US" w:eastAsia="zh-CN"/>
              </w:rPr>
              <w:t>不扣</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③</w:t>
            </w:r>
            <w:r>
              <w:rPr>
                <w:rFonts w:hint="eastAsia" w:asciiTheme="minorEastAsia" w:hAnsiTheme="minorEastAsia" w:eastAsiaTheme="minorEastAsia" w:cstheme="minorEastAsia"/>
                <w:color w:val="auto"/>
                <w:kern w:val="0"/>
                <w:sz w:val="21"/>
                <w:szCs w:val="21"/>
                <w:highlight w:val="none"/>
                <w:lang w:val="en-US" w:eastAsia="zh-CN"/>
              </w:rPr>
              <w:t>不</w:t>
            </w:r>
            <w:r>
              <w:rPr>
                <w:rFonts w:hint="eastAsia" w:asciiTheme="minorEastAsia" w:hAnsiTheme="minorEastAsia" w:eastAsiaTheme="minorEastAsia" w:cstheme="minorEastAsia"/>
                <w:color w:val="auto"/>
                <w:kern w:val="0"/>
                <w:sz w:val="21"/>
                <w:szCs w:val="21"/>
                <w:highlight w:val="none"/>
              </w:rPr>
              <w:t>存在重复申报、虚报冒领的情况，</w:t>
            </w:r>
            <w:r>
              <w:rPr>
                <w:rFonts w:hint="eastAsia" w:asciiTheme="minorEastAsia" w:hAnsiTheme="minorEastAsia" w:eastAsiaTheme="minorEastAsia" w:cstheme="minorEastAsia"/>
                <w:color w:val="auto"/>
                <w:kern w:val="0"/>
                <w:sz w:val="21"/>
                <w:szCs w:val="21"/>
                <w:highlight w:val="none"/>
                <w:lang w:val="en-US" w:eastAsia="zh-CN"/>
              </w:rPr>
              <w:t>不扣</w:t>
            </w:r>
            <w:r>
              <w:rPr>
                <w:rFonts w:hint="eastAsia" w:asciiTheme="minorEastAsia" w:hAnsiTheme="minorEastAsia" w:eastAsiaTheme="minorEastAsia" w:cstheme="minorEastAsia"/>
                <w:color w:val="auto"/>
                <w:kern w:val="0"/>
                <w:sz w:val="21"/>
                <w:szCs w:val="21"/>
                <w:highlight w:val="none"/>
              </w:rPr>
              <w:t>分</w:t>
            </w:r>
            <w:r>
              <w:rPr>
                <w:rFonts w:hint="eastAsia" w:asciiTheme="minorEastAsia" w:hAnsiTheme="minorEastAsia" w:eastAsiaTheme="minorEastAsia" w:cstheme="minorEastAsia"/>
                <w:color w:val="auto"/>
                <w:kern w:val="0"/>
                <w:sz w:val="21"/>
                <w:szCs w:val="21"/>
                <w:highlight w:val="none"/>
                <w:lang w:eastAsia="zh-CN"/>
              </w:rPr>
              <w:t>。</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风险控制</w:t>
            </w:r>
          </w:p>
          <w:p>
            <w:pPr>
              <w:pStyle w:val="15"/>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（5分）</w:t>
            </w:r>
          </w:p>
        </w:tc>
        <w:tc>
          <w:tcPr>
            <w:tcW w:w="1118"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风控机制及措施</w:t>
            </w:r>
          </w:p>
        </w:tc>
        <w:tc>
          <w:tcPr>
            <w:tcW w:w="316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①是否建立了债务风险动态监测机制；</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②对识别到的风险是否建立了应对的防范措施；</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③是否建立了债务风险应对预案和社会稳定风险应对预案。</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①建立了债务风险动态监测机制得1分，否则不得分；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②对识别到的风险建立了应对的防范措施得1分，否则不得分；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③是否建立了债务风险应对预案和社会稳定风险应对预案得1分，否则不得分。</w:t>
            </w:r>
          </w:p>
          <w:p>
            <w:pPr>
              <w:pStyle w:val="15"/>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④发生过重大风险事件（重大债务违约事件、重大安全事故、重大违法违规事件等）、因债务引起的重大群体性事件等情况</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分全扣不得分。</w:t>
            </w:r>
          </w:p>
        </w:tc>
        <w:tc>
          <w:tcPr>
            <w:tcW w:w="3489"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①建立了债务风险动态监测机制得1分；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②对识别到的风险建立了应对的防范措施得1分；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③建立了债务风险应对预案和社会稳定风险应对预案得1分。</w:t>
            </w:r>
          </w:p>
          <w:p>
            <w:pPr>
              <w:pStyle w:val="15"/>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④</w:t>
            </w:r>
            <w:r>
              <w:rPr>
                <w:rFonts w:hint="eastAsia" w:asciiTheme="minorEastAsia" w:hAnsiTheme="minorEastAsia" w:eastAsiaTheme="minorEastAsia" w:cstheme="minorEastAsia"/>
                <w:color w:val="auto"/>
                <w:sz w:val="21"/>
                <w:szCs w:val="21"/>
                <w:highlight w:val="none"/>
                <w:lang w:val="en-US" w:eastAsia="zh-CN"/>
              </w:rPr>
              <w:t>未</w:t>
            </w:r>
            <w:r>
              <w:rPr>
                <w:rFonts w:hint="eastAsia" w:asciiTheme="minorEastAsia" w:hAnsiTheme="minorEastAsia" w:eastAsiaTheme="minorEastAsia" w:cstheme="minorEastAsia"/>
                <w:color w:val="auto"/>
                <w:sz w:val="21"/>
                <w:szCs w:val="21"/>
                <w:highlight w:val="none"/>
              </w:rPr>
              <w:t>发生过重大风险事件。</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信息公开</w:t>
            </w:r>
          </w:p>
        </w:tc>
        <w:tc>
          <w:tcPr>
            <w:tcW w:w="316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是否对债券资金发行、存续、重大事项、调整用途等进行信息披露</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对债券资金发行、存续、重大事项、调整用途等进行信息披露得1分，否则不得分。</w:t>
            </w:r>
          </w:p>
        </w:tc>
        <w:tc>
          <w:tcPr>
            <w:tcW w:w="3489" w:type="dxa"/>
            <w:shd w:val="clear" w:color="auto" w:fill="auto"/>
            <w:vAlign w:val="bottom"/>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对债券资金发行、存续、重大事项、调整用途等进行信息披露得1分</w:t>
            </w:r>
            <w:r>
              <w:rPr>
                <w:rFonts w:hint="eastAsia" w:asciiTheme="minorEastAsia" w:hAnsiTheme="minorEastAsia" w:eastAsiaTheme="minorEastAsia" w:cstheme="minorEastAsia"/>
                <w:color w:val="auto"/>
                <w:kern w:val="0"/>
                <w:sz w:val="21"/>
                <w:szCs w:val="21"/>
                <w:highlight w:val="none"/>
                <w:lang w:eastAsia="zh-CN"/>
              </w:rPr>
              <w:t>。</w:t>
            </w:r>
          </w:p>
        </w:tc>
        <w:tc>
          <w:tcPr>
            <w:tcW w:w="680" w:type="dxa"/>
            <w:shd w:val="clear" w:color="auto" w:fill="auto"/>
            <w:vAlign w:val="bottom"/>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组织实施</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1</w:t>
            </w:r>
            <w:r>
              <w:rPr>
                <w:rFonts w:hint="eastAsia" w:asciiTheme="minorEastAsia" w:hAnsiTheme="minorEastAsia" w:eastAsiaTheme="minorEastAsia" w:cstheme="minorEastAsia"/>
                <w:color w:val="auto"/>
                <w:kern w:val="0"/>
                <w:sz w:val="21"/>
                <w:szCs w:val="21"/>
                <w:highlight w:val="none"/>
              </w:rPr>
              <w:t>分）</w:t>
            </w:r>
          </w:p>
        </w:tc>
        <w:tc>
          <w:tcPr>
            <w:tcW w:w="1118"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管理制度健全性</w:t>
            </w:r>
          </w:p>
        </w:tc>
        <w:tc>
          <w:tcPr>
            <w:tcW w:w="316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实施单位的财务和业务管理制度是否健全</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①制定相应的财务管理制度，得1分；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②制定相应的业务管理制度，得1分；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③制定的管理制度得到有效执行，得3分。</w:t>
            </w:r>
          </w:p>
        </w:tc>
        <w:tc>
          <w:tcPr>
            <w:tcW w:w="3489" w:type="dxa"/>
            <w:shd w:val="clear" w:color="auto" w:fill="auto"/>
            <w:vAlign w:val="bottom"/>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①制定相应的财务管理制度，得1分；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②制定相应的业务管理制度，得1分；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③制定的管理制度得到有效执行，得3分。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pStyle w:val="18"/>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制度执行有效性</w:t>
            </w:r>
          </w:p>
        </w:tc>
        <w:tc>
          <w:tcPr>
            <w:tcW w:w="3165" w:type="dxa"/>
            <w:shd w:val="clear" w:color="auto" w:fill="auto"/>
            <w:vAlign w:val="center"/>
          </w:tcPr>
          <w:p>
            <w:pPr>
              <w:pStyle w:val="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预算支出实施是否符合相关业务管理规定</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①项目支出等资料齐全并及时归档，得1分；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②项目实施所需相关条件等落实到位，得0.5分；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③项目实施内容与申报一致，得0.5分。</w:t>
            </w:r>
          </w:p>
        </w:tc>
        <w:tc>
          <w:tcPr>
            <w:tcW w:w="3489" w:type="dxa"/>
            <w:shd w:val="clear" w:color="auto" w:fill="auto"/>
            <w:vAlign w:val="bottom"/>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①项目支出等资料齐全并及时归档，得1分；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②项目实施所需相关条件等落实到位，得0.5分；</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③项目实施内容与申报一致，得0.5分。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pStyle w:val="18"/>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招标及</w:t>
            </w:r>
          </w:p>
          <w:p>
            <w:pPr>
              <w:pStyle w:val="18"/>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政府采购管理</w:t>
            </w:r>
          </w:p>
        </w:tc>
        <w:tc>
          <w:tcPr>
            <w:tcW w:w="3165" w:type="dxa"/>
            <w:shd w:val="clear" w:color="auto" w:fill="auto"/>
            <w:vAlign w:val="center"/>
          </w:tcPr>
          <w:p>
            <w:pPr>
              <w:pStyle w:val="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①项目招标和政府采购的程序及手续是否合法合规；</w:t>
            </w:r>
          </w:p>
          <w:p>
            <w:pPr>
              <w:pStyle w:val="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②合同签订及执行是否规范；</w:t>
            </w:r>
          </w:p>
          <w:p>
            <w:pPr>
              <w:pStyle w:val="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③工程、设备、原材料等采购需求与项目实际需求是否吻合,是否存在重复或浪费现象。</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c>
          <w:tcPr>
            <w:tcW w:w="418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①项目招标和政府采购的程序及手续合法合规得1分，否则不得分；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②合同签订及执行规范得1分，否则不得分；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③工程、设备、原材料等采购需求与项目实际需求吻合得1分，存在重复或浪费现象不得分。</w:t>
            </w:r>
          </w:p>
        </w:tc>
        <w:tc>
          <w:tcPr>
            <w:tcW w:w="3489" w:type="dxa"/>
            <w:shd w:val="clear" w:color="auto" w:fill="auto"/>
            <w:vAlign w:val="bottom"/>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①项目招标和政府采购的程序及手续合法合规得1分；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②合同签订及执行规范得1分，；</w:t>
            </w:r>
          </w:p>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③工程、设备、原材料等采购需求与项目实际需求吻合得1分，</w:t>
            </w:r>
            <w:r>
              <w:rPr>
                <w:rFonts w:hint="eastAsia" w:asciiTheme="minorEastAsia" w:hAnsiTheme="minorEastAsia" w:eastAsiaTheme="minorEastAsia" w:cstheme="minorEastAsia"/>
                <w:color w:val="auto"/>
                <w:kern w:val="0"/>
                <w:sz w:val="21"/>
                <w:szCs w:val="21"/>
                <w:highlight w:val="none"/>
                <w:lang w:val="en-US" w:eastAsia="zh-CN"/>
              </w:rPr>
              <w:t>不</w:t>
            </w:r>
            <w:r>
              <w:rPr>
                <w:rFonts w:hint="eastAsia" w:asciiTheme="minorEastAsia" w:hAnsiTheme="minorEastAsia" w:eastAsiaTheme="minorEastAsia" w:cstheme="minorEastAsia"/>
                <w:color w:val="auto"/>
                <w:kern w:val="0"/>
                <w:sz w:val="21"/>
                <w:szCs w:val="21"/>
                <w:highlight w:val="none"/>
              </w:rPr>
              <w:t>存在重复或浪费现象。</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pStyle w:val="18"/>
              <w:adjustRightInd w:val="0"/>
              <w:snapToGrid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绩效自评情况</w:t>
            </w:r>
          </w:p>
        </w:tc>
        <w:tc>
          <w:tcPr>
            <w:tcW w:w="3165" w:type="dxa"/>
            <w:shd w:val="clear" w:color="auto" w:fill="auto"/>
            <w:vAlign w:val="center"/>
          </w:tcPr>
          <w:p>
            <w:pPr>
              <w:pStyle w:val="18"/>
              <w:adjustRightInd w:val="0"/>
              <w:snapToGrid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实施单位是否按绩效管理的要求开展项目绩效自评</w:t>
            </w:r>
          </w:p>
        </w:tc>
        <w:tc>
          <w:tcPr>
            <w:tcW w:w="69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4185" w:type="dxa"/>
            <w:shd w:val="clear" w:color="auto" w:fill="auto"/>
            <w:vAlign w:val="center"/>
          </w:tcPr>
          <w:p>
            <w:pPr>
              <w:pStyle w:val="18"/>
              <w:adjustRightInd w:val="0"/>
              <w:snapToGrid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①按要求开展绩效自评工作，得0.5分，否则不得分；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②绩效自评报告报送及时，得0.5分，否则不得分；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③绩效自评报告的综合评审等级，优得1分，良得0.5分，中得0.3分，差不得分；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④绩效自评报告是否完整，数据是否全面、真实、准确，绩效指标是否细化量化和科学合理，绩效自评反映的问题是否具体，意见是否可行，是得1分，否则不得分。</w:t>
            </w:r>
          </w:p>
        </w:tc>
        <w:tc>
          <w:tcPr>
            <w:tcW w:w="3489" w:type="dxa"/>
            <w:shd w:val="clear" w:color="auto" w:fill="auto"/>
            <w:vAlign w:val="center"/>
          </w:tcPr>
          <w:p>
            <w:pPr>
              <w:pStyle w:val="18"/>
              <w:adjustRightInd w:val="0"/>
              <w:snapToGrid w:val="0"/>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①按要求开展绩效自评工作，得0.5分；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②绩效自评报告报送及时，得0.5分；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③绩效自评报告的综合评审等级良得0.5分；</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rPr>
              <w:t>④绩效自评报告是否完整，数据是否全面、真实、准确，绩效指标是否细化量化和科学合理，绩效自评反映的问题是否具体，意见是否可行，是得1分。</w:t>
            </w:r>
          </w:p>
        </w:tc>
        <w:tc>
          <w:tcPr>
            <w:tcW w:w="68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1020" w:type="dxa"/>
            <w:vMerge w:val="restart"/>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产出</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（20分）</w:t>
            </w:r>
          </w:p>
        </w:tc>
        <w:tc>
          <w:tcPr>
            <w:tcW w:w="1027"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产出数量</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（6分）</w:t>
            </w:r>
          </w:p>
        </w:tc>
        <w:tc>
          <w:tcPr>
            <w:tcW w:w="1118"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绩效目标</w:t>
            </w:r>
          </w:p>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实际完成率</w:t>
            </w:r>
          </w:p>
        </w:tc>
        <w:tc>
          <w:tcPr>
            <w:tcW w:w="316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项目实施的实际产出数量与计划产出数量的比率，用以反映和考核项目产出数量目标的实现程度</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6</w:t>
            </w:r>
          </w:p>
        </w:tc>
        <w:tc>
          <w:tcPr>
            <w:tcW w:w="418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实际完成率=（实际产出数量/计划产出数量）×100%。</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实际产出数量：一定时期（本年度或项目期）内项目实际产出的产品或提供的服务数量。</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计划产出数量：项目绩效目标确定的在一定时期（本年度或项目期）内计划产出的产品或提供的服务数量。</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实际完成率*权重分</w:t>
            </w:r>
          </w:p>
        </w:tc>
        <w:tc>
          <w:tcPr>
            <w:tcW w:w="3489"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实际完成率100%。</w:t>
            </w:r>
          </w:p>
          <w:p>
            <w:pPr>
              <w:widowControl/>
              <w:jc w:val="both"/>
              <w:rPr>
                <w:rFonts w:hint="eastAsia" w:asciiTheme="minorEastAsia" w:hAnsiTheme="minorEastAsia" w:eastAsiaTheme="minorEastAsia" w:cstheme="minorEastAsia"/>
                <w:color w:val="auto"/>
                <w:kern w:val="0"/>
                <w:sz w:val="21"/>
                <w:szCs w:val="21"/>
                <w:highlight w:val="none"/>
              </w:rPr>
            </w:pPr>
          </w:p>
        </w:tc>
        <w:tc>
          <w:tcPr>
            <w:tcW w:w="68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020" w:type="dxa"/>
            <w:vMerge w:val="continue"/>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1027"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产出质量</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（5分）</w:t>
            </w:r>
          </w:p>
        </w:tc>
        <w:tc>
          <w:tcPr>
            <w:tcW w:w="1118"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质量达标率</w:t>
            </w:r>
          </w:p>
        </w:tc>
        <w:tc>
          <w:tcPr>
            <w:tcW w:w="3165"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项目完成的质量达标产出数与实际产出数的比率，用以反映和考核项目产出的质量状况</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418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质量达标率=（质量达标产出数量/计划完成产出数量）×100%。质量达标产出数：一定时期（本年度或项目期）内实际达到既定质量标准的产品或服务数量。</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既定质量标准是指项目实施单位设立绩效目标时依据计划标准、行业标准、历史标准或其他标准而设定的绩效指标值。</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质量达标率*权重分</w:t>
            </w:r>
          </w:p>
        </w:tc>
        <w:tc>
          <w:tcPr>
            <w:tcW w:w="3489"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质量达标率100%</w:t>
            </w:r>
          </w:p>
        </w:tc>
        <w:tc>
          <w:tcPr>
            <w:tcW w:w="68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0" w:type="dxa"/>
            <w:vMerge w:val="continue"/>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1027"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产出时效</w:t>
            </w:r>
            <w:r>
              <w:rPr>
                <w:rFonts w:hint="eastAsia" w:asciiTheme="minorEastAsia" w:hAnsiTheme="minorEastAsia" w:eastAsiaTheme="minorEastAsia" w:cstheme="minorEastAsia"/>
                <w:color w:val="auto"/>
                <w:kern w:val="0"/>
                <w:sz w:val="21"/>
                <w:szCs w:val="21"/>
                <w:highlight w:val="none"/>
              </w:rPr>
              <w:br w:type="textWrapping"/>
            </w:r>
            <w:r>
              <w:rPr>
                <w:rFonts w:hint="eastAsia" w:asciiTheme="minorEastAsia" w:hAnsiTheme="minorEastAsia" w:eastAsiaTheme="minorEastAsia" w:cstheme="minorEastAsia"/>
                <w:color w:val="auto"/>
                <w:kern w:val="0"/>
                <w:sz w:val="21"/>
                <w:szCs w:val="21"/>
                <w:highlight w:val="none"/>
              </w:rPr>
              <w:t>（4分）</w:t>
            </w:r>
          </w:p>
        </w:tc>
        <w:tc>
          <w:tcPr>
            <w:tcW w:w="1118"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完成及时率</w:t>
            </w:r>
          </w:p>
        </w:tc>
        <w:tc>
          <w:tcPr>
            <w:tcW w:w="316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按计划时限完成的项目个数与项目总数的比率，用以反映项目完成的及时程度</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418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完成及时率=计划时限内实际完成的项目数量/计划时限内应完成的项目数量×100%。</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完成及时率*权重分</w:t>
            </w:r>
          </w:p>
        </w:tc>
        <w:tc>
          <w:tcPr>
            <w:tcW w:w="3489"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完成及时率</w:t>
            </w:r>
            <w:r>
              <w:rPr>
                <w:rFonts w:hint="eastAsia" w:asciiTheme="minorEastAsia" w:hAnsiTheme="minorEastAsia" w:eastAsiaTheme="minorEastAsia" w:cstheme="minorEastAsia"/>
                <w:color w:val="auto"/>
                <w:kern w:val="0"/>
                <w:sz w:val="21"/>
                <w:szCs w:val="21"/>
                <w:highlight w:val="none"/>
                <w:lang w:val="en-US" w:eastAsia="zh-CN"/>
              </w:rPr>
              <w:t>=50%</w:t>
            </w:r>
          </w:p>
        </w:tc>
        <w:tc>
          <w:tcPr>
            <w:tcW w:w="68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20" w:type="dxa"/>
            <w:vMerge w:val="continue"/>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1027"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产出成本</w:t>
            </w:r>
          </w:p>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（5分）</w:t>
            </w:r>
          </w:p>
        </w:tc>
        <w:tc>
          <w:tcPr>
            <w:tcW w:w="111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成本节约率</w:t>
            </w:r>
          </w:p>
        </w:tc>
        <w:tc>
          <w:tcPr>
            <w:tcW w:w="316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完成预算支出计划工作目标的实际节约成本与计划成本的比率，用以反映和考核预算支出的成本节约程度。</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418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成本节约率（A）=[（计划成本-实际成本）/计划成本]×100%。（项目完成前提下，A大于等于0得满分，小于-5%的扣1分，小于-10%的扣2分，小于-15%的扣3分，小于-20%的扣4分，小于-20%以上或项目未完成得0分）</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实际成本：预算支出实施单位如期、保质、保量完成既定工作目标实际所耗费的支出。</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计划成本：预算支出实施单位为完成工作目标计划安排的支出，一般以预算支出预算为参考。</w:t>
            </w:r>
          </w:p>
        </w:tc>
        <w:tc>
          <w:tcPr>
            <w:tcW w:w="3489"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成本节约率（A）大于等于0</w:t>
            </w:r>
          </w:p>
        </w:tc>
        <w:tc>
          <w:tcPr>
            <w:tcW w:w="68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1020" w:type="dxa"/>
            <w:vMerge w:val="restart"/>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效益</w:t>
            </w:r>
            <w:r>
              <w:rPr>
                <w:rFonts w:hint="eastAsia" w:asciiTheme="minorEastAsia" w:hAnsiTheme="minorEastAsia" w:eastAsiaTheme="minorEastAsia" w:cstheme="minorEastAsia"/>
                <w:color w:val="auto"/>
                <w:kern w:val="0"/>
                <w:sz w:val="21"/>
                <w:szCs w:val="21"/>
                <w:highlight w:val="none"/>
              </w:rPr>
              <w:br w:type="page"/>
            </w:r>
          </w:p>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（30分）</w:t>
            </w:r>
          </w:p>
        </w:tc>
        <w:tc>
          <w:tcPr>
            <w:tcW w:w="1027" w:type="dxa"/>
            <w:vMerge w:val="restart"/>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实施效益</w:t>
            </w:r>
          </w:p>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（20分）</w:t>
            </w:r>
          </w:p>
          <w:p>
            <w:pPr>
              <w:widowControl/>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社会效益</w:t>
            </w:r>
          </w:p>
          <w:p>
            <w:pPr>
              <w:widowControl/>
              <w:jc w:val="left"/>
              <w:rPr>
                <w:rFonts w:hint="eastAsia" w:asciiTheme="minorEastAsia" w:hAnsiTheme="minorEastAsia" w:eastAsiaTheme="minorEastAsia" w:cstheme="minorEastAsia"/>
                <w:color w:val="auto"/>
                <w:kern w:val="0"/>
                <w:sz w:val="21"/>
                <w:szCs w:val="21"/>
                <w:highlight w:val="none"/>
              </w:rPr>
            </w:pPr>
          </w:p>
        </w:tc>
        <w:tc>
          <w:tcPr>
            <w:tcW w:w="316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项目实施对社会发展所带来的影响。</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418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对社会发展的影响，影响明显计5-4分，较明显计3-2分，有影响不明显计酌情给分</w:t>
            </w:r>
          </w:p>
        </w:tc>
        <w:tc>
          <w:tcPr>
            <w:tcW w:w="3489"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影响明显计</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20" w:type="dxa"/>
            <w:vMerge w:val="continue"/>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经济效益</w:t>
            </w:r>
          </w:p>
        </w:tc>
        <w:tc>
          <w:tcPr>
            <w:tcW w:w="316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项目实施所带来的经济影响。</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418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对经济发展的影响，影响明显计5-4分，较明显计3-2分，有影响不明显计酌情给分</w:t>
            </w:r>
          </w:p>
        </w:tc>
        <w:tc>
          <w:tcPr>
            <w:tcW w:w="3489"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影响</w:t>
            </w:r>
            <w:r>
              <w:rPr>
                <w:rFonts w:hint="eastAsia" w:asciiTheme="minorEastAsia" w:hAnsiTheme="minorEastAsia" w:eastAsiaTheme="minorEastAsia" w:cstheme="minorEastAsia"/>
                <w:color w:val="auto"/>
                <w:kern w:val="0"/>
                <w:sz w:val="21"/>
                <w:szCs w:val="21"/>
                <w:highlight w:val="none"/>
                <w:lang w:val="en-US" w:eastAsia="zh-CN"/>
              </w:rPr>
              <w:t>较</w:t>
            </w:r>
            <w:r>
              <w:rPr>
                <w:rFonts w:hint="eastAsia" w:asciiTheme="minorEastAsia" w:hAnsiTheme="minorEastAsia" w:eastAsiaTheme="minorEastAsia" w:cstheme="minorEastAsia"/>
                <w:color w:val="auto"/>
                <w:kern w:val="0"/>
                <w:sz w:val="21"/>
                <w:szCs w:val="21"/>
                <w:highlight w:val="none"/>
              </w:rPr>
              <w:t>明显计</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20" w:type="dxa"/>
            <w:vMerge w:val="continue"/>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可持续影响</w:t>
            </w:r>
          </w:p>
        </w:tc>
        <w:tc>
          <w:tcPr>
            <w:tcW w:w="316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项目实施所带来的可持续影响。</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418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项目具有可持续性影响，影响明显计5-4分，较明显计3-2分，有影响不明显计酌情给分</w:t>
            </w:r>
          </w:p>
        </w:tc>
        <w:tc>
          <w:tcPr>
            <w:tcW w:w="3489"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影响明显计</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020" w:type="dxa"/>
            <w:vMerge w:val="continue"/>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p>
        </w:tc>
        <w:tc>
          <w:tcPr>
            <w:tcW w:w="1027" w:type="dxa"/>
            <w:vMerge w:val="continue"/>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1118"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生态效益</w:t>
            </w:r>
          </w:p>
        </w:tc>
        <w:tc>
          <w:tcPr>
            <w:tcW w:w="316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项目实施所带来的生态效益。</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418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产生的生态效益，影响明显计5-4分，较明显计3-2分，有影响不明显计酌情给分</w:t>
            </w:r>
          </w:p>
        </w:tc>
        <w:tc>
          <w:tcPr>
            <w:tcW w:w="3489"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影响明显计</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分</w:t>
            </w:r>
          </w:p>
        </w:tc>
        <w:tc>
          <w:tcPr>
            <w:tcW w:w="68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 w:type="dxa"/>
            <w:vMerge w:val="continue"/>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p>
        </w:tc>
        <w:tc>
          <w:tcPr>
            <w:tcW w:w="1027"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目标群体</w:t>
            </w:r>
          </w:p>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满意度</w:t>
            </w:r>
          </w:p>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（10分）</w:t>
            </w:r>
          </w:p>
        </w:tc>
        <w:tc>
          <w:tcPr>
            <w:tcW w:w="1118"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实施政策</w:t>
            </w:r>
          </w:p>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满意程度</w:t>
            </w:r>
          </w:p>
        </w:tc>
        <w:tc>
          <w:tcPr>
            <w:tcW w:w="316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项目资源有效利用，社会公众或服务对象对项目实施效果的满意程度</w:t>
            </w:r>
          </w:p>
        </w:tc>
        <w:tc>
          <w:tcPr>
            <w:tcW w:w="69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10</w:t>
            </w:r>
          </w:p>
        </w:tc>
        <w:tc>
          <w:tcPr>
            <w:tcW w:w="4185" w:type="dxa"/>
            <w:shd w:val="clear" w:color="auto" w:fill="auto"/>
            <w:vAlign w:val="center"/>
          </w:tcPr>
          <w:p>
            <w:pPr>
              <w:widowControl/>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满意度95%及以上，计10分；每下降一个百分点，扣一分，扣完为止</w:t>
            </w:r>
          </w:p>
        </w:tc>
        <w:tc>
          <w:tcPr>
            <w:tcW w:w="3489" w:type="dxa"/>
            <w:shd w:val="clear" w:color="auto" w:fill="auto"/>
            <w:vAlign w:val="center"/>
          </w:tcPr>
          <w:p>
            <w:pPr>
              <w:widowControl/>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满意度</w:t>
            </w:r>
            <w:r>
              <w:rPr>
                <w:rFonts w:hint="eastAsia" w:asciiTheme="minorEastAsia" w:hAnsiTheme="minorEastAsia" w:eastAsiaTheme="minorEastAsia" w:cstheme="minorEastAsia"/>
                <w:color w:val="auto"/>
                <w:kern w:val="0"/>
                <w:sz w:val="21"/>
                <w:szCs w:val="21"/>
                <w:highlight w:val="none"/>
                <w:lang w:val="en-US" w:eastAsia="zh-CN"/>
              </w:rPr>
              <w:t>100</w:t>
            </w:r>
            <w:r>
              <w:rPr>
                <w:rFonts w:hint="eastAsia" w:asciiTheme="minorEastAsia" w:hAnsiTheme="minorEastAsia" w:eastAsiaTheme="minorEastAsia" w:cstheme="minorEastAsia"/>
                <w:color w:val="auto"/>
                <w:kern w:val="0"/>
                <w:sz w:val="21"/>
                <w:szCs w:val="21"/>
                <w:highlight w:val="none"/>
              </w:rPr>
              <w:t>%</w:t>
            </w:r>
          </w:p>
        </w:tc>
        <w:tc>
          <w:tcPr>
            <w:tcW w:w="680" w:type="dxa"/>
            <w:shd w:val="clear" w:color="auto" w:fill="auto"/>
            <w:vAlign w:val="center"/>
          </w:tcPr>
          <w:p>
            <w:pPr>
              <w:widowControl/>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20"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总计</w:t>
            </w:r>
          </w:p>
        </w:tc>
        <w:tc>
          <w:tcPr>
            <w:tcW w:w="1027"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w:t>
            </w:r>
          </w:p>
        </w:tc>
        <w:tc>
          <w:tcPr>
            <w:tcW w:w="1118"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w:t>
            </w:r>
          </w:p>
        </w:tc>
        <w:tc>
          <w:tcPr>
            <w:tcW w:w="3165"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w:t>
            </w:r>
          </w:p>
        </w:tc>
        <w:tc>
          <w:tcPr>
            <w:tcW w:w="690"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100</w:t>
            </w:r>
          </w:p>
        </w:tc>
        <w:tc>
          <w:tcPr>
            <w:tcW w:w="4185"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highlight w:val="none"/>
              </w:rPr>
            </w:pPr>
            <w:r>
              <w:rPr>
                <w:rFonts w:hint="eastAsia" w:asciiTheme="minorEastAsia" w:hAnsiTheme="minorEastAsia" w:eastAsiaTheme="minorEastAsia" w:cstheme="minorEastAsia"/>
                <w:b/>
                <w:bCs/>
                <w:color w:val="auto"/>
                <w:kern w:val="0"/>
                <w:sz w:val="21"/>
                <w:szCs w:val="21"/>
                <w:highlight w:val="none"/>
              </w:rPr>
              <w:t>　</w:t>
            </w:r>
          </w:p>
        </w:tc>
        <w:tc>
          <w:tcPr>
            <w:tcW w:w="3489" w:type="dxa"/>
            <w:shd w:val="clear" w:color="auto" w:fill="auto"/>
            <w:vAlign w:val="center"/>
          </w:tcPr>
          <w:p>
            <w:pPr>
              <w:widowControl/>
              <w:jc w:val="left"/>
              <w:rPr>
                <w:rFonts w:hint="eastAsia" w:asciiTheme="minorEastAsia" w:hAnsiTheme="minorEastAsia" w:eastAsiaTheme="minorEastAsia" w:cstheme="minorEastAsia"/>
                <w:b/>
                <w:bCs/>
                <w:color w:val="auto"/>
                <w:kern w:val="0"/>
                <w:sz w:val="21"/>
                <w:szCs w:val="21"/>
                <w:highlight w:val="none"/>
              </w:rPr>
            </w:pPr>
          </w:p>
        </w:tc>
        <w:tc>
          <w:tcPr>
            <w:tcW w:w="680" w:type="dxa"/>
            <w:shd w:val="clear" w:color="auto" w:fill="auto"/>
            <w:vAlign w:val="center"/>
          </w:tcPr>
          <w:p>
            <w:pPr>
              <w:widowControl/>
              <w:jc w:val="center"/>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90.5</w:t>
            </w:r>
          </w:p>
        </w:tc>
      </w:tr>
    </w:tbl>
    <w:p>
      <w:pPr>
        <w:pStyle w:val="9"/>
        <w:jc w:val="both"/>
        <w:rPr>
          <w:rFonts w:hint="default" w:ascii="仿宋" w:hAnsi="仿宋" w:eastAsia="仿宋" w:cs="仿宋"/>
          <w:color w:val="auto"/>
          <w:sz w:val="28"/>
          <w:szCs w:val="28"/>
          <w:highlight w:val="none"/>
          <w:lang w:val="en-US" w:eastAsia="zh-CN"/>
        </w:rPr>
      </w:pPr>
    </w:p>
    <w:sectPr>
      <w:head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1F8405-94A0-4D14-B7B4-CDE22B52E2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597C569-1BE8-4487-928B-4939E796F131}"/>
  </w:font>
  <w:font w:name="方正小标宋简体">
    <w:panose1 w:val="03000509000000000000"/>
    <w:charset w:val="86"/>
    <w:family w:val="script"/>
    <w:pitch w:val="default"/>
    <w:sig w:usb0="00000001" w:usb1="080E0000" w:usb2="00000000" w:usb3="00000000" w:csb0="00040000" w:csb1="00000000"/>
    <w:embedRegular r:id="rId3" w:fontKey="{81C84406-E674-49CD-AF76-19893584B21D}"/>
  </w:font>
  <w:font w:name="Arial Narrow">
    <w:panose1 w:val="020B0606020202030204"/>
    <w:charset w:val="00"/>
    <w:family w:val="swiss"/>
    <w:pitch w:val="default"/>
    <w:sig w:usb0="00000287" w:usb1="00000800" w:usb2="00000000" w:usb3="00000000" w:csb0="2000009F" w:csb1="DFD70000"/>
    <w:embedRegular r:id="rId4" w:fontKey="{1C377001-AADD-4059-A22C-31EF44B0AFB5}"/>
  </w:font>
  <w:font w:name="仿宋">
    <w:panose1 w:val="02010609060101010101"/>
    <w:charset w:val="86"/>
    <w:family w:val="auto"/>
    <w:pitch w:val="default"/>
    <w:sig w:usb0="800002BF" w:usb1="38CF7CFA" w:usb2="00000016" w:usb3="00000000" w:csb0="00040001" w:csb1="00000000"/>
    <w:embedRegular r:id="rId5" w:fontKey="{C65EF08A-2C0B-42E6-B6BB-BDA929EABA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CF126"/>
    <w:multiLevelType w:val="singleLevel"/>
    <w:tmpl w:val="89ECF126"/>
    <w:lvl w:ilvl="0" w:tentative="0">
      <w:start w:val="1"/>
      <w:numFmt w:val="decimal"/>
      <w:suff w:val="nothing"/>
      <w:lvlText w:val="（%1）"/>
      <w:lvlJc w:val="left"/>
    </w:lvl>
  </w:abstractNum>
  <w:abstractNum w:abstractNumId="1">
    <w:nsid w:val="1B06F5F2"/>
    <w:multiLevelType w:val="singleLevel"/>
    <w:tmpl w:val="1B06F5F2"/>
    <w:lvl w:ilvl="0" w:tentative="0">
      <w:start w:val="3"/>
      <w:numFmt w:val="decimal"/>
      <w:suff w:val="space"/>
      <w:lvlText w:val="%1."/>
      <w:lvlJc w:val="left"/>
    </w:lvl>
  </w:abstractNum>
  <w:abstractNum w:abstractNumId="2">
    <w:nsid w:val="3BED309C"/>
    <w:multiLevelType w:val="singleLevel"/>
    <w:tmpl w:val="3BED309C"/>
    <w:lvl w:ilvl="0" w:tentative="0">
      <w:start w:val="2"/>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00000000"/>
    <w:rsid w:val="00157586"/>
    <w:rsid w:val="053A7AB1"/>
    <w:rsid w:val="07CD6EF5"/>
    <w:rsid w:val="09035418"/>
    <w:rsid w:val="091066B6"/>
    <w:rsid w:val="09C876B2"/>
    <w:rsid w:val="0AD6392F"/>
    <w:rsid w:val="0CAB30A1"/>
    <w:rsid w:val="0D9472DA"/>
    <w:rsid w:val="0E0D58BA"/>
    <w:rsid w:val="0E2A064A"/>
    <w:rsid w:val="0ED16F79"/>
    <w:rsid w:val="0FE21ADD"/>
    <w:rsid w:val="1085436E"/>
    <w:rsid w:val="11C7122A"/>
    <w:rsid w:val="1447741D"/>
    <w:rsid w:val="14E178C5"/>
    <w:rsid w:val="151740AC"/>
    <w:rsid w:val="15736647"/>
    <w:rsid w:val="17CB63FF"/>
    <w:rsid w:val="18422CDC"/>
    <w:rsid w:val="18A642AB"/>
    <w:rsid w:val="1ACE755B"/>
    <w:rsid w:val="1B0173A0"/>
    <w:rsid w:val="1BEA0208"/>
    <w:rsid w:val="1C657E00"/>
    <w:rsid w:val="1F605239"/>
    <w:rsid w:val="20787A89"/>
    <w:rsid w:val="211109EE"/>
    <w:rsid w:val="24B82EA7"/>
    <w:rsid w:val="2B6C7D52"/>
    <w:rsid w:val="2D591872"/>
    <w:rsid w:val="2E3F46EC"/>
    <w:rsid w:val="2E4233DD"/>
    <w:rsid w:val="2F882B9B"/>
    <w:rsid w:val="2FF71DF5"/>
    <w:rsid w:val="30DD6D4E"/>
    <w:rsid w:val="313F7D09"/>
    <w:rsid w:val="317462F2"/>
    <w:rsid w:val="31C43C21"/>
    <w:rsid w:val="322776C3"/>
    <w:rsid w:val="33E726A5"/>
    <w:rsid w:val="34AC25E8"/>
    <w:rsid w:val="34DF27AB"/>
    <w:rsid w:val="3507474B"/>
    <w:rsid w:val="35FF348B"/>
    <w:rsid w:val="36D6362E"/>
    <w:rsid w:val="375E2A17"/>
    <w:rsid w:val="3A4E50DB"/>
    <w:rsid w:val="3A831176"/>
    <w:rsid w:val="3AE710BD"/>
    <w:rsid w:val="3B9A24F4"/>
    <w:rsid w:val="3C2B4D5B"/>
    <w:rsid w:val="3C861FFF"/>
    <w:rsid w:val="3F580E27"/>
    <w:rsid w:val="3F600641"/>
    <w:rsid w:val="422E75D1"/>
    <w:rsid w:val="455642AB"/>
    <w:rsid w:val="46C43087"/>
    <w:rsid w:val="48AF6C99"/>
    <w:rsid w:val="48E00D7E"/>
    <w:rsid w:val="49A168DB"/>
    <w:rsid w:val="4B6B2659"/>
    <w:rsid w:val="4DD83C50"/>
    <w:rsid w:val="4E197388"/>
    <w:rsid w:val="4F75608F"/>
    <w:rsid w:val="50083210"/>
    <w:rsid w:val="51404F17"/>
    <w:rsid w:val="514657C3"/>
    <w:rsid w:val="514A5AAA"/>
    <w:rsid w:val="5207308F"/>
    <w:rsid w:val="53CC2939"/>
    <w:rsid w:val="54001133"/>
    <w:rsid w:val="54880DC3"/>
    <w:rsid w:val="550C37A2"/>
    <w:rsid w:val="55B1282F"/>
    <w:rsid w:val="56046F9F"/>
    <w:rsid w:val="561B7A15"/>
    <w:rsid w:val="57953D70"/>
    <w:rsid w:val="58937D37"/>
    <w:rsid w:val="59AE472D"/>
    <w:rsid w:val="5A52403F"/>
    <w:rsid w:val="5DA94B26"/>
    <w:rsid w:val="5E692F57"/>
    <w:rsid w:val="5F68008D"/>
    <w:rsid w:val="5FD90725"/>
    <w:rsid w:val="61097ACC"/>
    <w:rsid w:val="614B5050"/>
    <w:rsid w:val="61F56A4B"/>
    <w:rsid w:val="63BB1F22"/>
    <w:rsid w:val="67226E32"/>
    <w:rsid w:val="676D4A96"/>
    <w:rsid w:val="6A301C4F"/>
    <w:rsid w:val="6CC105A7"/>
    <w:rsid w:val="6D2159E0"/>
    <w:rsid w:val="6E597A7A"/>
    <w:rsid w:val="6FA94815"/>
    <w:rsid w:val="715502BF"/>
    <w:rsid w:val="721F0505"/>
    <w:rsid w:val="73607DAA"/>
    <w:rsid w:val="7363682B"/>
    <w:rsid w:val="745A2892"/>
    <w:rsid w:val="77242C0F"/>
    <w:rsid w:val="79825F6B"/>
    <w:rsid w:val="798A2539"/>
    <w:rsid w:val="79B539FD"/>
    <w:rsid w:val="7AEA7832"/>
    <w:rsid w:val="7B85284A"/>
    <w:rsid w:val="7BEE0B30"/>
    <w:rsid w:val="7E08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unhideWhenUsed/>
    <w:qFormat/>
    <w:uiPriority w:val="0"/>
    <w:pPr>
      <w:adjustRightInd w:val="0"/>
      <w:spacing w:line="312" w:lineRule="atLeast"/>
      <w:ind w:firstLine="420" w:firstLineChars="0"/>
      <w:textAlignment w:val="baseline"/>
    </w:pPr>
    <w:rPr>
      <w:kern w:val="0"/>
      <w:sz w:val="21"/>
    </w:rPr>
  </w:style>
  <w:style w:type="paragraph" w:styleId="7">
    <w:name w:val="toa heading"/>
    <w:basedOn w:val="1"/>
    <w:next w:val="1"/>
    <w:autoRedefine/>
    <w:qFormat/>
    <w:uiPriority w:val="0"/>
    <w:rPr>
      <w:rFonts w:ascii="Arial" w:hAnsi="Arial" w:eastAsia="宋体" w:cs="Times New Roman"/>
      <w:sz w:val="24"/>
    </w:rPr>
  </w:style>
  <w:style w:type="paragraph" w:styleId="8">
    <w:name w:val="Body Text"/>
    <w:basedOn w:val="1"/>
    <w:next w:val="9"/>
    <w:autoRedefine/>
    <w:qFormat/>
    <w:uiPriority w:val="0"/>
    <w:pPr>
      <w:widowControl/>
      <w:spacing w:before="100" w:beforeAutospacing="1" w:after="100" w:afterAutospacing="1"/>
      <w:jc w:val="left"/>
    </w:pPr>
    <w:rPr>
      <w:rFonts w:ascii="宋体" w:hAnsi="宋体" w:cs="宋体"/>
      <w:kern w:val="0"/>
      <w:sz w:val="24"/>
    </w:rPr>
  </w:style>
  <w:style w:type="paragraph" w:styleId="9">
    <w:name w:val="footer"/>
    <w:basedOn w:val="1"/>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w:basedOn w:val="8"/>
    <w:autoRedefine/>
    <w:qFormat/>
    <w:uiPriority w:val="0"/>
    <w:pPr>
      <w:ind w:firstLine="664"/>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1"/>
    <w:autoRedefine/>
    <w:qFormat/>
    <w:uiPriority w:val="0"/>
    <w:pPr>
      <w:widowControl w:val="0"/>
      <w:autoSpaceDE w:val="0"/>
      <w:autoSpaceDN w:val="0"/>
      <w:adjustRightInd w:val="0"/>
    </w:pPr>
    <w:rPr>
      <w:rFonts w:ascii="宋体" w:hAnsi="Calibri" w:cs="宋体" w:eastAsiaTheme="minorEastAsia"/>
      <w:color w:val="000000"/>
      <w:sz w:val="24"/>
      <w:szCs w:val="24"/>
      <w:lang w:val="en-US" w:eastAsia="zh-CN" w:bidi="ar-SA"/>
    </w:rPr>
  </w:style>
  <w:style w:type="paragraph" w:customStyle="1" w:styleId="16">
    <w:name w:val="BodyText1I"/>
    <w:basedOn w:val="1"/>
    <w:autoRedefine/>
    <w:qFormat/>
    <w:uiPriority w:val="99"/>
    <w:pPr>
      <w:snapToGrid w:val="0"/>
      <w:spacing w:line="360" w:lineRule="auto"/>
      <w:ind w:firstLine="420" w:firstLineChars="100"/>
    </w:pPr>
    <w:rPr>
      <w:sz w:val="28"/>
      <w:szCs w:val="20"/>
    </w:rPr>
  </w:style>
  <w:style w:type="paragraph" w:customStyle="1" w:styleId="17">
    <w:name w:val="样式5"/>
    <w:basedOn w:val="1"/>
    <w:autoRedefine/>
    <w:qFormat/>
    <w:uiPriority w:val="0"/>
    <w:pPr>
      <w:spacing w:line="600" w:lineRule="exact"/>
      <w:ind w:firstLine="880" w:firstLineChars="200"/>
    </w:pPr>
    <w:rPr>
      <w:rFonts w:ascii="仿宋_GB2312" w:hAnsi="仿宋_GB2312" w:eastAsia="仿宋_GB2312" w:cs="仿宋_GB2312"/>
      <w:sz w:val="32"/>
      <w:szCs w:val="22"/>
    </w:rPr>
  </w:style>
  <w:style w:type="paragraph" w:customStyle="1" w:styleId="18">
    <w:name w:val="p0"/>
    <w:basedOn w:val="1"/>
    <w:autoRedefine/>
    <w:qFormat/>
    <w:uiPriority w:val="0"/>
    <w:pPr>
      <w:widowControl/>
    </w:pPr>
    <w:rPr>
      <w:rFonts w:hint="default"/>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2023-11-26T06:37:00Z</dcterms:created>
  <dc:creator>wyt</dc:creator>
  <cp:lastModifiedBy>小鲸怡</cp:lastModifiedBy>
  <dcterms:modified xsi:type="dcterms:W3CDTF">2023-12-18T07:28:20Z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E457E17A314E4B10A05EED929D1FADE6_13</vt:lpwstr>
  </property>
</Properties>
</file>