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Lines="0" w:after="300" w:afterLines="0" w:line="500" w:lineRule="atLeast"/>
        <w:jc w:val="center"/>
        <w:textAlignment w:val="auto"/>
        <w:rPr>
          <w:rFonts w:hint="eastAsia" w:ascii="宋体" w:hAnsi="宋体" w:cs="宋体"/>
          <w:b/>
          <w:color w:val="444444"/>
          <w:sz w:val="28"/>
          <w:szCs w:val="28"/>
          <w:shd w:val="clear" w:color="auto" w:fill="FFFFFF"/>
        </w:rPr>
      </w:pPr>
      <w:r>
        <w:rPr>
          <w:rFonts w:hint="eastAsia" w:ascii="宋体" w:hAnsi="宋体" w:cs="宋体"/>
          <w:b/>
          <w:color w:val="444444"/>
          <w:sz w:val="28"/>
          <w:szCs w:val="28"/>
          <w:shd w:val="clear" w:color="auto" w:fill="FFFFFF"/>
        </w:rPr>
        <w:t>202</w:t>
      </w:r>
      <w:r>
        <w:rPr>
          <w:rFonts w:hint="eastAsia" w:ascii="宋体" w:hAnsi="宋体" w:cs="宋体"/>
          <w:b/>
          <w:color w:val="444444"/>
          <w:sz w:val="28"/>
          <w:szCs w:val="28"/>
          <w:shd w:val="clear" w:color="auto" w:fill="FFFFFF"/>
          <w:lang w:val="en-US" w:eastAsia="zh-CN"/>
        </w:rPr>
        <w:t>2</w:t>
      </w:r>
      <w:r>
        <w:rPr>
          <w:rFonts w:hint="eastAsia" w:ascii="宋体" w:hAnsi="宋体" w:cs="宋体"/>
          <w:b/>
          <w:color w:val="444444"/>
          <w:sz w:val="28"/>
          <w:szCs w:val="28"/>
          <w:shd w:val="clear" w:color="auto" w:fill="FFFFFF"/>
        </w:rPr>
        <w:t>年度</w:t>
      </w:r>
      <w:r>
        <w:rPr>
          <w:rFonts w:hint="eastAsia" w:ascii="宋体" w:hAnsi="宋体" w:cs="宋体"/>
          <w:b/>
          <w:color w:val="444444"/>
          <w:sz w:val="28"/>
          <w:szCs w:val="28"/>
          <w:shd w:val="clear" w:color="auto" w:fill="FFFFFF"/>
          <w:lang w:eastAsia="zh-CN"/>
        </w:rPr>
        <w:t>邵阳市</w:t>
      </w:r>
      <w:r>
        <w:rPr>
          <w:rFonts w:hint="eastAsia" w:ascii="宋体" w:hAnsi="宋体" w:cs="宋体"/>
          <w:b/>
          <w:color w:val="444444"/>
          <w:sz w:val="28"/>
          <w:szCs w:val="28"/>
          <w:shd w:val="clear" w:color="auto" w:fill="FFFFFF"/>
        </w:rPr>
        <w:t>北塔区</w:t>
      </w:r>
      <w:r>
        <w:rPr>
          <w:rFonts w:hint="eastAsia" w:ascii="宋体" w:hAnsi="宋体" w:cs="宋体"/>
          <w:b/>
          <w:color w:val="444444"/>
          <w:sz w:val="28"/>
          <w:szCs w:val="28"/>
          <w:shd w:val="clear" w:color="auto" w:fill="FFFFFF"/>
          <w:lang w:val="en-US" w:eastAsia="zh-CN"/>
        </w:rPr>
        <w:t>双树</w:t>
      </w:r>
      <w:r>
        <w:rPr>
          <w:rFonts w:hint="eastAsia" w:ascii="宋体" w:hAnsi="宋体" w:cs="宋体"/>
          <w:b/>
          <w:color w:val="444444"/>
          <w:sz w:val="28"/>
          <w:szCs w:val="28"/>
          <w:shd w:val="clear" w:color="auto" w:fill="FFFFFF"/>
        </w:rPr>
        <w:t>小学整体支出绩效评价报告</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643" w:firstLineChars="200"/>
        <w:jc w:val="both"/>
        <w:textAlignment w:val="auto"/>
        <w:rPr>
          <w:rFonts w:hint="eastAsia" w:ascii="宋体" w:hAnsi="宋体" w:cs="宋体"/>
          <w:color w:val="444444"/>
          <w:sz w:val="32"/>
          <w:szCs w:val="32"/>
          <w:shd w:val="clear" w:color="auto" w:fill="FFFFFF"/>
        </w:rPr>
      </w:pPr>
      <w:r>
        <w:rPr>
          <w:rFonts w:hint="eastAsia" w:ascii="宋体" w:hAnsi="宋体" w:cs="宋体"/>
          <w:b/>
          <w:bCs/>
          <w:color w:val="444444"/>
          <w:sz w:val="32"/>
          <w:szCs w:val="32"/>
          <w:shd w:val="clear" w:color="auto" w:fill="FFFFFF"/>
        </w:rPr>
        <w:t>一、部门概况</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（一）贯彻执行中央、省、市、区的教育科技工作方针、政策和法律、法规，拟定教育科技工作改革与发展战略和规划，并组织实施。</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（二）统筹管理学校教育科技经费；指导教育、科技基本建设；指导协调学校技术、科技装备的配置。</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（三）指导和监督学校内部审计工作；对学校经济活动进行审计监督。</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（四）负责学校教育工作，全面实施素质教育；管理全校教育招生考试工作；承担全校语言文字工作；实施教师资格制度，推进学校人事制度改革。</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（五）管理全校基础教育工作；指导学校开展教育改革和办学体制、学校内部管理体制改革。</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（六）负责全校教育科技成果、教育科技奖励、科技保密、技术市场与科技相关的知识产权保护等工作。</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（七）指导全校党建、宣传、统战、治安保卫工作，负责学校的维稳工作。</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（八）负责全校教育督导工作，管理全校教育的各项评估、验收和专项督查。</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rPr>
        <w:t>（九）承办区人民政府和上级教育部门交办的其他事项。根据上述职责，学校根据实际情况分别设有办校长室、总务处、教导处等机构。</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color w:val="444444"/>
          <w:sz w:val="28"/>
          <w:szCs w:val="28"/>
          <w:shd w:val="clear" w:color="auto" w:fill="FFFFFF"/>
        </w:rPr>
      </w:pPr>
      <w:r>
        <w:rPr>
          <w:rFonts w:hint="eastAsia" w:ascii="宋体" w:hAnsi="宋体" w:cs="宋体"/>
          <w:color w:val="444444"/>
          <w:sz w:val="28"/>
          <w:szCs w:val="28"/>
          <w:shd w:val="clear" w:color="auto" w:fill="FFFFFF"/>
          <w:lang w:val="en-US" w:eastAsia="zh-CN"/>
        </w:rPr>
        <w:t>(十)</w:t>
      </w:r>
      <w:r>
        <w:rPr>
          <w:rFonts w:hint="eastAsia" w:ascii="宋体" w:hAnsi="宋体" w:cs="宋体"/>
          <w:color w:val="444444"/>
          <w:sz w:val="28"/>
          <w:szCs w:val="28"/>
          <w:shd w:val="clear" w:color="auto" w:fill="FFFFFF"/>
        </w:rPr>
        <w:t xml:space="preserve">人员情况。编制 </w:t>
      </w:r>
      <w:r>
        <w:rPr>
          <w:rFonts w:hint="eastAsia" w:ascii="宋体" w:hAnsi="宋体" w:cs="宋体"/>
          <w:color w:val="444444"/>
          <w:sz w:val="28"/>
          <w:szCs w:val="28"/>
          <w:shd w:val="clear" w:color="auto" w:fill="FFFFFF"/>
          <w:lang w:val="en-US" w:eastAsia="zh-CN"/>
        </w:rPr>
        <w:t>9</w:t>
      </w:r>
      <w:r>
        <w:rPr>
          <w:rFonts w:hint="eastAsia" w:ascii="宋体" w:hAnsi="宋体" w:cs="宋体"/>
          <w:color w:val="444444"/>
          <w:sz w:val="28"/>
          <w:szCs w:val="28"/>
          <w:shd w:val="clear" w:color="auto" w:fill="FFFFFF"/>
        </w:rPr>
        <w:t xml:space="preserve">人，在职教工 9 人，退休人员 4 人。 </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643" w:firstLineChars="200"/>
        <w:textAlignment w:val="auto"/>
        <w:rPr>
          <w:rFonts w:hint="eastAsia" w:ascii="宋体" w:hAnsi="宋体" w:cs="宋体"/>
          <w:b/>
          <w:bCs/>
          <w:sz w:val="32"/>
          <w:szCs w:val="32"/>
        </w:rPr>
      </w:pPr>
      <w:r>
        <w:rPr>
          <w:rFonts w:hint="eastAsia" w:ascii="宋体" w:hAnsi="宋体" w:cs="宋体"/>
          <w:b/>
          <w:bCs/>
          <w:color w:val="444444"/>
          <w:sz w:val="32"/>
          <w:szCs w:val="32"/>
          <w:shd w:val="clear" w:color="auto" w:fill="FFFFFF"/>
        </w:rPr>
        <w:t>二、部门整体支出管理及使用情况</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sz w:val="28"/>
          <w:szCs w:val="28"/>
        </w:rPr>
      </w:pPr>
      <w:r>
        <w:rPr>
          <w:rFonts w:hint="eastAsia" w:ascii="宋体" w:hAnsi="宋体" w:cs="宋体"/>
          <w:color w:val="444444"/>
          <w:sz w:val="28"/>
          <w:szCs w:val="28"/>
          <w:shd w:val="clear" w:color="auto" w:fill="FFFFFF"/>
        </w:rPr>
        <w:t>（一）基本支出</w:t>
      </w:r>
    </w:p>
    <w:p>
      <w:pPr>
        <w:pStyle w:val="2"/>
        <w:keepNext w:val="0"/>
        <w:keepLines w:val="0"/>
        <w:pageBreakBefore w:val="0"/>
        <w:widowControl/>
        <w:shd w:val="clear" w:color="auto" w:fill="FFFFFF"/>
        <w:kinsoku/>
        <w:wordWrap/>
        <w:overflowPunct/>
        <w:topLinePunct w:val="0"/>
        <w:autoSpaceDE/>
        <w:autoSpaceDN/>
        <w:bidi w:val="0"/>
        <w:adjustRightInd/>
        <w:snapToGrid/>
        <w:spacing w:before="120" w:beforeLines="0" w:beforeAutospacing="0" w:after="120" w:afterLines="0" w:afterAutospacing="0" w:line="500" w:lineRule="atLeast"/>
        <w:ind w:right="420" w:firstLine="560" w:firstLineChars="200"/>
        <w:jc w:val="both"/>
        <w:textAlignment w:val="auto"/>
        <w:rPr>
          <w:rFonts w:hint="eastAsia" w:ascii="宋体" w:hAnsi="宋体" w:eastAsia="宋体" w:cs="宋体"/>
          <w:color w:val="000000"/>
          <w:sz w:val="28"/>
          <w:szCs w:val="28"/>
        </w:rPr>
      </w:pPr>
      <w:r>
        <w:rPr>
          <w:rFonts w:hint="eastAsia" w:ascii="宋体" w:hAnsi="宋体" w:cs="宋体"/>
          <w:color w:val="444444"/>
          <w:sz w:val="28"/>
          <w:szCs w:val="28"/>
          <w:shd w:val="clear" w:color="auto" w:fill="FFFFFF"/>
        </w:rPr>
        <w:t>基本支出系保障我校机构正常运转、完成日常工作任务而发生的人员支出和公用支出，包括用于在职和离退休人员基本工资、津贴补贴等人员经费以及办公费、印刷费、水电费、办公设备购置等日常公用经费。</w:t>
      </w:r>
      <w:r>
        <w:rPr>
          <w:rFonts w:hint="eastAsia" w:ascii="宋体" w:hAnsi="宋体" w:eastAsia="宋体" w:cs="宋体"/>
          <w:color w:val="000000"/>
          <w:sz w:val="28"/>
          <w:szCs w:val="28"/>
          <w:shd w:val="clear" w:color="auto" w:fill="FFFFFF"/>
        </w:rPr>
        <w:t>202</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rPr>
        <w:t>年我校基本支出</w:t>
      </w:r>
      <w:r>
        <w:rPr>
          <w:rFonts w:hint="eastAsia" w:ascii="宋体" w:hAnsi="宋体" w:eastAsia="宋体" w:cs="宋体"/>
          <w:color w:val="000000"/>
          <w:sz w:val="28"/>
          <w:szCs w:val="28"/>
          <w:shd w:val="clear" w:color="auto" w:fill="FFFFFF"/>
          <w:lang w:val="en-US" w:eastAsia="zh-CN"/>
        </w:rPr>
        <w:t>130.19</w:t>
      </w:r>
      <w:r>
        <w:rPr>
          <w:rFonts w:hint="eastAsia" w:ascii="宋体" w:hAnsi="宋体" w:eastAsia="宋体" w:cs="宋体"/>
          <w:color w:val="000000"/>
          <w:sz w:val="28"/>
          <w:szCs w:val="28"/>
          <w:shd w:val="clear" w:color="auto" w:fill="FFFFFF"/>
        </w:rPr>
        <w:t>万元，其中：人员经费</w:t>
      </w:r>
      <w:r>
        <w:rPr>
          <w:rFonts w:hint="eastAsia" w:ascii="宋体" w:hAnsi="宋体" w:eastAsia="宋体" w:cs="宋体"/>
          <w:color w:val="000000"/>
          <w:sz w:val="28"/>
          <w:szCs w:val="28"/>
          <w:shd w:val="clear" w:color="auto" w:fill="FFFFFF"/>
          <w:lang w:val="en-US" w:eastAsia="zh-CN"/>
        </w:rPr>
        <w:t>99.53</w:t>
      </w:r>
      <w:r>
        <w:rPr>
          <w:rFonts w:hint="eastAsia" w:ascii="宋体" w:hAnsi="宋体" w:eastAsia="宋体" w:cs="宋体"/>
          <w:color w:val="000000"/>
          <w:sz w:val="28"/>
          <w:szCs w:val="28"/>
          <w:shd w:val="clear" w:color="auto" w:fill="FFFFFF"/>
        </w:rPr>
        <w:t>万元，主要包括：基本工资、津贴补贴、奖金、伙食补助费、机关事业单位基本养老保险缴费、职业年金缴费、职工基本医疗保险缴费、其他社会保障缴费、住房公积金、退休费、抚恤金、生活补助、救济费、奖励金、其他对个人和家庭的补助；公用经费</w:t>
      </w:r>
      <w:r>
        <w:rPr>
          <w:rFonts w:hint="eastAsia" w:ascii="宋体" w:hAnsi="宋体" w:eastAsia="宋体" w:cs="宋体"/>
          <w:color w:val="000000"/>
          <w:sz w:val="28"/>
          <w:szCs w:val="28"/>
          <w:shd w:val="clear" w:color="auto" w:fill="FFFFFF"/>
          <w:lang w:val="en-US" w:eastAsia="zh-CN"/>
        </w:rPr>
        <w:t>7.36</w:t>
      </w:r>
      <w:r>
        <w:rPr>
          <w:rFonts w:hint="eastAsia" w:ascii="宋体" w:hAnsi="宋体" w:eastAsia="宋体" w:cs="宋体"/>
          <w:color w:val="000000"/>
          <w:sz w:val="28"/>
          <w:szCs w:val="28"/>
          <w:shd w:val="clear" w:color="auto" w:fill="FFFFFF"/>
        </w:rPr>
        <w:t>万元，主要包括：办公费、印刷费、咨询费、水费、电费、邮电费、物业管理费、差旅费、维修（护）费、会议费、培训费、公务接待费、劳务费、委托业务费、工会经费、福利费、公务用车运行维护费、其他商品和服务支出。</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sz w:val="28"/>
          <w:szCs w:val="28"/>
        </w:rPr>
      </w:pPr>
      <w:r>
        <w:rPr>
          <w:rFonts w:hint="eastAsia" w:ascii="宋体" w:hAnsi="宋体" w:cs="宋体"/>
          <w:color w:val="444444"/>
          <w:sz w:val="28"/>
          <w:szCs w:val="28"/>
          <w:shd w:val="clear" w:color="auto" w:fill="FFFFFF"/>
        </w:rPr>
        <w:t>（二）专项支出</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sz w:val="28"/>
          <w:szCs w:val="28"/>
        </w:rPr>
      </w:pPr>
      <w:r>
        <w:rPr>
          <w:rFonts w:hint="eastAsia" w:ascii="宋体" w:hAnsi="宋体" w:cs="宋体"/>
          <w:color w:val="444444"/>
          <w:sz w:val="28"/>
          <w:szCs w:val="28"/>
          <w:shd w:val="clear" w:color="auto" w:fill="FFFFFF"/>
        </w:rPr>
        <w:t>202</w:t>
      </w:r>
      <w:r>
        <w:rPr>
          <w:rFonts w:hint="eastAsia" w:ascii="宋体" w:hAnsi="宋体" w:cs="宋体"/>
          <w:color w:val="444444"/>
          <w:sz w:val="28"/>
          <w:szCs w:val="28"/>
          <w:shd w:val="clear" w:color="auto" w:fill="FFFFFF"/>
          <w:lang w:val="en-US" w:eastAsia="zh-CN"/>
        </w:rPr>
        <w:t>2</w:t>
      </w:r>
      <w:r>
        <w:rPr>
          <w:rFonts w:hint="eastAsia" w:ascii="宋体" w:hAnsi="宋体" w:cs="宋体"/>
          <w:color w:val="444444"/>
          <w:sz w:val="28"/>
          <w:szCs w:val="28"/>
          <w:shd w:val="clear" w:color="auto" w:fill="FFFFFF"/>
        </w:rPr>
        <w:t>年我校无专项支出。</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643" w:firstLineChars="200"/>
        <w:textAlignment w:val="auto"/>
        <w:rPr>
          <w:rFonts w:hint="eastAsia" w:ascii="宋体" w:hAnsi="宋体" w:cs="宋体"/>
          <w:b/>
          <w:bCs/>
          <w:sz w:val="32"/>
          <w:szCs w:val="32"/>
        </w:rPr>
      </w:pPr>
      <w:r>
        <w:rPr>
          <w:rFonts w:hint="eastAsia" w:ascii="宋体" w:hAnsi="宋体" w:cs="宋体"/>
          <w:b/>
          <w:bCs/>
          <w:color w:val="444444"/>
          <w:sz w:val="32"/>
          <w:szCs w:val="32"/>
          <w:shd w:val="clear" w:color="auto" w:fill="FFFFFF"/>
        </w:rPr>
        <w:t>三、资产管理情况</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我校资产管理由办公室负责，资产采购按程序实行报批采购，统一在政采云平台下单，采购后登记入账，录入资产信息系统，再派发到相关办公室。一是我校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2"/>
        <w:keepNext w:val="0"/>
        <w:keepLines w:val="0"/>
        <w:pageBreakBefore w:val="0"/>
        <w:widowControl/>
        <w:kinsoku/>
        <w:wordWrap/>
        <w:overflowPunct/>
        <w:topLinePunct w:val="0"/>
        <w:autoSpaceDE/>
        <w:autoSpaceDN/>
        <w:bidi w:val="0"/>
        <w:adjustRightInd/>
        <w:snapToGrid/>
        <w:spacing w:before="120" w:beforeLines="0" w:beforeAutospacing="0" w:after="120" w:afterLines="0" w:afterAutospacing="0" w:line="500" w:lineRule="atLeast"/>
        <w:ind w:firstLine="643" w:firstLineChars="200"/>
        <w:textAlignment w:val="auto"/>
        <w:rPr>
          <w:rFonts w:hint="eastAsia" w:ascii="宋体" w:hAnsi="宋体" w:cs="宋体"/>
          <w:b/>
          <w:bCs/>
          <w:sz w:val="32"/>
          <w:szCs w:val="32"/>
        </w:rPr>
      </w:pPr>
      <w:r>
        <w:rPr>
          <w:rFonts w:hint="eastAsia" w:ascii="宋体" w:hAnsi="宋体" w:cs="宋体"/>
          <w:b/>
          <w:bCs/>
          <w:color w:val="444444"/>
          <w:sz w:val="32"/>
          <w:szCs w:val="32"/>
          <w:shd w:val="clear" w:color="auto" w:fill="FFFFFF"/>
        </w:rPr>
        <w:t>四、部门整体支出绩效情况</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bookmarkStart w:id="0" w:name="RANGE!A1:H22"/>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年，我校积极履职，强化管理，较好地完成了年度工作目标。通过加强预算收支管理，不断建立健全内部管理制度，梳理内部管理流程，部门整体支出管理水平得到提升。部门整体支出绩效情况如下：</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1.预算执行比较到位。</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2.产出指标执行比较到位。</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（1）数量指标：小学毕业合格率，年度指标值100%。</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（2）质量指标：毕业升学率，年度指标值100%，实际完成值100%。</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（3）时效指标：目标完成及时率，年度指标值100%，实际完成值100%，。</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（4）成本指标：行政效能，我单位不断改善行政管理，严格经费及资产管理，改进文风会风，精简会议，提高了行政效率，降低了行政成本。</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3、效益指标执行比较到位。</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（1）经济效益指标：为社会培养合格学生，年度指标值100%，实际完成值100%。</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（2）社会效益指标：我单位的各方面工作都得到社会大众的肯定和好评，年度指标值100%，实际完成值100%。</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（3）可持续影响指标：搞好学生的教育教学工作，培养青少年的良好习惯，年度指标值100%，实际完成值100%。</w:t>
      </w:r>
    </w:p>
    <w:p>
      <w:pPr>
        <w:keepNext w:val="0"/>
        <w:keepLines w:val="0"/>
        <w:pageBreakBefore w:val="0"/>
        <w:numPr>
          <w:ilvl w:val="0"/>
          <w:numId w:val="1"/>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社会公众或服务对象满意度：突出重点，聚力特色，协同创优，内涵发展，全面提高学校的综合治理能力和办学水平。  </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643" w:firstLineChars="200"/>
        <w:textAlignment w:val="auto"/>
        <w:rPr>
          <w:rFonts w:hint="eastAsia" w:ascii="宋体" w:hAnsi="宋体" w:cs="宋体"/>
          <w:b/>
          <w:bCs/>
          <w:sz w:val="32"/>
          <w:szCs w:val="32"/>
        </w:rPr>
      </w:pPr>
      <w:r>
        <w:rPr>
          <w:rFonts w:hint="eastAsia" w:ascii="宋体" w:hAnsi="宋体" w:cs="宋体"/>
          <w:b/>
          <w:bCs/>
          <w:sz w:val="32"/>
          <w:szCs w:val="32"/>
        </w:rPr>
        <w:t>五、综合评价情况及评价结论</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通过开展绩效评价，促进部门从整体上提升预算绩效管理工作水平，强化部门支出责任，规范资金管理行为，提高财政资金使用效益，保障部门更好地履行职责，使财政资金通过部门行使其职能，服务社会、群众变得更有效益和效率。</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643" w:firstLineChars="200"/>
        <w:textAlignment w:val="auto"/>
        <w:rPr>
          <w:rFonts w:hint="eastAsia" w:ascii="宋体" w:hAnsi="宋体" w:cs="宋体"/>
          <w:b/>
          <w:bCs/>
          <w:sz w:val="32"/>
          <w:szCs w:val="32"/>
        </w:rPr>
      </w:pPr>
      <w:r>
        <w:rPr>
          <w:rFonts w:hint="eastAsia" w:ascii="宋体" w:hAnsi="宋体" w:cs="宋体"/>
          <w:b/>
          <w:bCs/>
          <w:sz w:val="32"/>
          <w:szCs w:val="32"/>
        </w:rPr>
        <w:t>六、主要经验做法、存在的问题及原因分析</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1.预算编制工作有待细化。预算编制的合理性需要提高，预算执行力度还要进一步加强。</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2.公用经费控制有一定难度，基本为刚性支出。</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3.对财会专业知识了解的人才不足。</w:t>
      </w:r>
    </w:p>
    <w:p>
      <w:pPr>
        <w:pStyle w:val="2"/>
        <w:keepNext w:val="0"/>
        <w:keepLines w:val="0"/>
        <w:pageBreakBefore w:val="0"/>
        <w:widowControl/>
        <w:numPr>
          <w:ilvl w:val="0"/>
          <w:numId w:val="0"/>
        </w:numPr>
        <w:kinsoku/>
        <w:wordWrap/>
        <w:overflowPunct/>
        <w:topLinePunct w:val="0"/>
        <w:autoSpaceDE/>
        <w:autoSpaceDN/>
        <w:bidi w:val="0"/>
        <w:adjustRightInd/>
        <w:snapToGrid/>
        <w:spacing w:before="120" w:beforeLines="0" w:beforeAutospacing="0" w:after="120" w:afterLines="0" w:afterAutospacing="0" w:line="500" w:lineRule="atLeast"/>
        <w:ind w:firstLine="643" w:firstLineChars="200"/>
        <w:textAlignment w:val="auto"/>
        <w:rPr>
          <w:rFonts w:hint="eastAsia" w:ascii="宋体" w:hAnsi="宋体" w:cs="宋体"/>
          <w:b/>
          <w:bCs/>
          <w:sz w:val="32"/>
          <w:szCs w:val="32"/>
        </w:rPr>
      </w:pPr>
      <w:r>
        <w:rPr>
          <w:rFonts w:hint="eastAsia" w:ascii="宋体" w:hAnsi="宋体" w:cs="宋体"/>
          <w:b/>
          <w:bCs/>
          <w:sz w:val="32"/>
          <w:szCs w:val="32"/>
        </w:rPr>
        <w:t>七、</w:t>
      </w:r>
      <w:r>
        <w:rPr>
          <w:rFonts w:hint="eastAsia" w:ascii="宋体" w:hAnsi="宋体" w:cs="宋体"/>
          <w:b/>
          <w:bCs/>
          <w:color w:val="444444"/>
          <w:sz w:val="32"/>
          <w:szCs w:val="32"/>
          <w:shd w:val="clear" w:color="auto" w:fill="FFFFFF"/>
        </w:rPr>
        <w:t>下一步改进措施</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针对上述存在的问题及对外整体支出管理工作的需要，拟实施的改进措施如下：</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1.细化预算编制工作，认真做好预算的编制。</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2.加强财务管理，严格财务审核。</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3.完善资产管理，抓好经费控制。</w:t>
      </w:r>
    </w:p>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r>
        <w:rPr>
          <w:rFonts w:hint="eastAsia" w:ascii="宋体" w:hAnsi="宋体" w:cs="宋体"/>
          <w:sz w:val="28"/>
          <w:szCs w:val="28"/>
        </w:rPr>
        <w:t>4、对相关人员加强培训，规范部门预算收支核算，切实提高部门预算收支管理水平。</w:t>
      </w:r>
    </w:p>
    <w:p>
      <w:pPr>
        <w:spacing w:beforeLines="0" w:afterLines="0" w:line="600" w:lineRule="exact"/>
        <w:rPr>
          <w:rFonts w:hint="eastAsia" w:ascii="宋体" w:hAnsi="宋体" w:cs="宋体"/>
          <w:kern w:val="0"/>
          <w:sz w:val="28"/>
          <w:szCs w:val="28"/>
        </w:rPr>
      </w:pPr>
      <w:r>
        <w:rPr>
          <w:rFonts w:hint="eastAsia" w:ascii="宋体" w:hAnsi="宋体" w:cs="宋体"/>
          <w:kern w:val="0"/>
          <w:sz w:val="28"/>
          <w:szCs w:val="28"/>
        </w:rPr>
        <w:t>附件1</w:t>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r>
        <w:rPr>
          <w:rFonts w:hint="eastAsia" w:ascii="宋体" w:hAnsi="宋体" w:cs="宋体"/>
          <w:kern w:val="0"/>
          <w:sz w:val="28"/>
          <w:szCs w:val="28"/>
        </w:rPr>
        <w:tab/>
      </w:r>
    </w:p>
    <w:p>
      <w:pPr>
        <w:spacing w:beforeLines="0" w:afterLines="0" w:line="600" w:lineRule="exact"/>
        <w:jc w:val="center"/>
        <w:rPr>
          <w:rFonts w:hint="eastAsia" w:ascii="宋体" w:hAnsi="宋体" w:cs="宋体"/>
          <w:kern w:val="0"/>
          <w:sz w:val="28"/>
          <w:szCs w:val="28"/>
        </w:rPr>
      </w:pPr>
      <w:r>
        <w:rPr>
          <w:rFonts w:hint="eastAsia" w:ascii="宋体" w:hAnsi="宋体" w:cs="宋体"/>
          <w:kern w:val="0"/>
          <w:sz w:val="28"/>
          <w:szCs w:val="28"/>
        </w:rPr>
        <w:t>部门整体支出绩效评价指标评分表</w:t>
      </w:r>
    </w:p>
    <w:tbl>
      <w:tblPr>
        <w:tblStyle w:val="3"/>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一级指标</w:t>
            </w:r>
          </w:p>
        </w:tc>
        <w:tc>
          <w:tcPr>
            <w:tcW w:w="42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二级指标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分值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三级   指标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分值</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评价标准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备注</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b/>
                <w:kern w:val="0"/>
                <w:sz w:val="18"/>
                <w:szCs w:val="18"/>
              </w:rPr>
            </w:pPr>
            <w:r>
              <w:rPr>
                <w:rFonts w:hint="eastAsia" w:ascii="宋体" w:hAnsi="宋体" w:cs="宋体"/>
                <w:b/>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投    入</w:t>
            </w: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预算配置</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18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“三公经费”</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变动率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3</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“三公经费”变动率≤0,计3分；“三公经费”＞0，每超过一个百分点扣0.3分，扣完为止。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“三公经费”变动率=[（本年度“三公经费”总额-上年度“三公经费”总额）/上年度“三公经费”总额]×100%。</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“三公经费”：指政府部门人员因公出国（境）经费、公务车购置及运行费、公务招待费产生的消费。</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“三公经费”   管理</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3</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①招待费用明确招待标准和招待人数,1分;②车辆维护、燃油使用政府定点，1分。③制定“三公经费”管理办法，1分，每少一项扣1分，扣完为止。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公务</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招待费变动率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“公务招待费”变动率≤0,计2分；“公务招待费变动率”＞0，每超过一个百分点扣0.2分，扣完为止。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公务招待费变动率=[（本年度“公务招待费”总额-上年度“公务招待费”总额）/上年度“公务招待费”总额]×100%。</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公务用车购置</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运行费</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变动率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“公务用车购置运行费”变动率≤0,计2分；“公务用车购置运行费变动率”＞0，每超过一个百分点扣0.2分，扣完为止。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公务用车购置运行费变动率=[（本年度“公务用车购置运行费”总额-上年度“公务用车购置运行费”总额）/上年度“公务用车购置运行费”总额]×100%。</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商品 和服务支出 变动率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“商品和服务支出”变动率≤0,计2分；“商品和服务支出”变动率＞0，每超过一个百分点扣0.2分，扣完为止。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“商品和服务支出”变动率=[（本年度“商品和服务支出”总额-上年度“商品和服务支出”总额）/上年度“商品和服务支出”总额]×100%。</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重点  支出  安排率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重点支出安排率≥90%，计2分；80%（含）-90%，计1分；70%（含）-80%，计0.5分；低于70%不得分。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重点支出安排率=（重点项目支出/项目总支出）×100%</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重点项目支出：市政府确定的为民办实事和部门重点工程与重点工作支出。项目总支出：部门（单位）年度预算安排的项目支出总额。</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非税 收入 管理</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①实行收支两条线，1分；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②未发生截留、坐支或转移，1分。以上每发现一次违规现象扣1分，扣完为止。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非税 收入 完成率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非税收入完成率100%，2分，每少一个百分点，扣0.1分，扣完为止。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非税收入完成率=（2021年度非税实际收入完成数/2021年度非税收入预算数）×100%，有减免因素的，以非税局确定的为准。</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过    程</w:t>
            </w:r>
          </w:p>
          <w:p>
            <w:pPr>
              <w:widowControl/>
              <w:spacing w:beforeLines="0" w:afterLines="0"/>
              <w:ind w:left="113" w:right="113"/>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widowControl/>
              <w:spacing w:beforeLines="0" w:afterLines="0"/>
              <w:jc w:val="center"/>
              <w:rPr>
                <w:rFonts w:hint="eastAsia" w:ascii="宋体" w:hAnsi="宋体" w:cs="宋体"/>
                <w:kern w:val="0"/>
                <w:sz w:val="18"/>
                <w:szCs w:val="18"/>
              </w:rPr>
            </w:pPr>
          </w:p>
          <w:p>
            <w:pPr>
              <w:spacing w:beforeLines="0" w:afterLines="0"/>
              <w:jc w:val="center"/>
              <w:rPr>
                <w:rFonts w:hint="eastAsia" w:ascii="宋体" w:hAnsi="宋体" w:cs="宋体"/>
                <w:kern w:val="0"/>
                <w:sz w:val="18"/>
                <w:szCs w:val="18"/>
              </w:rPr>
            </w:pPr>
            <w:r>
              <w:rPr>
                <w:rFonts w:hint="eastAsia" w:ascii="宋体" w:hAnsi="宋体" w:cs="宋体"/>
                <w:kern w:val="0"/>
                <w:sz w:val="18"/>
                <w:szCs w:val="18"/>
              </w:rPr>
              <w:t>过      程</w:t>
            </w: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预算执行</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预算  完成率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完成率&lt;1，计2分，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完成率=1，计1分，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完成率&gt;1，不得分。</w:t>
            </w:r>
          </w:p>
          <w:p>
            <w:pPr>
              <w:widowControl/>
              <w:spacing w:beforeLines="0" w:afterLines="0"/>
              <w:jc w:val="left"/>
              <w:rPr>
                <w:rFonts w:hint="eastAsia" w:ascii="宋体" w:hAnsi="宋体" w:cs="宋体"/>
                <w:kern w:val="0"/>
                <w:sz w:val="18"/>
                <w:szCs w:val="18"/>
              </w:rPr>
            </w:pP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N w:val="0"/>
              <w:spacing w:beforeLines="0" w:afterLines="0"/>
              <w:jc w:val="left"/>
              <w:textAlignment w:val="center"/>
              <w:rPr>
                <w:rFonts w:hint="eastAsia" w:ascii="宋体" w:hAnsi="宋体" w:cs="宋体"/>
                <w:kern w:val="0"/>
                <w:sz w:val="18"/>
                <w:szCs w:val="18"/>
              </w:rPr>
            </w:pPr>
            <w:r>
              <w:rPr>
                <w:rFonts w:hint="eastAsia" w:ascii="宋体" w:hAnsi="宋体" w:cs="宋体"/>
                <w:kern w:val="0"/>
                <w:sz w:val="18"/>
                <w:szCs w:val="18"/>
              </w:rPr>
              <w:t>预算完成率=（预算完成数/预算数）×100%。预算完成数：部门（单位）本年度实际完成的预算数；预算数：财政部门批复的本年度部门（单位）预算数。</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资金  结余</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结余超过10%（不含），2分；结余在0-10%（含）的，1分；本年超支不得分。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本项结余不含未完工项目资金的结转数。</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“三公经费”</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控制率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以100%为标准。三公经费控制率≤100%，计2分；每超过一个百分点扣0.2分，扣完为止。单位没有制定“三公”经费预算，该项不得分。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“三公经费”控制率=（“三公经费”实际支出数/“三公经费”预算安排数）×100%。</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政府</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采购</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①编制政府采购年度预算并上报的，0.5分；②追加并编制政府采购预算的，0.5分；③政府采购执行率=100%，计1分；每少一个百分点扣0.1分，扣完为止。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政府采购执行率=（实际实行政府采购金额/应实行政府采购金额）×100%。应实行政府采金额以《湘财购[2012]27号》文件为标准。</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r>
              <w:rPr>
                <w:rFonts w:hint="eastAsia" w:ascii="宋体" w:hAnsi="宋体" w:cs="宋体"/>
                <w:kern w:val="0"/>
                <w:sz w:val="18"/>
                <w:szCs w:val="18"/>
              </w:rPr>
              <w:t>预算管理</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r>
              <w:rPr>
                <w:rFonts w:hint="eastAsia" w:ascii="宋体" w:hAnsi="宋体" w:cs="宋体"/>
                <w:kern w:val="0"/>
                <w:sz w:val="18"/>
                <w:szCs w:val="18"/>
              </w:rPr>
              <w:t>28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管理  制度</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健全性</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6</w:t>
            </w:r>
          </w:p>
          <w:p>
            <w:pPr>
              <w:widowControl/>
              <w:spacing w:beforeLines="0" w:afterLines="0"/>
              <w:rPr>
                <w:rFonts w:hint="eastAsia" w:ascii="宋体" w:hAnsi="宋体" w:cs="宋体"/>
                <w:kern w:val="0"/>
                <w:sz w:val="18"/>
                <w:szCs w:val="18"/>
              </w:rPr>
            </w:pP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①已制定资金管理办法、内部财务管理制度、会计核算制度等管理制度，1分；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②建立健全单位内部控制制度，1分；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③会计人员、机构按规定设置，1分；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④会计基础工作健全，1分；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⑤会计档案符合规定要求，1分；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⑥项目管理规范（包括项目立项、申报、招投标、制度建立、按时完工等），1分，每发现少一项扣0.2分，扣完为止。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6</w:t>
            </w:r>
          </w:p>
          <w:p>
            <w:pPr>
              <w:widowControl/>
              <w:spacing w:beforeLines="0" w:afterLine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s="宋体"/>
                <w:kern w:val="0"/>
                <w:sz w:val="18"/>
                <w:szCs w:val="18"/>
              </w:rPr>
            </w:pPr>
            <w:r>
              <w:rPr>
                <w:rFonts w:hint="eastAsia" w:ascii="宋体" w:hAnsi="宋体" w:cs="宋体"/>
                <w:kern w:val="0"/>
                <w:sz w:val="18"/>
                <w:szCs w:val="18"/>
              </w:rPr>
              <w:t>内控制度情况</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s="宋体"/>
                <w:kern w:val="0"/>
                <w:sz w:val="18"/>
                <w:szCs w:val="18"/>
              </w:rPr>
            </w:pPr>
            <w:r>
              <w:rPr>
                <w:rFonts w:hint="eastAsia" w:ascii="宋体" w:hAnsi="宋体" w:cs="宋体"/>
                <w:kern w:val="0"/>
                <w:sz w:val="18"/>
                <w:szCs w:val="18"/>
              </w:rPr>
              <w:t>4分</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cs="宋体"/>
                <w:kern w:val="0"/>
                <w:sz w:val="18"/>
                <w:szCs w:val="18"/>
              </w:rPr>
            </w:pPr>
            <w:r>
              <w:rPr>
                <w:rFonts w:hint="eastAsia" w:ascii="宋体" w:hAnsi="宋体" w:cs="宋体"/>
                <w:kern w:val="0"/>
                <w:sz w:val="18"/>
                <w:szCs w:val="18"/>
              </w:rPr>
              <w:t>内部控制制度完全执行，4分，执行过程中，某个环节（节点）执行不到位的，每个环节（节点）扣1分，扣完为止。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过程</w:t>
            </w: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资金  使用</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合规性</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14</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①支出符合国家财经法规和财务管理制度规定以及有关专项资金管理办法的规定；</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②资金（开支）拨付有完整的审批程序和手续；</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③支出符合部门预算批复的用途；</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④资金使用无截留、挤占、挪用、虚列支出、随意借用、大额现金支付等情况。</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⑤重大财务事项经由集体研究决策；</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⑥专项资金做到专款专用；</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⑦原始凭证的取得真实有效；</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⑧无超范围、超预算开支；</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⑨无超标准发放津补贴、奖金，无用公款支付应由个人支付的款项。</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以上情况每出现一例不符合要求的扣2分，扣完为止。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部门（单位）使用预算资金是否符合相关的预算财务管理制度的规定，用以反映和考核部门（单位）预算资金的规范运行情况。</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预决算信息公开性和完善性</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4</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预决算信息是指与部门预算、执行、决算、监督、绩效等管理相关的信息。</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资产管理</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管理  制度</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健全性</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①已制定资产管理制度，1分；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 xml:space="preserve">②相关资产管理制度得到有效执行，1分。                                           </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资产  管理</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安全性</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16</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 xml:space="preserve">①资产保存完整；②资产配置合理；③资产处置规范； </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以上情况每出现一例不符合要求的扣2分；⑨未按时报送2018年行政事业单位资产报表的，每延迟一天，扣1分，扣完为止。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部门（单位）的资产是否保存完整，使用合规、配置合理、处置规范、收入及时足额上缴，用以反映和考核部门（单位）资产安全运行情况。</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固定  资产</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利用率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固定资产利用率,100%,2分,每低于一个百分点扣0.2分，扣完为止。</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固定资产利用率=（实际在用固定资产总额/所有固定资产总额）×100%</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r>
              <w:rPr>
                <w:rFonts w:hint="eastAsia" w:ascii="宋体" w:hAnsi="宋体" w:cs="宋体"/>
                <w:kern w:val="0"/>
                <w:sz w:val="18"/>
                <w:szCs w:val="18"/>
              </w:rPr>
              <w:t>绩效管理</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17</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目标 管理</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8</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绩效 评价</w:t>
            </w:r>
          </w:p>
          <w:p>
            <w:pPr>
              <w:widowControl/>
              <w:spacing w:beforeLines="0" w:afterLines="0"/>
              <w:rPr>
                <w:rFonts w:hint="eastAsia" w:ascii="宋体" w:hAnsi="宋体" w:cs="宋体"/>
                <w:kern w:val="0"/>
                <w:sz w:val="18"/>
                <w:szCs w:val="18"/>
              </w:rPr>
            </w:pPr>
            <w:r>
              <w:rPr>
                <w:rFonts w:hint="eastAsia" w:ascii="宋体" w:hAnsi="宋体" w:cs="宋体"/>
                <w:kern w:val="0"/>
                <w:sz w:val="18"/>
                <w:szCs w:val="18"/>
              </w:rPr>
              <w:t>管理</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7</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p>
        </w:tc>
        <w:tc>
          <w:tcPr>
            <w:tcW w:w="567"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评价 结果 运用</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sz w:val="18"/>
                <w:szCs w:val="18"/>
              </w:rPr>
            </w:pPr>
            <w:r>
              <w:rPr>
                <w:rFonts w:hint="eastAsia" w:ascii="宋体" w:hAnsi="宋体" w:cs="宋体"/>
                <w:kern w:val="0"/>
                <w:sz w:val="18"/>
                <w:szCs w:val="18"/>
              </w:rPr>
              <w:t>根据2019年度财政重点绩效评价和单位自评情况，向财政报送整改结果并整改到位的，2分，否则不得分。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产   出</w:t>
            </w: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职责履行</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5</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重点　工作　完成率</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该项得分=重点工作完成率×2</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N w:val="0"/>
              <w:spacing w:beforeLines="0" w:afterLines="0"/>
              <w:jc w:val="left"/>
              <w:textAlignment w:val="center"/>
              <w:rPr>
                <w:rFonts w:hint="eastAsia" w:ascii="宋体" w:hAnsi="宋体" w:cs="宋体"/>
                <w:kern w:val="0"/>
                <w:sz w:val="18"/>
                <w:szCs w:val="18"/>
              </w:rPr>
            </w:pPr>
            <w:r>
              <w:rPr>
                <w:rFonts w:hint="eastAsia" w:ascii="宋体" w:hAnsi="宋体" w:cs="宋体"/>
                <w:kern w:val="0"/>
                <w:sz w:val="18"/>
                <w:szCs w:val="18"/>
              </w:rPr>
              <w:t>重点工作为市政府确定的为民办实事和部门重点工程与重点工作。</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s="宋体"/>
                <w:kern w:val="0"/>
                <w:sz w:val="18"/>
                <w:szCs w:val="18"/>
              </w:rPr>
            </w:pPr>
            <w:r>
              <w:rPr>
                <w:rFonts w:hint="eastAsia" w:ascii="宋体" w:hAnsi="宋体" w:cs="宋体"/>
                <w:kern w:val="0"/>
                <w:sz w:val="18"/>
                <w:szCs w:val="18"/>
              </w:rPr>
              <w:t>工作</w:t>
            </w:r>
          </w:p>
          <w:p>
            <w:pPr>
              <w:spacing w:beforeLines="0" w:afterLines="0"/>
              <w:rPr>
                <w:rFonts w:hint="eastAsia" w:ascii="宋体" w:hAnsi="宋体" w:cs="宋体"/>
                <w:kern w:val="0"/>
                <w:sz w:val="18"/>
                <w:szCs w:val="18"/>
              </w:rPr>
            </w:pPr>
            <w:r>
              <w:rPr>
                <w:rFonts w:hint="eastAsia" w:ascii="宋体" w:hAnsi="宋体" w:cs="宋体"/>
                <w:kern w:val="0"/>
                <w:sz w:val="18"/>
                <w:szCs w:val="18"/>
              </w:rPr>
              <w:t>质量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cs="宋体"/>
                <w:kern w:val="0"/>
                <w:sz w:val="18"/>
                <w:szCs w:val="18"/>
              </w:rPr>
            </w:pPr>
            <w:r>
              <w:rPr>
                <w:rFonts w:hint="eastAsia" w:ascii="宋体" w:hAnsi="宋体" w:cs="宋体"/>
                <w:kern w:val="0"/>
                <w:sz w:val="18"/>
                <w:szCs w:val="18"/>
              </w:rPr>
              <w:t>3</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宋体" w:hAnsi="宋体" w:cs="宋体"/>
                <w:kern w:val="0"/>
                <w:sz w:val="18"/>
                <w:szCs w:val="18"/>
              </w:rPr>
            </w:pPr>
            <w:r>
              <w:rPr>
                <w:rFonts w:hint="eastAsia" w:ascii="宋体" w:hAnsi="宋体" w:cs="宋体"/>
                <w:kern w:val="0"/>
                <w:sz w:val="18"/>
                <w:szCs w:val="18"/>
              </w:rPr>
              <w:t>以绩效考核评估结果为标准，优秀，计3分；良好，2分；合格，1分；不合格，0分。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autoSpaceDN w:val="0"/>
              <w:spacing w:beforeLines="0" w:afterLines="0"/>
              <w:jc w:val="left"/>
              <w:textAlignment w:val="center"/>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kern w:val="0"/>
                <w:sz w:val="18"/>
                <w:szCs w:val="18"/>
              </w:rPr>
            </w:pPr>
            <w:r>
              <w:rPr>
                <w:rFonts w:hint="eastAsia"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效  果</w:t>
            </w:r>
          </w:p>
        </w:tc>
        <w:tc>
          <w:tcPr>
            <w:tcW w:w="4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履职效益</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4</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经济  效益</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659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此三项指标可根据部门实际并结合2021年度部门整体支出绩效目标设立情况有选择的进行评价。</w:t>
            </w:r>
          </w:p>
        </w:tc>
        <w:tc>
          <w:tcPr>
            <w:tcW w:w="6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社会  效益</w:t>
            </w: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p>
        </w:tc>
        <w:tc>
          <w:tcPr>
            <w:tcW w:w="659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生态  效益</w:t>
            </w: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p>
        </w:tc>
        <w:tc>
          <w:tcPr>
            <w:tcW w:w="659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p>
        </w:tc>
        <w:tc>
          <w:tcPr>
            <w:tcW w:w="6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4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社会公众或服务对象满意度</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rFonts w:hint="eastAsia" w:ascii="宋体" w:hAnsi="宋体" w:cs="宋体"/>
                <w:kern w:val="0"/>
                <w:sz w:val="18"/>
                <w:szCs w:val="18"/>
              </w:rPr>
            </w:pPr>
            <w:r>
              <w:rPr>
                <w:rFonts w:hint="eastAsia" w:ascii="宋体" w:hAnsi="宋体" w:cs="宋体"/>
                <w:kern w:val="0"/>
                <w:sz w:val="18"/>
                <w:szCs w:val="18"/>
              </w:rPr>
              <w:t>2</w:t>
            </w:r>
          </w:p>
        </w:tc>
        <w:tc>
          <w:tcPr>
            <w:tcW w:w="31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90%（含）以上计2分；</w:t>
            </w:r>
          </w:p>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80%（含）-90%，计1分；70%（含）-80%，计0.5分；低于70%,计0分。</w:t>
            </w:r>
          </w:p>
        </w:tc>
        <w:tc>
          <w:tcPr>
            <w:tcW w:w="34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宋体" w:hAnsi="宋体" w:cs="宋体"/>
                <w:kern w:val="0"/>
                <w:sz w:val="18"/>
                <w:szCs w:val="18"/>
              </w:rPr>
            </w:pPr>
            <w:r>
              <w:rPr>
                <w:rFonts w:hint="eastAsia" w:ascii="宋体" w:hAnsi="宋体" w:cs="宋体"/>
                <w:kern w:val="0"/>
                <w:sz w:val="18"/>
                <w:szCs w:val="18"/>
              </w:rPr>
              <w:t>社会公众或服务对象是指部门（单位）履行职责而影响到的部门，群体或个人，一般采取社会调查的方式(不少于30份)。</w:t>
            </w: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r>
              <w:rPr>
                <w:rFonts w:hint="eastAsia" w:ascii="宋体" w:hAnsi="宋体" w:cs="宋体"/>
                <w:kern w:val="0"/>
                <w:sz w:val="18"/>
                <w:szCs w:val="18"/>
              </w:rPr>
              <w:t>合计</w:t>
            </w:r>
          </w:p>
        </w:tc>
        <w:tc>
          <w:tcPr>
            <w:tcW w:w="857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8</w:t>
            </w:r>
            <w:r>
              <w:rPr>
                <w:rFonts w:hint="eastAsia" w:ascii="宋体" w:hAnsi="宋体" w:cs="宋体"/>
                <w:kern w:val="0"/>
                <w:sz w:val="18"/>
                <w:szCs w:val="18"/>
                <w:lang w:val="en-US" w:eastAsia="zh-CN"/>
              </w:rPr>
              <w:t>5</w:t>
            </w:r>
          </w:p>
          <w:p>
            <w:pPr>
              <w:widowControl/>
              <w:spacing w:beforeLines="0" w:afterLines="0"/>
              <w:jc w:val="left"/>
              <w:rPr>
                <w:rFonts w:hint="eastAsia" w:ascii="宋体" w:hAnsi="宋体" w:cs="宋体"/>
                <w:kern w:val="0"/>
                <w:sz w:val="18"/>
                <w:szCs w:val="18"/>
              </w:rPr>
            </w:pPr>
          </w:p>
        </w:tc>
        <w:tc>
          <w:tcPr>
            <w:tcW w:w="61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cs="宋体"/>
                <w:kern w:val="0"/>
                <w:sz w:val="18"/>
                <w:szCs w:val="18"/>
              </w:rPr>
            </w:pPr>
          </w:p>
        </w:tc>
      </w:tr>
    </w:tbl>
    <w:p>
      <w:pPr>
        <w:keepNext w:val="0"/>
        <w:keepLines w:val="0"/>
        <w:pageBreakBefore w:val="0"/>
        <w:numPr>
          <w:ilvl w:val="0"/>
          <w:numId w:val="0"/>
        </w:numPr>
        <w:kinsoku/>
        <w:wordWrap/>
        <w:overflowPunct/>
        <w:topLinePunct w:val="0"/>
        <w:autoSpaceDE/>
        <w:autoSpaceDN/>
        <w:bidi w:val="0"/>
        <w:adjustRightInd/>
        <w:snapToGrid/>
        <w:spacing w:before="120" w:beforeLines="0" w:after="120" w:afterLines="0" w:line="500" w:lineRule="atLeast"/>
        <w:ind w:firstLine="560" w:firstLineChars="200"/>
        <w:textAlignment w:val="auto"/>
        <w:rPr>
          <w:rFonts w:hint="eastAsia" w:ascii="宋体" w:hAnsi="宋体" w:cs="宋体"/>
          <w:sz w:val="28"/>
          <w:szCs w:val="28"/>
        </w:rPr>
      </w:pPr>
      <w:bookmarkStart w:id="1" w:name="_GoBack"/>
      <w:bookmarkEnd w:id="1"/>
    </w:p>
    <w:p>
      <w:pPr>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eastAsia" w:ascii="宋体" w:hAnsi="宋体" w:cs="宋体"/>
          <w:kern w:val="0"/>
          <w:sz w:val="24"/>
          <w:szCs w:val="24"/>
        </w:rPr>
      </w:pPr>
    </w:p>
    <w:p>
      <w:pPr>
        <w:keepNext w:val="0"/>
        <w:keepLines w:val="0"/>
        <w:pageBreakBefore w:val="0"/>
        <w:kinsoku/>
        <w:wordWrap/>
        <w:overflowPunct/>
        <w:topLinePunct w:val="0"/>
        <w:autoSpaceDE/>
        <w:autoSpaceDN/>
        <w:bidi w:val="0"/>
        <w:adjustRightInd/>
        <w:snapToGrid/>
        <w:spacing w:beforeLines="0" w:afterLines="0" w:line="500" w:lineRule="atLeast"/>
        <w:textAlignment w:val="auto"/>
        <w:rPr>
          <w:rFonts w:hint="eastAsia" w:ascii="宋体" w:hAnsi="宋体" w:cs="宋体"/>
          <w:kern w:val="0"/>
          <w:sz w:val="24"/>
          <w:szCs w:val="24"/>
        </w:rPr>
      </w:pPr>
    </w:p>
    <w:bookmarkEnd w:id="0"/>
    <w:p>
      <w:pPr>
        <w:keepNext w:val="0"/>
        <w:keepLines w:val="0"/>
        <w:pageBreakBefore w:val="0"/>
        <w:kinsoku/>
        <w:wordWrap/>
        <w:overflowPunct/>
        <w:topLinePunct w:val="0"/>
        <w:autoSpaceDE/>
        <w:autoSpaceDN/>
        <w:bidi w:val="0"/>
        <w:adjustRightInd/>
        <w:snapToGrid/>
        <w:spacing w:line="500" w:lineRule="atLeast"/>
        <w:textAlignment w:val="auto"/>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EBE24"/>
    <w:multiLevelType w:val="multilevel"/>
    <w:tmpl w:val="E88EBE24"/>
    <w:lvl w:ilvl="0" w:tentative="0">
      <w:start w:val="4"/>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172A27"/>
    <w:rsid w:val="1D91569D"/>
    <w:rsid w:val="2D816426"/>
    <w:rsid w:val="3A414408"/>
    <w:rsid w:val="4AF36AC9"/>
    <w:rsid w:val="77CC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style01"/>
    <w:basedOn w:val="4"/>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5272</Words>
  <Characters>5510</Characters>
  <Lines>0</Lines>
  <Paragraphs>0</Paragraphs>
  <TotalTime>0</TotalTime>
  <ScaleCrop>false</ScaleCrop>
  <LinksUpToDate>false</LinksUpToDate>
  <CharactersWithSpaces>5749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2022-10-22T05:43:00Z</dcterms:created>
  <dc:creator>WPS_1652790622</dc:creator>
  <cp:lastModifiedBy>Administrator</cp:lastModifiedBy>
  <cp:lastPrinted>2023-10-09T05:43:00Z</cp:lastPrinted>
  <dcterms:modified xsi:type="dcterms:W3CDTF">2023-12-13T10:12:36Z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67790012388B428DAC5D3A0CEA5D3507_13</vt:lpwstr>
  </property>
</Properties>
</file>