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val="en-US" w:eastAsia="zh-CN"/>
        </w:rPr>
        <w:t>北塔区田江小学</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lang w:val="en-US" w:eastAsia="zh-CN"/>
        </w:rPr>
      </w:pPr>
      <w:r>
        <w:rPr>
          <w:rFonts w:hint="eastAsia" w:asciiTheme="minorEastAsia" w:hAnsiTheme="minorEastAsia" w:eastAsiaTheme="minorEastAsia" w:cstheme="minorEastAsia"/>
          <w:color w:val="444444"/>
          <w:kern w:val="0"/>
          <w:sz w:val="28"/>
          <w:szCs w:val="28"/>
          <w:shd w:val="clear" w:fill="FFFFFF"/>
          <w:lang w:eastAsia="zh-CN"/>
        </w:rPr>
        <w:t>北塔区</w:t>
      </w:r>
      <w:r>
        <w:rPr>
          <w:rFonts w:hint="eastAsia" w:asciiTheme="minorEastAsia" w:hAnsiTheme="minorEastAsia" w:cstheme="minorEastAsia"/>
          <w:color w:val="444444"/>
          <w:kern w:val="0"/>
          <w:sz w:val="28"/>
          <w:szCs w:val="28"/>
          <w:shd w:val="clear" w:fill="FFFFFF"/>
          <w:lang w:val="en-US" w:eastAsia="zh-CN"/>
        </w:rPr>
        <w:t>田江</w:t>
      </w:r>
      <w:r>
        <w:rPr>
          <w:rFonts w:hint="eastAsia" w:asciiTheme="minorEastAsia" w:hAnsiTheme="minorEastAsia" w:eastAsiaTheme="minorEastAsia" w:cstheme="minorEastAsia"/>
          <w:color w:val="444444"/>
          <w:kern w:val="0"/>
          <w:sz w:val="28"/>
          <w:szCs w:val="28"/>
          <w:shd w:val="clear" w:fill="FFFFFF"/>
          <w:lang w:eastAsia="zh-CN"/>
        </w:rPr>
        <w:t>小学是一所六年制完全小学，隶属北塔区教育局。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1．主要职能。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实施小学义务教育，促进基础教育发展；小学学历教育。</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机构情况。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560" w:firstLineChars="20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本单位设置校长处、教导处、后勤处、大队部。</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人员情况。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Theme="minorEastAsia" w:hAnsiTheme="minorEastAsia" w:eastAsiaTheme="minorEastAsia" w:cstheme="minorEastAsia"/>
          <w:color w:val="444444"/>
          <w:kern w:val="0"/>
          <w:sz w:val="28"/>
          <w:szCs w:val="28"/>
          <w:shd w:val="clear" w:fill="FFFFFF"/>
          <w:lang w:val="en-US" w:eastAsia="zh-CN"/>
        </w:rPr>
      </w:pPr>
      <w:r>
        <w:rPr>
          <w:rFonts w:hint="eastAsia" w:asciiTheme="minorEastAsia" w:hAnsiTheme="minorEastAsia" w:eastAsiaTheme="minorEastAsia" w:cstheme="minorEastAsia"/>
          <w:color w:val="444444"/>
          <w:kern w:val="0"/>
          <w:sz w:val="28"/>
          <w:szCs w:val="28"/>
          <w:shd w:val="clear" w:fill="FFFFFF"/>
          <w:lang w:val="en-US" w:eastAsia="zh-CN"/>
        </w:rPr>
        <w:t xml:space="preserve">    本单位含事业编制人员</w:t>
      </w:r>
      <w:r>
        <w:rPr>
          <w:rFonts w:hint="eastAsia" w:asciiTheme="minorEastAsia" w:hAnsiTheme="minorEastAsia" w:cstheme="minorEastAsia"/>
          <w:color w:val="444444"/>
          <w:kern w:val="0"/>
          <w:sz w:val="28"/>
          <w:szCs w:val="28"/>
          <w:shd w:val="clear" w:fill="FFFFFF"/>
          <w:lang w:val="en-US" w:eastAsia="zh-CN"/>
        </w:rPr>
        <w:t>10</w:t>
      </w:r>
      <w:r>
        <w:rPr>
          <w:rFonts w:hint="eastAsia" w:asciiTheme="minorEastAsia" w:hAnsiTheme="minorEastAsia" w:eastAsiaTheme="minorEastAsia" w:cstheme="minorEastAsia"/>
          <w:color w:val="444444"/>
          <w:kern w:val="0"/>
          <w:sz w:val="28"/>
          <w:szCs w:val="28"/>
          <w:shd w:val="clear" w:fill="FFFFFF"/>
          <w:lang w:val="en-US" w:eastAsia="zh-CN"/>
        </w:rPr>
        <w:t>人，临聘人员2人，退休人员</w:t>
      </w:r>
      <w:r>
        <w:rPr>
          <w:rFonts w:hint="eastAsia" w:asciiTheme="minorEastAsia" w:hAnsiTheme="minorEastAsia" w:cstheme="minorEastAsia"/>
          <w:color w:val="444444"/>
          <w:kern w:val="0"/>
          <w:sz w:val="28"/>
          <w:szCs w:val="28"/>
          <w:shd w:val="clear" w:fill="FFFFFF"/>
          <w:lang w:val="en-US" w:eastAsia="zh-CN"/>
        </w:rPr>
        <w:t>12</w:t>
      </w:r>
      <w:r>
        <w:rPr>
          <w:rFonts w:hint="eastAsia" w:asciiTheme="minorEastAsia" w:hAnsiTheme="minorEastAsia" w:eastAsiaTheme="minorEastAsia" w:cstheme="minorEastAsia"/>
          <w:color w:val="444444"/>
          <w:kern w:val="0"/>
          <w:sz w:val="28"/>
          <w:szCs w:val="28"/>
          <w:shd w:val="clear" w:fill="FFFFFF"/>
          <w:lang w:val="en-US" w:eastAsia="zh-CN"/>
        </w:rPr>
        <w:t>人。</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部门整体支出管理及使用情况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基本支出系保障我</w:t>
      </w:r>
      <w:r>
        <w:rPr>
          <w:rFonts w:hint="eastAsia" w:asciiTheme="minorEastAsia" w:hAnsiTheme="minorEastAsia" w:eastAsiaTheme="minorEastAsia" w:cstheme="minorEastAsia"/>
          <w:color w:val="444444"/>
          <w:kern w:val="0"/>
          <w:sz w:val="28"/>
          <w:szCs w:val="28"/>
          <w:shd w:val="clear" w:fill="FFFFFF"/>
          <w:lang w:eastAsia="zh-CN"/>
        </w:rPr>
        <w:t>单位</w:t>
      </w:r>
      <w:r>
        <w:rPr>
          <w:rFonts w:hint="eastAsia" w:asciiTheme="minorEastAsia" w:hAnsiTheme="minorEastAsia" w:eastAsiaTheme="minorEastAsia" w:cstheme="minorEastAsia"/>
          <w:color w:val="444444"/>
          <w:kern w:val="0"/>
          <w:sz w:val="28"/>
          <w:szCs w:val="28"/>
          <w:shd w:val="clear" w:fill="FFFFFF"/>
        </w:rPr>
        <w:t>机构正常运转、完成日常工作任务而发生的人员支出和公用支出，包括用于在职和离退休人员基本工资、津贴补贴等人员经费以及办公费、印刷费、水电费、办公设备购置等日常公用经费。202</w:t>
      </w:r>
      <w:r>
        <w:rPr>
          <w:rFonts w:hint="eastAsia" w:asciiTheme="minorEastAsia" w:hAnsiTheme="minorEastAsia" w:cstheme="minorEastAsia"/>
          <w:color w:val="444444"/>
          <w:kern w:val="0"/>
          <w:sz w:val="28"/>
          <w:szCs w:val="28"/>
          <w:shd w:val="clear" w:fill="FFFFFF"/>
          <w:lang w:val="en-US" w:eastAsia="zh-CN"/>
        </w:rPr>
        <w:t>2</w:t>
      </w:r>
      <w:r>
        <w:rPr>
          <w:rFonts w:hint="eastAsia" w:asciiTheme="minorEastAsia" w:hAnsiTheme="minorEastAsia" w:eastAsiaTheme="minorEastAsia" w:cstheme="minorEastAsia"/>
          <w:color w:val="444444"/>
          <w:kern w:val="0"/>
          <w:sz w:val="28"/>
          <w:szCs w:val="28"/>
          <w:shd w:val="clear" w:fill="FFFFFF"/>
        </w:rPr>
        <w:t>年我</w:t>
      </w:r>
      <w:r>
        <w:rPr>
          <w:rFonts w:hint="eastAsia" w:asciiTheme="minorEastAsia" w:hAnsiTheme="minorEastAsia" w:eastAsiaTheme="minorEastAsia" w:cstheme="minorEastAsia"/>
          <w:color w:val="444444"/>
          <w:kern w:val="0"/>
          <w:sz w:val="28"/>
          <w:szCs w:val="28"/>
          <w:shd w:val="clear" w:fill="FFFFFF"/>
          <w:lang w:eastAsia="zh-CN"/>
        </w:rPr>
        <w:t>单位</w:t>
      </w:r>
      <w:r>
        <w:rPr>
          <w:rFonts w:hint="eastAsia" w:asciiTheme="minorEastAsia" w:hAnsiTheme="minorEastAsia" w:eastAsiaTheme="minorEastAsia" w:cstheme="minorEastAsia"/>
          <w:color w:val="444444"/>
          <w:kern w:val="0"/>
          <w:sz w:val="28"/>
          <w:szCs w:val="28"/>
          <w:shd w:val="clear" w:fill="FFFFFF"/>
        </w:rPr>
        <w:t>基本支出</w:t>
      </w:r>
      <w:r>
        <w:rPr>
          <w:rFonts w:hint="eastAsia" w:asciiTheme="minorEastAsia" w:hAnsiTheme="minorEastAsia" w:cstheme="minorEastAsia"/>
          <w:color w:val="444444"/>
          <w:kern w:val="0"/>
          <w:sz w:val="28"/>
          <w:szCs w:val="28"/>
          <w:shd w:val="clear" w:fill="FFFFFF"/>
          <w:lang w:val="en-US" w:eastAsia="zh-CN"/>
        </w:rPr>
        <w:t>117.34</w:t>
      </w:r>
      <w:r>
        <w:rPr>
          <w:rFonts w:hint="eastAsia" w:asciiTheme="minorEastAsia" w:hAnsiTheme="minorEastAsia" w:eastAsiaTheme="minorEastAsia" w:cstheme="minorEastAsia"/>
          <w:color w:val="444444"/>
          <w:kern w:val="0"/>
          <w:sz w:val="28"/>
          <w:szCs w:val="28"/>
          <w:shd w:val="clear" w:fill="FFFFFF"/>
        </w:rPr>
        <w:t>万元。其中：工资福利支出</w:t>
      </w:r>
      <w:r>
        <w:rPr>
          <w:rFonts w:hint="eastAsia" w:asciiTheme="minorEastAsia" w:hAnsiTheme="minorEastAsia" w:cstheme="minorEastAsia"/>
          <w:color w:val="444444"/>
          <w:kern w:val="0"/>
          <w:sz w:val="28"/>
          <w:szCs w:val="28"/>
          <w:shd w:val="clear" w:fill="FFFFFF"/>
          <w:lang w:val="en-US" w:eastAsia="zh-CN"/>
        </w:rPr>
        <w:t>106.87</w:t>
      </w:r>
      <w:r>
        <w:rPr>
          <w:rFonts w:hint="eastAsia" w:asciiTheme="minorEastAsia" w:hAnsiTheme="minorEastAsia" w:eastAsiaTheme="minorEastAsia" w:cstheme="minorEastAsia"/>
          <w:color w:val="444444"/>
          <w:kern w:val="0"/>
          <w:sz w:val="28"/>
          <w:szCs w:val="28"/>
          <w:shd w:val="clear" w:fill="FFFFFF"/>
        </w:rPr>
        <w:t>万元，商品和服务支出</w:t>
      </w:r>
      <w:r>
        <w:rPr>
          <w:rFonts w:hint="eastAsia" w:asciiTheme="minorEastAsia" w:hAnsiTheme="minorEastAsia" w:cstheme="minorEastAsia"/>
          <w:color w:val="444444"/>
          <w:kern w:val="0"/>
          <w:sz w:val="28"/>
          <w:szCs w:val="28"/>
          <w:shd w:val="clear" w:fill="FFFFFF"/>
          <w:lang w:val="en-US" w:eastAsia="zh-CN"/>
        </w:rPr>
        <w:t>3.97</w:t>
      </w:r>
      <w:r>
        <w:rPr>
          <w:rFonts w:hint="eastAsia" w:asciiTheme="minorEastAsia" w:hAnsiTheme="minorEastAsia" w:eastAsiaTheme="minorEastAsia" w:cstheme="minorEastAsia"/>
          <w:color w:val="444444"/>
          <w:kern w:val="0"/>
          <w:sz w:val="28"/>
          <w:szCs w:val="28"/>
          <w:shd w:val="clear" w:fill="FFFFFF"/>
        </w:rPr>
        <w:t>万元，对个人和家庭的补助</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万元，资本性支出</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202</w:t>
      </w:r>
      <w:r>
        <w:rPr>
          <w:rFonts w:hint="eastAsia" w:asciiTheme="minorEastAsia" w:hAnsiTheme="minorEastAsia" w:cstheme="minorEastAsia"/>
          <w:color w:val="444444"/>
          <w:kern w:val="0"/>
          <w:sz w:val="28"/>
          <w:szCs w:val="28"/>
          <w:shd w:val="clear" w:fill="FFFFFF"/>
          <w:lang w:val="en-US" w:eastAsia="zh-CN"/>
        </w:rPr>
        <w:t>2</w:t>
      </w:r>
      <w:r>
        <w:rPr>
          <w:rFonts w:hint="eastAsia" w:asciiTheme="minorEastAsia" w:hAnsiTheme="minorEastAsia" w:eastAsiaTheme="minorEastAsia" w:cstheme="minorEastAsia"/>
          <w:color w:val="444444"/>
          <w:kern w:val="0"/>
          <w:sz w:val="28"/>
          <w:szCs w:val="28"/>
          <w:shd w:val="clear" w:fill="FFFFFF"/>
        </w:rPr>
        <w:t>年“三公”经费实际开支总额</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万元。其中：因公出国（境）费支出本年未发生。公务用车购置及运行维护费实际开支</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万元（公务用车购置费未发生，公务用车运行维护费</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万元），公务用车保有量</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辆；公务接待费实际开支</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万元，公务接待</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批次</w:t>
      </w:r>
      <w:r>
        <w:rPr>
          <w:rFonts w:hint="eastAsia" w:asciiTheme="minorEastAsia" w:hAnsiTheme="minorEastAsia" w:eastAsiaTheme="minorEastAsia" w:cstheme="minorEastAsia"/>
          <w:color w:val="444444"/>
          <w:kern w:val="0"/>
          <w:sz w:val="28"/>
          <w:szCs w:val="28"/>
          <w:shd w:val="clear" w:fill="FFFFFF"/>
          <w:lang w:val="en-US" w:eastAsia="zh-CN"/>
        </w:rPr>
        <w:t>0</w:t>
      </w:r>
      <w:r>
        <w:rPr>
          <w:rFonts w:hint="eastAsia" w:asciiTheme="minorEastAsia" w:hAnsiTheme="minorEastAsia" w:eastAsiaTheme="minorEastAsia" w:cstheme="minorEastAsia"/>
          <w:color w:val="444444"/>
          <w:kern w:val="0"/>
          <w:sz w:val="28"/>
          <w:szCs w:val="28"/>
          <w:shd w:val="clear" w:fill="FFFFFF"/>
        </w:rPr>
        <w:t>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（二）专项支出</w:t>
      </w:r>
    </w:p>
    <w:p>
      <w:pPr>
        <w:spacing w:line="480" w:lineRule="auto"/>
        <w:ind w:firstLine="560"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Theme="minorEastAsia" w:hAnsiTheme="minorEastAsia" w:cstheme="minorEastAsia"/>
          <w:color w:val="444444"/>
          <w:kern w:val="0"/>
          <w:sz w:val="28"/>
          <w:szCs w:val="28"/>
          <w:shd w:val="clear" w:fill="FFFFFF"/>
          <w:lang w:val="en-US" w:eastAsia="zh-CN"/>
        </w:rPr>
        <w:t>2022年度无专项费用支出</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444444"/>
          <w:kern w:val="0"/>
          <w:sz w:val="28"/>
          <w:szCs w:val="28"/>
          <w:shd w:val="clear" w:fill="FFFFFF"/>
        </w:rPr>
        <w:t>202</w:t>
      </w:r>
      <w:r>
        <w:rPr>
          <w:rFonts w:hint="eastAsia" w:asciiTheme="minorEastAsia" w:hAnsiTheme="minorEastAsia" w:cstheme="minorEastAsia"/>
          <w:color w:val="444444"/>
          <w:kern w:val="0"/>
          <w:sz w:val="28"/>
          <w:szCs w:val="28"/>
          <w:shd w:val="clear" w:fill="FFFFFF"/>
          <w:lang w:val="en-US" w:eastAsia="zh-CN"/>
        </w:rPr>
        <w:t>2</w:t>
      </w:r>
      <w:r>
        <w:rPr>
          <w:rFonts w:hint="eastAsia" w:asciiTheme="minorEastAsia" w:hAnsiTheme="minorEastAsia" w:eastAsiaTheme="minorEastAsia" w:cstheme="minorEastAsia"/>
          <w:color w:val="444444"/>
          <w:kern w:val="0"/>
          <w:sz w:val="28"/>
          <w:szCs w:val="28"/>
          <w:shd w:val="clear" w:fill="FFFFFF"/>
        </w:rPr>
        <w:t>年，我</w:t>
      </w:r>
      <w:r>
        <w:rPr>
          <w:rFonts w:hint="eastAsia" w:asciiTheme="minorEastAsia" w:hAnsiTheme="minorEastAsia" w:cstheme="minorEastAsia"/>
          <w:color w:val="444444"/>
          <w:kern w:val="0"/>
          <w:sz w:val="28"/>
          <w:szCs w:val="28"/>
          <w:shd w:val="clear" w:fill="FFFFFF"/>
          <w:lang w:eastAsia="zh-CN"/>
        </w:rPr>
        <w:t>单位</w:t>
      </w:r>
      <w:r>
        <w:rPr>
          <w:rFonts w:hint="eastAsia" w:asciiTheme="minorEastAsia" w:hAnsiTheme="minorEastAsia" w:eastAsiaTheme="minorEastAsia" w:cstheme="minorEastAsia"/>
          <w:color w:val="444444"/>
          <w:kern w:val="0"/>
          <w:sz w:val="28"/>
          <w:szCs w:val="28"/>
          <w:shd w:val="clear" w:fill="FFFFFF"/>
        </w:rPr>
        <w:t>充分履行职责职能，严格执行各项管理制度，经济、社会等效益显著、社会公众满意度上升，较好地完成了全年工作目标。</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w:t>
      </w:r>
      <w:r>
        <w:rPr>
          <w:rFonts w:hint="eastAsia" w:ascii="宋体" w:hAnsi="宋体" w:eastAsia="宋体" w:cs="宋体"/>
          <w:i w:val="0"/>
          <w:iCs w:val="0"/>
          <w:caps w:val="0"/>
          <w:color w:val="000000"/>
          <w:spacing w:val="0"/>
          <w:sz w:val="32"/>
          <w:szCs w:val="32"/>
          <w:lang w:val="en-US" w:eastAsia="zh-CN"/>
        </w:rPr>
        <w:t>117.34</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万元，预算安排数107.95万元，预算执行率为108.69%，当年预算有超支9.39万元；⑵公用经费预算1.58万元，实际支出5.8万元，公用经费控制率为367.09%；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北塔区田江小学及时在区政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cstheme="minorEastAsia"/>
          <w:sz w:val="28"/>
          <w:szCs w:val="28"/>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北塔区田江小学拥有各类资产总额517.01万元，其中流动资产2.37万元，固定资产514.64万元。</w:t>
      </w:r>
      <w:r>
        <w:rPr>
          <w:rFonts w:hint="eastAsia" w:asciiTheme="minorEastAsia" w:hAnsiTheme="minorEastAsia" w:eastAsiaTheme="minorEastAsia" w:cstheme="minorEastAsia"/>
          <w:sz w:val="28"/>
          <w:szCs w:val="28"/>
          <w:lang w:val="en-US" w:eastAsia="zh-CN"/>
        </w:rPr>
        <w:t>我</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sz w:val="28"/>
          <w:szCs w:val="28"/>
          <w:lang w:val="en-US" w:eastAsia="zh-CN"/>
        </w:rPr>
        <w:t>资产管理由</w:t>
      </w:r>
      <w:r>
        <w:rPr>
          <w:rFonts w:hint="eastAsia" w:asciiTheme="minorEastAsia" w:hAnsiTheme="minorEastAsia" w:cstheme="minorEastAsia"/>
          <w:sz w:val="28"/>
          <w:szCs w:val="28"/>
          <w:lang w:val="en-US" w:eastAsia="zh-CN"/>
        </w:rPr>
        <w:t>后勤处</w:t>
      </w:r>
      <w:r>
        <w:rPr>
          <w:rFonts w:hint="eastAsia" w:asciiTheme="minorEastAsia" w:hAnsiTheme="minorEastAsia" w:eastAsiaTheme="minorEastAsia" w:cstheme="minorEastAsia"/>
          <w:sz w:val="28"/>
          <w:szCs w:val="28"/>
          <w:lang w:val="en-US" w:eastAsia="zh-CN"/>
        </w:rPr>
        <w:t>负责，资产采购按程序实行报批采购，统一在政采云平台下单，采购后登记入账，录入资产信息系统，再派发到相关</w:t>
      </w:r>
      <w:r>
        <w:rPr>
          <w:rFonts w:hint="eastAsia" w:asciiTheme="minorEastAsia" w:hAnsiTheme="minorEastAsia" w:cstheme="minorEastAsia"/>
          <w:sz w:val="28"/>
          <w:szCs w:val="28"/>
          <w:lang w:val="en-US" w:eastAsia="zh-CN"/>
        </w:rPr>
        <w:t>部门</w:t>
      </w:r>
      <w:r>
        <w:rPr>
          <w:rFonts w:hint="eastAsia" w:asciiTheme="minorEastAsia" w:hAnsiTheme="minorEastAsia" w:eastAsiaTheme="minorEastAsia" w:cstheme="minorEastAsia"/>
          <w:sz w:val="28"/>
          <w:szCs w:val="28"/>
          <w:lang w:val="en-US" w:eastAsia="zh-CN"/>
        </w:rPr>
        <w:t>。一是我</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sz w:val="28"/>
          <w:szCs w:val="28"/>
          <w:lang w:val="en-US" w:eastAsia="zh-CN"/>
        </w:rPr>
        <w:t>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r>
        <w:rPr>
          <w:rFonts w:hint="eastAsia" w:asciiTheme="minorEastAsia" w:hAnsiTheme="minorEastAsia" w:cstheme="minorEastAsia"/>
          <w:sz w:val="28"/>
          <w:szCs w:val="28"/>
          <w:lang w:val="en-US" w:eastAsia="zh-CN"/>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280" w:firstLineChars="1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Theme="minorEastAsia" w:hAnsiTheme="minorEastAsia" w:eastAsiaTheme="minorEastAsia" w:cstheme="minorEastAsia"/>
          <w:color w:val="444444"/>
          <w:kern w:val="0"/>
          <w:sz w:val="28"/>
          <w:szCs w:val="28"/>
          <w:shd w:val="clear" w:fill="FFFFFF"/>
        </w:rPr>
        <w:t>管理制度虽然比较齐全，但不利于学校工作的有效开展</w:t>
      </w:r>
      <w:r>
        <w:rPr>
          <w:rFonts w:hint="eastAsia" w:asciiTheme="minorEastAsia" w:hAnsiTheme="minorEastAsia" w:cstheme="minorEastAsia"/>
          <w:color w:val="444444"/>
          <w:kern w:val="0"/>
          <w:sz w:val="28"/>
          <w:szCs w:val="28"/>
          <w:shd w:val="clear" w:fill="FFFFFF"/>
          <w:lang w:eastAsia="zh-CN"/>
        </w:rPr>
        <w:t>，需</w:t>
      </w:r>
      <w:r>
        <w:rPr>
          <w:rFonts w:hint="eastAsia" w:asciiTheme="minorEastAsia" w:hAnsiTheme="minorEastAsia" w:eastAsiaTheme="minorEastAsia" w:cstheme="minorEastAsia"/>
          <w:color w:val="444444"/>
          <w:kern w:val="0"/>
          <w:sz w:val="28"/>
          <w:szCs w:val="28"/>
          <w:shd w:val="clear" w:fill="FFFFFF"/>
        </w:rPr>
        <w:t>有待于进一步在实施中完善。</w:t>
      </w:r>
      <w:r>
        <w:rPr>
          <w:rFonts w:hint="eastAsia" w:asciiTheme="minorEastAsia" w:hAnsiTheme="minorEastAsia" w:cstheme="minorEastAsia"/>
          <w:color w:val="444444"/>
          <w:kern w:val="0"/>
          <w:sz w:val="28"/>
          <w:szCs w:val="28"/>
          <w:shd w:val="clear" w:fill="FFFFFF"/>
          <w:lang w:eastAsia="zh-CN"/>
        </w:rPr>
        <w:t>原因：</w:t>
      </w:r>
      <w:r>
        <w:rPr>
          <w:rFonts w:hint="eastAsia" w:asciiTheme="minorEastAsia" w:hAnsiTheme="minorEastAsia" w:eastAsiaTheme="minorEastAsia" w:cstheme="minorEastAsia"/>
          <w:color w:val="444444"/>
          <w:kern w:val="0"/>
          <w:sz w:val="28"/>
          <w:szCs w:val="28"/>
          <w:shd w:val="clear" w:fill="FFFFFF"/>
        </w:rPr>
        <w:t>部分制度落实不够。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rPr>
      </w:pPr>
      <w:r>
        <w:rPr>
          <w:rFonts w:hint="eastAsia" w:asciiTheme="minorEastAsia" w:hAnsiTheme="minorEastAsia" w:eastAsiaTheme="minorEastAsia" w:cstheme="minorEastAsia"/>
          <w:color w:val="444444"/>
          <w:kern w:val="0"/>
          <w:sz w:val="28"/>
          <w:szCs w:val="28"/>
          <w:shd w:val="clear" w:fill="FFFFFF"/>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②资金（开支）拨付有完整的审批程序和手续；</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left"/>
              <w:rPr>
                <w:rFonts w:hint="default" w:asciiTheme="minorEastAsia" w:hAnsiTheme="minorEastAsia" w:cstheme="minorEastAsia"/>
                <w:kern w:val="0"/>
                <w:sz w:val="18"/>
                <w:szCs w:val="18"/>
                <w:lang w:val="en-US"/>
              </w:rPr>
            </w:pPr>
            <w:r>
              <w:rPr>
                <w:rFonts w:hint="eastAsia" w:asciiTheme="minorEastAsia" w:hAnsiTheme="minorEastAsia" w:cstheme="minorEastAsia"/>
                <w:kern w:val="0"/>
                <w:sz w:val="18"/>
                <w:szCs w:val="18"/>
                <w:lang w:val="en-US" w:eastAsia="zh-CN"/>
              </w:rPr>
              <w:t>90</w:t>
            </w:r>
          </w:p>
        </w:tc>
        <w:tc>
          <w:tcPr>
            <w:tcW w:w="617" w:type="dxa"/>
            <w:vAlign w:val="center"/>
          </w:tcPr>
          <w:p>
            <w:pPr>
              <w:widowControl/>
              <w:jc w:val="center"/>
              <w:rPr>
                <w:rFonts w:asciiTheme="minorEastAsia" w:hAnsiTheme="minorEastAsia" w:cstheme="minorEastAsia"/>
                <w:kern w:val="0"/>
                <w:sz w:val="18"/>
                <w:szCs w:val="18"/>
              </w:rPr>
            </w:pPr>
          </w:p>
        </w:tc>
      </w:tr>
    </w:tbl>
    <w:p>
      <w:pPr>
        <w:spacing w:line="600" w:lineRule="exact"/>
        <w:rPr>
          <w:rFonts w:asciiTheme="minorEastAsia" w:hAnsiTheme="minorEastAsia" w:cstheme="minorEastAsia"/>
          <w:kern w:val="0"/>
          <w:sz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Theme="minorEastAsia" w:hAnsiTheme="minorEastAsia" w:eastAsiaTheme="minorEastAsia" w:cstheme="minorEastAsia"/>
          <w:color w:val="444444"/>
          <w:kern w:val="0"/>
          <w:sz w:val="28"/>
          <w:szCs w:val="28"/>
          <w:shd w:val="clear" w:fill="FFFFFF"/>
        </w:rPr>
      </w:pPr>
      <w:bookmarkStart w:id="0" w:name="_GoBack"/>
      <w:bookmarkEnd w:id="0"/>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AFD1C"/>
    <w:multiLevelType w:val="singleLevel"/>
    <w:tmpl w:val="DFBAFD1C"/>
    <w:lvl w:ilvl="0" w:tentative="0">
      <w:start w:val="2"/>
      <w:numFmt w:val="decimal"/>
      <w:lvlText w:val="%1."/>
      <w:lvlJc w:val="left"/>
      <w:pPr>
        <w:tabs>
          <w:tab w:val="left" w:pos="312"/>
        </w:tabs>
      </w:pPr>
    </w:lvl>
  </w:abstractNum>
  <w:abstractNum w:abstractNumId="1">
    <w:nsid w:val="F7F61BDD"/>
    <w:multiLevelType w:val="singleLevel"/>
    <w:tmpl w:val="F7F61B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57AF068F"/>
    <w:rsid w:val="050B2FCD"/>
    <w:rsid w:val="308B6BB9"/>
    <w:rsid w:val="3B8701AA"/>
    <w:rsid w:val="57AF068F"/>
    <w:rsid w:val="61FC55CD"/>
    <w:rsid w:val="7F30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2023-09-28T00:15:00Z</dcterms:created>
  <dc:creator>Zumira</dc:creator>
  <cp:lastModifiedBy>Administrator</cp:lastModifiedBy>
  <dcterms:modified xsi:type="dcterms:W3CDTF">2023-12-13T09:56:49Z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1004056D5A2C4E3CB3E04506CC693E5A_11</vt:lpwstr>
  </property>
</Properties>
</file>