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after="300" w:line="600" w:lineRule="atLeast"/>
        <w:jc w:val="center"/>
        <w:rPr>
          <w:rFonts w:asciiTheme="minorEastAsia" w:hAnsiTheme="minorEastAsia" w:cstheme="minorEastAsia"/>
          <w:b/>
          <w:bCs/>
          <w:sz w:val="32"/>
          <w:shd w:val="clear" w:color="auto" w:fill="FFFFFF"/>
        </w:rPr>
      </w:pPr>
      <w:r>
        <w:rPr>
          <w:rFonts w:hint="eastAsia" w:asciiTheme="minorEastAsia" w:hAnsiTheme="minorEastAsia" w:cstheme="minorEastAsia"/>
          <w:b/>
          <w:bCs/>
          <w:sz w:val="32"/>
          <w:shd w:val="clear" w:color="auto" w:fill="FFFFFF"/>
        </w:rPr>
        <w:t>202</w:t>
      </w:r>
      <w:r>
        <w:rPr>
          <w:rFonts w:asciiTheme="minorEastAsia" w:hAnsiTheme="minorEastAsia" w:cstheme="minorEastAsia"/>
          <w:b/>
          <w:bCs/>
          <w:sz w:val="32"/>
          <w:shd w:val="clear" w:color="auto" w:fill="FFFFFF"/>
        </w:rPr>
        <w:t>2</w:t>
      </w:r>
      <w:r>
        <w:rPr>
          <w:rFonts w:hint="eastAsia" w:asciiTheme="minorEastAsia" w:hAnsiTheme="minorEastAsia" w:cstheme="minorEastAsia"/>
          <w:b/>
          <w:bCs/>
          <w:sz w:val="32"/>
          <w:shd w:val="clear" w:color="auto" w:fill="FFFFFF"/>
        </w:rPr>
        <w:t>年度北塔区万岁庙小学部门整体支出绩效评价报告</w:t>
      </w:r>
    </w:p>
    <w:p>
      <w:pPr>
        <w:pStyle w:val="4"/>
        <w:widowControl/>
        <w:spacing w:after="300" w:line="600" w:lineRule="atLeast"/>
        <w:jc w:val="left"/>
        <w:rPr>
          <w:rFonts w:ascii="黑体" w:hAnsi="黑体" w:eastAsia="黑体" w:cstheme="minorEastAsia"/>
          <w:b/>
          <w:kern w:val="0"/>
          <w:sz w:val="32"/>
          <w:shd w:val="clear" w:color="auto" w:fill="FFFFFF"/>
        </w:rPr>
      </w:pPr>
      <w:r>
        <w:rPr>
          <w:rFonts w:ascii="黑体" w:hAnsi="黑体" w:eastAsia="黑体" w:cstheme="minorEastAsia"/>
          <w:b/>
          <w:kern w:val="0"/>
          <w:sz w:val="32"/>
          <w:shd w:val="clear" w:color="auto" w:fill="FFFFFF"/>
        </w:rPr>
        <w:t xml:space="preserve">一、部门基本概况 </w:t>
      </w:r>
    </w:p>
    <w:p>
      <w:pPr>
        <w:widowControl/>
        <w:jc w:val="left"/>
      </w:pPr>
      <w:r>
        <w:rPr>
          <w:rFonts w:ascii="仿宋_GB2312" w:hAnsi="仿宋_GB2312" w:eastAsia="仿宋_GB2312" w:cs="仿宋_GB2312"/>
          <w:b/>
          <w:bCs/>
          <w:kern w:val="0"/>
          <w:sz w:val="32"/>
          <w:szCs w:val="32"/>
          <w:lang w:bidi="ar"/>
        </w:rPr>
        <w:t xml:space="preserve">（1）职能职责 </w:t>
      </w:r>
    </w:p>
    <w:p>
      <w:pPr>
        <w:widowControl/>
        <w:spacing w:line="360" w:lineRule="auto"/>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邵阳市北塔区陈家桥乡万岁庙小学的主要职责是：</w:t>
      </w:r>
    </w:p>
    <w:p>
      <w:pPr>
        <w:widowControl/>
        <w:numPr>
          <w:ilvl w:val="0"/>
          <w:numId w:val="1"/>
        </w:numPr>
        <w:spacing w:line="360" w:lineRule="auto"/>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抓基础教育。</w:t>
      </w:r>
    </w:p>
    <w:p>
      <w:pPr>
        <w:widowControl/>
        <w:numPr>
          <w:ilvl w:val="0"/>
          <w:numId w:val="1"/>
        </w:numPr>
        <w:spacing w:line="360" w:lineRule="auto"/>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培养学生习惯。</w:t>
      </w:r>
    </w:p>
    <w:p>
      <w:pPr>
        <w:widowControl/>
        <w:numPr>
          <w:ilvl w:val="0"/>
          <w:numId w:val="1"/>
        </w:numPr>
        <w:spacing w:line="360" w:lineRule="auto"/>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组织教育教学，科学研究活动。</w:t>
      </w:r>
    </w:p>
    <w:p>
      <w:pPr>
        <w:widowControl/>
        <w:numPr>
          <w:ilvl w:val="0"/>
          <w:numId w:val="1"/>
        </w:numPr>
        <w:spacing w:line="360" w:lineRule="auto"/>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保证教育教学质量。</w:t>
      </w:r>
    </w:p>
    <w:p>
      <w:pPr>
        <w:widowControl/>
        <w:numPr>
          <w:ilvl w:val="0"/>
          <w:numId w:val="1"/>
        </w:numPr>
        <w:spacing w:line="360" w:lineRule="auto"/>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维护教职工利益，保障教职工合法权益。</w:t>
      </w:r>
    </w:p>
    <w:p>
      <w:pPr>
        <w:widowControl/>
        <w:numPr>
          <w:ilvl w:val="0"/>
          <w:numId w:val="1"/>
        </w:numPr>
        <w:spacing w:line="360" w:lineRule="auto"/>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以教职工和学生的人生幸福和生命质量作为重点。</w:t>
      </w:r>
    </w:p>
    <w:p>
      <w:pPr>
        <w:widowControl/>
        <w:jc w:val="left"/>
      </w:pPr>
      <w:r>
        <w:rPr>
          <w:rFonts w:ascii="仿宋_GB2312" w:hAnsi="仿宋_GB2312" w:eastAsia="仿宋_GB2312" w:cs="仿宋_GB2312"/>
          <w:b/>
          <w:bCs/>
          <w:kern w:val="0"/>
          <w:sz w:val="32"/>
          <w:szCs w:val="32"/>
          <w:lang w:bidi="ar"/>
        </w:rPr>
        <w:t xml:space="preserve">（2）机构设置 </w:t>
      </w:r>
    </w:p>
    <w:p>
      <w:pPr>
        <w:widowControl/>
        <w:spacing w:line="360" w:lineRule="auto"/>
        <w:ind w:firstLine="480" w:firstLineChars="200"/>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根据上述职责，学校根据实际情况分别设有校长室、总务室、教务室、教研室、少先大队部、后勤处、工会等。</w:t>
      </w:r>
    </w:p>
    <w:p>
      <w:pPr>
        <w:widowControl/>
        <w:spacing w:line="360" w:lineRule="auto"/>
        <w:ind w:firstLine="480" w:firstLineChars="200"/>
        <w:jc w:val="left"/>
        <w:rPr>
          <w:rFonts w:asciiTheme="minorEastAsia" w:hAnsiTheme="minorEastAsia"/>
          <w:sz w:val="18"/>
        </w:rPr>
      </w:pPr>
      <w:r>
        <w:rPr>
          <w:rFonts w:hint="eastAsia" w:cs="仿宋_GB2312" w:asciiTheme="minorEastAsia" w:hAnsiTheme="minorEastAsia"/>
          <w:kern w:val="0"/>
          <w:sz w:val="24"/>
          <w:szCs w:val="32"/>
          <w:lang w:bidi="ar"/>
        </w:rPr>
        <w:t>人员情况：编制人数 1</w:t>
      </w:r>
      <w:r>
        <w:rPr>
          <w:rFonts w:cs="仿宋_GB2312" w:asciiTheme="minorEastAsia" w:hAnsiTheme="minorEastAsia"/>
          <w:kern w:val="0"/>
          <w:sz w:val="24"/>
          <w:szCs w:val="32"/>
          <w:lang w:bidi="ar"/>
        </w:rPr>
        <w:t>0</w:t>
      </w:r>
      <w:r>
        <w:rPr>
          <w:rFonts w:hint="eastAsia" w:cs="仿宋_GB2312" w:asciiTheme="minorEastAsia" w:hAnsiTheme="minorEastAsia"/>
          <w:kern w:val="0"/>
          <w:sz w:val="24"/>
          <w:szCs w:val="32"/>
          <w:lang w:bidi="ar"/>
        </w:rPr>
        <w:t>人，其中事业编制数 1</w:t>
      </w:r>
      <w:r>
        <w:rPr>
          <w:rFonts w:cs="仿宋_GB2312" w:asciiTheme="minorEastAsia" w:hAnsiTheme="minorEastAsia"/>
          <w:kern w:val="0"/>
          <w:sz w:val="24"/>
          <w:szCs w:val="32"/>
          <w:lang w:bidi="ar"/>
        </w:rPr>
        <w:t>0</w:t>
      </w:r>
      <w:r>
        <w:rPr>
          <w:rFonts w:hint="eastAsia" w:cs="仿宋_GB2312" w:asciiTheme="minorEastAsia" w:hAnsiTheme="minorEastAsia"/>
          <w:kern w:val="0"/>
          <w:sz w:val="24"/>
          <w:szCs w:val="32"/>
          <w:lang w:bidi="ar"/>
        </w:rPr>
        <w:t xml:space="preserve"> 人；实有人数 2</w:t>
      </w:r>
      <w:r>
        <w:rPr>
          <w:rFonts w:cs="仿宋_GB2312" w:asciiTheme="minorEastAsia" w:hAnsiTheme="minorEastAsia"/>
          <w:kern w:val="0"/>
          <w:sz w:val="24"/>
          <w:szCs w:val="32"/>
          <w:lang w:bidi="ar"/>
        </w:rPr>
        <w:t>4</w:t>
      </w:r>
      <w:r>
        <w:rPr>
          <w:rFonts w:hint="eastAsia" w:cs="仿宋_GB2312" w:asciiTheme="minorEastAsia" w:hAnsiTheme="minorEastAsia"/>
          <w:kern w:val="0"/>
          <w:sz w:val="24"/>
          <w:szCs w:val="32"/>
          <w:lang w:bidi="ar"/>
        </w:rPr>
        <w:t>人，其中在职教师 1</w:t>
      </w:r>
      <w:r>
        <w:rPr>
          <w:rFonts w:cs="仿宋_GB2312" w:asciiTheme="minorEastAsia" w:hAnsiTheme="minorEastAsia"/>
          <w:kern w:val="0"/>
          <w:sz w:val="24"/>
          <w:szCs w:val="32"/>
          <w:lang w:bidi="ar"/>
        </w:rPr>
        <w:t>1</w:t>
      </w:r>
      <w:r>
        <w:rPr>
          <w:rFonts w:hint="eastAsia" w:cs="仿宋_GB2312" w:asciiTheme="minorEastAsia" w:hAnsiTheme="minorEastAsia"/>
          <w:kern w:val="0"/>
          <w:sz w:val="24"/>
          <w:szCs w:val="32"/>
          <w:lang w:bidi="ar"/>
        </w:rPr>
        <w:t>人，在职工勤 1人；退休教师 1</w:t>
      </w:r>
      <w:r>
        <w:rPr>
          <w:rFonts w:cs="仿宋_GB2312" w:asciiTheme="minorEastAsia" w:hAnsiTheme="minorEastAsia"/>
          <w:kern w:val="0"/>
          <w:sz w:val="24"/>
          <w:szCs w:val="32"/>
          <w:lang w:bidi="ar"/>
        </w:rPr>
        <w:t>2</w:t>
      </w:r>
      <w:r>
        <w:rPr>
          <w:rFonts w:hint="eastAsia" w:cs="仿宋_GB2312" w:asciiTheme="minorEastAsia" w:hAnsiTheme="minorEastAsia"/>
          <w:kern w:val="0"/>
          <w:sz w:val="24"/>
          <w:szCs w:val="32"/>
          <w:lang w:bidi="ar"/>
        </w:rPr>
        <w:t xml:space="preserve"> 人。</w:t>
      </w:r>
    </w:p>
    <w:p>
      <w:pPr>
        <w:pStyle w:val="4"/>
        <w:widowControl/>
        <w:spacing w:after="300" w:line="600" w:lineRule="atLeast"/>
        <w:jc w:val="left"/>
        <w:rPr>
          <w:rFonts w:ascii="黑体" w:hAnsi="黑体" w:eastAsia="黑体" w:cstheme="minorEastAsia"/>
          <w:b/>
          <w:sz w:val="32"/>
        </w:rPr>
      </w:pPr>
      <w:r>
        <w:rPr>
          <w:rFonts w:hint="eastAsia" w:ascii="黑体" w:hAnsi="黑体" w:eastAsia="黑体" w:cstheme="minorEastAsia"/>
          <w:b/>
          <w:kern w:val="0"/>
          <w:sz w:val="32"/>
          <w:shd w:val="clear" w:color="auto" w:fill="FFFFFF"/>
        </w:rPr>
        <w:t>二、部门整体支出管理及使用情况</w:t>
      </w:r>
    </w:p>
    <w:p>
      <w:pPr>
        <w:pStyle w:val="35"/>
        <w:widowControl/>
        <w:numPr>
          <w:ilvl w:val="0"/>
          <w:numId w:val="2"/>
        </w:numPr>
        <w:ind w:firstLineChars="0"/>
        <w:jc w:val="left"/>
        <w:rPr>
          <w:rFonts w:ascii="黑体" w:hAnsi="黑体" w:eastAsia="黑体" w:cs="仿宋_GB2312"/>
          <w:b/>
          <w:bCs/>
          <w:kern w:val="0"/>
          <w:sz w:val="28"/>
          <w:szCs w:val="32"/>
          <w:lang w:bidi="ar"/>
        </w:rPr>
      </w:pPr>
      <w:r>
        <w:rPr>
          <w:rFonts w:hint="eastAsia" w:ascii="黑体" w:hAnsi="黑体" w:eastAsia="黑体" w:cs="仿宋_GB2312"/>
          <w:b/>
          <w:bCs/>
          <w:kern w:val="0"/>
          <w:sz w:val="28"/>
          <w:szCs w:val="32"/>
          <w:lang w:bidi="ar"/>
        </w:rPr>
        <w:t>基本支出</w:t>
      </w:r>
    </w:p>
    <w:p>
      <w:pPr>
        <w:widowControl/>
        <w:spacing w:line="360" w:lineRule="auto"/>
        <w:ind w:firstLine="480" w:firstLineChars="200"/>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202</w:t>
      </w:r>
      <w:r>
        <w:rPr>
          <w:rFonts w:cs="仿宋_GB2312" w:asciiTheme="minorEastAsia" w:hAnsiTheme="minorEastAsia"/>
          <w:kern w:val="0"/>
          <w:sz w:val="24"/>
          <w:szCs w:val="32"/>
          <w:lang w:bidi="ar"/>
        </w:rPr>
        <w:t>2</w:t>
      </w:r>
      <w:r>
        <w:rPr>
          <w:rFonts w:hint="eastAsia" w:cs="仿宋_GB2312" w:asciiTheme="minorEastAsia" w:hAnsiTheme="minorEastAsia"/>
          <w:kern w:val="0"/>
          <w:sz w:val="24"/>
          <w:szCs w:val="32"/>
          <w:lang w:bidi="ar"/>
        </w:rPr>
        <w:t xml:space="preserve">年度财政拨款基本支出 </w:t>
      </w:r>
      <w:r>
        <w:rPr>
          <w:rFonts w:cs="仿宋_GB2312" w:asciiTheme="minorEastAsia" w:hAnsiTheme="minorEastAsia"/>
          <w:kern w:val="0"/>
          <w:sz w:val="24"/>
          <w:szCs w:val="32"/>
          <w:lang w:bidi="ar"/>
        </w:rPr>
        <w:t>170.8</w:t>
      </w:r>
      <w:r>
        <w:rPr>
          <w:rFonts w:hint="eastAsia" w:cs="仿宋_GB2312" w:asciiTheme="minorEastAsia" w:hAnsiTheme="minorEastAsia"/>
          <w:kern w:val="0"/>
          <w:sz w:val="24"/>
          <w:szCs w:val="32"/>
          <w:lang w:bidi="ar"/>
        </w:rPr>
        <w:t xml:space="preserve">万元，其中：人员经费 </w:t>
      </w:r>
      <w:r>
        <w:rPr>
          <w:rFonts w:cs="仿宋_GB2312" w:asciiTheme="minorEastAsia" w:hAnsiTheme="minorEastAsia"/>
          <w:kern w:val="0"/>
          <w:sz w:val="24"/>
          <w:szCs w:val="32"/>
          <w:lang w:bidi="ar"/>
        </w:rPr>
        <w:t>164.59</w:t>
      </w:r>
      <w:r>
        <w:rPr>
          <w:rFonts w:hint="eastAsia" w:cs="仿宋_GB2312" w:asciiTheme="minorEastAsia" w:hAnsiTheme="minorEastAsia"/>
          <w:kern w:val="0"/>
          <w:sz w:val="24"/>
          <w:szCs w:val="32"/>
          <w:lang w:bidi="ar"/>
        </w:rPr>
        <w:t>万元，占基本支出的9</w:t>
      </w:r>
      <w:r>
        <w:rPr>
          <w:rFonts w:cs="仿宋_GB2312" w:asciiTheme="minorEastAsia" w:hAnsiTheme="minorEastAsia"/>
          <w:kern w:val="0"/>
          <w:sz w:val="24"/>
          <w:szCs w:val="32"/>
          <w:lang w:bidi="ar"/>
        </w:rPr>
        <w:t>6.36</w:t>
      </w:r>
      <w:r>
        <w:rPr>
          <w:rFonts w:hint="eastAsia" w:cs="仿宋_GB2312" w:asciiTheme="minorEastAsia" w:hAnsiTheme="minorEastAsia"/>
          <w:kern w:val="0"/>
          <w:sz w:val="24"/>
          <w:szCs w:val="32"/>
          <w:lang w:bidi="ar"/>
        </w:rPr>
        <w:t xml:space="preserve"> %，主要包括：基本工资、津贴补贴、奖金、伙食补助费、机关事业单位基本养老保险缴费、职业年金缴费、职工基本医疗保险缴费、其他社会保障缴费、住房公积金、退休费、抚恤金、生活补助、救济费、奖励金、其他对个人和家庭的补助；公用经费 </w:t>
      </w:r>
      <w:r>
        <w:rPr>
          <w:rFonts w:cs="仿宋_GB2312" w:asciiTheme="minorEastAsia" w:hAnsiTheme="minorEastAsia"/>
          <w:kern w:val="0"/>
          <w:sz w:val="24"/>
          <w:szCs w:val="32"/>
          <w:lang w:bidi="ar"/>
        </w:rPr>
        <w:t>6.22</w:t>
      </w:r>
      <w:r>
        <w:rPr>
          <w:rFonts w:hint="eastAsia" w:cs="仿宋_GB2312" w:asciiTheme="minorEastAsia" w:hAnsiTheme="minorEastAsia"/>
          <w:kern w:val="0"/>
          <w:sz w:val="24"/>
          <w:szCs w:val="32"/>
          <w:lang w:bidi="ar"/>
        </w:rPr>
        <w:t xml:space="preserve">万元，占基本支出的 </w:t>
      </w:r>
      <w:r>
        <w:rPr>
          <w:rFonts w:cs="仿宋_GB2312" w:asciiTheme="minorEastAsia" w:hAnsiTheme="minorEastAsia"/>
          <w:kern w:val="0"/>
          <w:sz w:val="24"/>
          <w:szCs w:val="32"/>
          <w:lang w:bidi="ar"/>
        </w:rPr>
        <w:t>3.6</w:t>
      </w:r>
      <w:r>
        <w:rPr>
          <w:rFonts w:hint="eastAsia" w:cs="仿宋_GB2312" w:asciiTheme="minorEastAsia" w:hAnsiTheme="minorEastAsia"/>
          <w:kern w:val="0"/>
          <w:sz w:val="24"/>
          <w:szCs w:val="32"/>
          <w:lang w:bidi="ar"/>
        </w:rPr>
        <w:t>%，主要包括：办公费、印刷费、咨询费、水费、电费、邮电费、物业管理费、差旅费、维修（护）费、会议费、培训费、公务接待费、劳务费、委托业务费、工会经费、福利费、公务用车运行维护费、其他商品和服务支出。</w:t>
      </w:r>
    </w:p>
    <w:p>
      <w:pPr>
        <w:pStyle w:val="4"/>
        <w:widowControl/>
        <w:spacing w:after="300" w:line="600" w:lineRule="atLeast"/>
        <w:jc w:val="left"/>
        <w:rPr>
          <w:rFonts w:ascii="黑体" w:hAnsi="黑体" w:eastAsia="黑体" w:cstheme="minorEastAsia"/>
          <w:sz w:val="28"/>
        </w:rPr>
      </w:pPr>
      <w:r>
        <w:rPr>
          <w:rFonts w:hint="eastAsia" w:ascii="黑体" w:hAnsi="黑体" w:eastAsia="黑体" w:cstheme="minorEastAsia"/>
          <w:kern w:val="0"/>
          <w:sz w:val="28"/>
          <w:shd w:val="clear" w:color="auto" w:fill="FFFFFF"/>
        </w:rPr>
        <w:t>（二）专项支出</w:t>
      </w:r>
    </w:p>
    <w:p>
      <w:pPr>
        <w:widowControl/>
        <w:spacing w:line="360" w:lineRule="auto"/>
        <w:ind w:firstLine="480" w:firstLineChars="200"/>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2022 年本单位项目支出预算 0万元，主要是部门为完成特定行政工作任务或事业发展目标而发生的支出， 包括有关事业发展专项、专项业务费、基本建设支出等。</w:t>
      </w:r>
    </w:p>
    <w:p>
      <w:pPr>
        <w:pStyle w:val="4"/>
        <w:widowControl/>
        <w:spacing w:after="300" w:line="600" w:lineRule="atLeast"/>
        <w:jc w:val="left"/>
        <w:rPr>
          <w:rFonts w:ascii="黑体" w:hAnsi="黑体" w:eastAsia="黑体" w:cstheme="minorEastAsia"/>
          <w:b/>
          <w:kern w:val="0"/>
          <w:sz w:val="32"/>
          <w:shd w:val="clear" w:color="auto" w:fill="FFFFFF"/>
        </w:rPr>
      </w:pPr>
      <w:r>
        <w:rPr>
          <w:rFonts w:hint="eastAsia" w:ascii="黑体" w:hAnsi="黑体" w:eastAsia="黑体" w:cstheme="minorEastAsia"/>
          <w:b/>
          <w:kern w:val="0"/>
          <w:sz w:val="32"/>
          <w:shd w:val="clear" w:color="auto" w:fill="FFFFFF"/>
        </w:rPr>
        <w:t>三、资产管理情况</w:t>
      </w:r>
    </w:p>
    <w:p>
      <w:pPr>
        <w:widowControl/>
        <w:spacing w:line="360" w:lineRule="auto"/>
        <w:ind w:firstLine="480" w:firstLineChars="200"/>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我校资产管理由校务处负责，资产采购按程序实行报批采购，统一在政采云平台下单，采购后登记入账，录入资产信息系统，再派发到相关业务股室。一是我校资产管理和使用坚持统一政策、统一领导、分级管理、责任到人、物尽其用的原则。二是运用资产信息管理系统加强资产管理。对固定资产分别按使用部门、存放地点和使用人顺序编排编码排序，统一录入“一物一条码”信息管理系统，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widowControl/>
        <w:spacing w:line="360" w:lineRule="auto"/>
        <w:ind w:firstLine="480" w:firstLineChars="200"/>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截至202</w:t>
      </w:r>
      <w:r>
        <w:rPr>
          <w:rFonts w:cs="仿宋_GB2312" w:asciiTheme="minorEastAsia" w:hAnsiTheme="minorEastAsia"/>
          <w:kern w:val="0"/>
          <w:sz w:val="24"/>
          <w:szCs w:val="32"/>
          <w:lang w:bidi="ar"/>
        </w:rPr>
        <w:t>2</w:t>
      </w:r>
      <w:r>
        <w:rPr>
          <w:rFonts w:hint="eastAsia" w:cs="仿宋_GB2312" w:asciiTheme="minorEastAsia" w:hAnsiTheme="minorEastAsia"/>
          <w:kern w:val="0"/>
          <w:sz w:val="24"/>
          <w:szCs w:val="32"/>
          <w:lang w:bidi="ar"/>
        </w:rPr>
        <w:t>年12月31日，邵阳市北塔区陈家桥乡万岁庙小学资产总额为</w:t>
      </w:r>
      <w:r>
        <w:rPr>
          <w:rFonts w:cs="仿宋_GB2312" w:asciiTheme="minorEastAsia" w:hAnsiTheme="minorEastAsia"/>
          <w:kern w:val="0"/>
          <w:sz w:val="24"/>
          <w:szCs w:val="32"/>
          <w:lang w:bidi="ar"/>
        </w:rPr>
        <w:t>118.3</w:t>
      </w:r>
      <w:r>
        <w:rPr>
          <w:rFonts w:hint="eastAsia" w:cs="仿宋_GB2312" w:asciiTheme="minorEastAsia" w:hAnsiTheme="minorEastAsia"/>
          <w:kern w:val="0"/>
          <w:sz w:val="24"/>
          <w:szCs w:val="32"/>
          <w:lang w:bidi="ar"/>
        </w:rPr>
        <w:t>万元，主要由以下部分构成：流动资产0万元,占资产总额的0%,主要为其他应收款等;固定资产1</w:t>
      </w:r>
      <w:r>
        <w:rPr>
          <w:rFonts w:cs="仿宋_GB2312" w:asciiTheme="minorEastAsia" w:hAnsiTheme="minorEastAsia"/>
          <w:kern w:val="0"/>
          <w:sz w:val="24"/>
          <w:szCs w:val="32"/>
          <w:lang w:bidi="ar"/>
        </w:rPr>
        <w:t>18</w:t>
      </w:r>
      <w:r>
        <w:rPr>
          <w:rFonts w:hint="eastAsia" w:cs="仿宋_GB2312" w:asciiTheme="minorEastAsia" w:hAnsiTheme="minorEastAsia"/>
          <w:kern w:val="0"/>
          <w:sz w:val="24"/>
          <w:szCs w:val="32"/>
          <w:lang w:bidi="ar"/>
        </w:rPr>
        <w:t>.3万元,占资产总额的100%，主要包括房屋、公务用车、办公设备等，在建工程0万，占资产总额0%。 </w:t>
      </w:r>
    </w:p>
    <w:p>
      <w:pPr>
        <w:pStyle w:val="4"/>
        <w:widowControl/>
        <w:spacing w:after="300" w:line="600" w:lineRule="atLeast"/>
        <w:jc w:val="left"/>
        <w:rPr>
          <w:rFonts w:ascii="黑体" w:hAnsi="黑体" w:eastAsia="黑体" w:cstheme="minorEastAsia"/>
          <w:b/>
          <w:kern w:val="0"/>
          <w:sz w:val="32"/>
          <w:shd w:val="clear" w:color="auto" w:fill="FFFFFF"/>
        </w:rPr>
      </w:pPr>
      <w:r>
        <w:rPr>
          <w:rFonts w:hint="eastAsia" w:ascii="黑体" w:hAnsi="黑体" w:eastAsia="黑体" w:cstheme="minorEastAsia"/>
          <w:b/>
          <w:kern w:val="0"/>
          <w:sz w:val="32"/>
          <w:shd w:val="clear" w:color="auto" w:fill="FFFFFF"/>
        </w:rPr>
        <w:t>四、部门整体支出绩效情况</w:t>
      </w:r>
    </w:p>
    <w:p>
      <w:pPr>
        <w:widowControl/>
        <w:spacing w:line="360" w:lineRule="auto"/>
        <w:ind w:firstLine="480" w:firstLineChars="200"/>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202</w:t>
      </w:r>
      <w:r>
        <w:rPr>
          <w:rFonts w:cs="仿宋_GB2312" w:asciiTheme="minorEastAsia" w:hAnsiTheme="minorEastAsia"/>
          <w:kern w:val="0"/>
          <w:sz w:val="24"/>
          <w:szCs w:val="32"/>
          <w:lang w:bidi="ar"/>
        </w:rPr>
        <w:t>2</w:t>
      </w:r>
      <w:r>
        <w:rPr>
          <w:rFonts w:hint="eastAsia" w:cs="仿宋_GB2312" w:asciiTheme="minorEastAsia" w:hAnsiTheme="minorEastAsia"/>
          <w:kern w:val="0"/>
          <w:sz w:val="24"/>
          <w:szCs w:val="32"/>
          <w:lang w:bidi="ar"/>
        </w:rPr>
        <w:t>年，我校充分履行职责职能，严格执行各项管理制度，经济、社会等效益显著、社会公众满意度上升，较好地完成了全年工作目标。</w:t>
      </w:r>
    </w:p>
    <w:p>
      <w:pPr>
        <w:widowControl/>
        <w:spacing w:line="360" w:lineRule="auto"/>
        <w:ind w:firstLine="480" w:firstLineChars="200"/>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强化教育履职。加强了“党委统一领导、党政齐抓共管、部门各负其责”的教育工作领导体制，确立了将教育作为“民生福区”的首要举措，以“把北塔区打造成为湖南教育优质均衡示范区”为目标，在推进教育高质量发展上闯出新路子、展现新作为。</w:t>
      </w:r>
    </w:p>
    <w:p>
      <w:pPr>
        <w:widowControl/>
        <w:spacing w:line="360" w:lineRule="auto"/>
        <w:ind w:firstLine="480" w:firstLineChars="200"/>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强化理论武装。坚持把学习贯彻新时代党的创新理论作为首要政治任务，推行教育系统理论学习中心组学习“每月一次、上下同题”，分级分类抓好党史学习教育、五中六中全会精神学习，广泛开展宣传宣讲，深学细照笃行。</w:t>
      </w:r>
    </w:p>
    <w:p>
      <w:pPr>
        <w:widowControl/>
        <w:spacing w:line="360" w:lineRule="auto"/>
        <w:ind w:firstLine="480" w:firstLineChars="200"/>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强化党建引领。全面落实党组织领导下的校长负责制，在基层党支部支部中实施“党建+”“双培养”工程，在团员青年中大力开展“青年大学习”，在广大少先队员中开展“系好人生第一粒扣子”系列主题活动，党建引领、群团跟进。</w:t>
      </w:r>
    </w:p>
    <w:p>
      <w:pPr>
        <w:widowControl/>
        <w:spacing w:line="360" w:lineRule="auto"/>
        <w:ind w:firstLine="480" w:firstLineChars="200"/>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强化执纪监督。压紧压实全面从严治党主体责任，将清廉之责嵌入教育履职的出发点，以“师德师风建设年”为契机，通过开展“六个一”活动，筑牢班子、党员和广大教师清廉履职的“防火墙”，“崇廉倡廉”成为办学治校的有力抓手，“清廉学校”创建收到了扎实成效。</w:t>
      </w:r>
    </w:p>
    <w:p>
      <w:pPr>
        <w:pStyle w:val="4"/>
        <w:widowControl/>
        <w:spacing w:after="300" w:line="600" w:lineRule="atLeast"/>
        <w:jc w:val="left"/>
        <w:rPr>
          <w:rFonts w:ascii="黑体" w:hAnsi="黑体" w:eastAsia="黑体" w:cstheme="minorEastAsia"/>
          <w:b/>
          <w:kern w:val="0"/>
          <w:sz w:val="32"/>
          <w:shd w:val="clear" w:color="auto" w:fill="FFFFFF"/>
        </w:rPr>
      </w:pPr>
      <w:r>
        <w:rPr>
          <w:rFonts w:hint="eastAsia" w:ascii="黑体" w:hAnsi="黑体" w:eastAsia="黑体" w:cstheme="minorEastAsia"/>
          <w:b/>
          <w:kern w:val="0"/>
          <w:sz w:val="32"/>
          <w:shd w:val="clear" w:color="auto" w:fill="FFFFFF"/>
        </w:rPr>
        <w:t>五、综合评价情况及评价结论</w:t>
      </w:r>
    </w:p>
    <w:p>
      <w:pPr>
        <w:widowControl/>
        <w:spacing w:line="360" w:lineRule="auto"/>
        <w:ind w:firstLine="480" w:firstLineChars="200"/>
        <w:jc w:val="left"/>
        <w:rPr>
          <w:rFonts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202</w:t>
      </w:r>
      <w:r>
        <w:rPr>
          <w:rFonts w:cs="仿宋_GB2312" w:asciiTheme="minorEastAsia" w:hAnsiTheme="minorEastAsia"/>
          <w:kern w:val="0"/>
          <w:sz w:val="24"/>
          <w:szCs w:val="32"/>
          <w:lang w:bidi="ar"/>
        </w:rPr>
        <w:t>2</w:t>
      </w:r>
      <w:r>
        <w:rPr>
          <w:rFonts w:hint="eastAsia" w:cs="仿宋_GB2312" w:asciiTheme="minorEastAsia" w:hAnsiTheme="minorEastAsia"/>
          <w:kern w:val="0"/>
          <w:sz w:val="24"/>
          <w:szCs w:val="32"/>
          <w:lang w:bidi="ar"/>
        </w:rPr>
        <w:t>年我校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校整体支出绩效自评9</w:t>
      </w:r>
      <w:r>
        <w:rPr>
          <w:rFonts w:cs="仿宋_GB2312" w:asciiTheme="minorEastAsia" w:hAnsiTheme="minorEastAsia"/>
          <w:kern w:val="0"/>
          <w:sz w:val="24"/>
          <w:szCs w:val="32"/>
          <w:lang w:bidi="ar"/>
        </w:rPr>
        <w:t>2</w:t>
      </w:r>
      <w:r>
        <w:rPr>
          <w:rFonts w:hint="eastAsia" w:cs="仿宋_GB2312" w:asciiTheme="minorEastAsia" w:hAnsiTheme="minorEastAsia"/>
          <w:kern w:val="0"/>
          <w:sz w:val="24"/>
          <w:szCs w:val="32"/>
          <w:lang w:bidi="ar"/>
        </w:rPr>
        <w:t>分，自评结果为良好。</w:t>
      </w:r>
    </w:p>
    <w:p>
      <w:pPr>
        <w:pStyle w:val="4"/>
        <w:widowControl/>
        <w:spacing w:after="300" w:line="600" w:lineRule="atLeast"/>
        <w:jc w:val="left"/>
        <w:rPr>
          <w:rFonts w:hint="eastAsia" w:ascii="黑体" w:hAnsi="黑体" w:eastAsia="黑体" w:cstheme="minorEastAsia"/>
          <w:b/>
          <w:kern w:val="0"/>
          <w:sz w:val="32"/>
          <w:shd w:val="clear" w:color="auto" w:fill="FFFFFF"/>
        </w:rPr>
      </w:pPr>
      <w:r>
        <w:rPr>
          <w:rFonts w:hint="eastAsia" w:ascii="黑体" w:hAnsi="黑体" w:eastAsia="黑体" w:cstheme="minorEastAsia"/>
          <w:b/>
          <w:kern w:val="0"/>
          <w:sz w:val="32"/>
          <w:shd w:val="clear" w:color="auto" w:fill="FFFFFF"/>
        </w:rPr>
        <w:t>六、存在的问题及原因分析</w:t>
      </w:r>
    </w:p>
    <w:p>
      <w:pPr>
        <w:widowControl/>
        <w:spacing w:line="360" w:lineRule="auto"/>
        <w:ind w:firstLine="480" w:firstLineChars="200"/>
        <w:jc w:val="left"/>
        <w:rPr>
          <w:rFonts w:hint="eastAsia"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2022年部分资金兑付滞后，具体原因是各部门领导会议较多，业务繁忙，导致会审不及时。应对措施：今后将积极统筹安排集中会审时间。</w:t>
      </w:r>
    </w:p>
    <w:p>
      <w:pPr>
        <w:pStyle w:val="4"/>
        <w:widowControl/>
        <w:spacing w:after="300" w:line="600" w:lineRule="atLeast"/>
        <w:jc w:val="left"/>
        <w:rPr>
          <w:rFonts w:hint="eastAsia" w:ascii="黑体" w:hAnsi="黑体" w:eastAsia="黑体" w:cstheme="minorEastAsia"/>
          <w:b/>
          <w:kern w:val="0"/>
          <w:sz w:val="32"/>
          <w:shd w:val="clear" w:color="auto" w:fill="FFFFFF"/>
        </w:rPr>
      </w:pPr>
      <w:r>
        <w:rPr>
          <w:rFonts w:hint="eastAsia" w:ascii="黑体" w:hAnsi="黑体" w:eastAsia="黑体" w:cstheme="minorEastAsia"/>
          <w:b/>
          <w:kern w:val="0"/>
          <w:sz w:val="32"/>
          <w:shd w:val="clear" w:color="auto" w:fill="FFFFFF"/>
        </w:rPr>
        <w:t>七、下一步改进措施</w:t>
      </w:r>
    </w:p>
    <w:p>
      <w:pPr>
        <w:widowControl/>
        <w:spacing w:line="360" w:lineRule="auto"/>
        <w:ind w:firstLine="480" w:firstLineChars="200"/>
        <w:jc w:val="left"/>
        <w:rPr>
          <w:rFonts w:hint="eastAsia" w:cs="仿宋_GB2312" w:asciiTheme="minorEastAsia" w:hAnsiTheme="minorEastAsia"/>
          <w:kern w:val="0"/>
          <w:sz w:val="24"/>
          <w:szCs w:val="32"/>
          <w:lang w:bidi="ar"/>
        </w:rPr>
      </w:pPr>
      <w:r>
        <w:rPr>
          <w:rFonts w:hint="eastAsia" w:cs="仿宋_GB2312" w:asciiTheme="minorEastAsia" w:hAnsiTheme="minorEastAsia"/>
          <w:kern w:val="0"/>
          <w:sz w:val="24"/>
          <w:szCs w:val="32"/>
          <w:lang w:bidi="ar"/>
        </w:rPr>
        <w:t>进一步提高绩效管理水平。加强预算执行的准确性，开展好支出绩效管理工作，运用好绩效评价结果，不断提升绩效管理水平。</w:t>
      </w:r>
    </w:p>
    <w:p>
      <w:pPr>
        <w:spacing w:line="600" w:lineRule="exact"/>
        <w:rPr>
          <w:rFonts w:asciiTheme="minorEastAsia" w:hAnsiTheme="minorEastAsia" w:cstheme="minorEastAsia"/>
          <w:kern w:val="0"/>
          <w:sz w:val="24"/>
        </w:rPr>
      </w:pPr>
      <w:r>
        <w:rPr>
          <w:rFonts w:hint="eastAsia" w:asciiTheme="minorEastAsia" w:hAnsiTheme="minorEastAsia" w:cstheme="minorEastAsia"/>
          <w:kern w:val="0"/>
          <w:sz w:val="24"/>
        </w:rPr>
        <w:t>附件1</w:t>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p>
    <w:p>
      <w:pPr>
        <w:spacing w:line="600" w:lineRule="exact"/>
        <w:jc w:val="center"/>
        <w:rPr>
          <w:rFonts w:asciiTheme="minorEastAsia" w:hAnsiTheme="minorEastAsia" w:cstheme="minorEastAsia"/>
          <w:bCs/>
          <w:kern w:val="0"/>
          <w:sz w:val="24"/>
        </w:rPr>
      </w:pPr>
      <w:r>
        <w:rPr>
          <w:rFonts w:hint="eastAsia" w:asciiTheme="minorEastAsia" w:hAnsiTheme="minorEastAsia" w:cstheme="minorEastAsia"/>
          <w:bCs/>
          <w:kern w:val="0"/>
          <w:sz w:val="24"/>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一级指标</w:t>
            </w:r>
          </w:p>
        </w:tc>
        <w:tc>
          <w:tcPr>
            <w:tcW w:w="429"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二级指标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85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三级   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3118"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评价标准</w:t>
            </w:r>
          </w:p>
        </w:tc>
        <w:tc>
          <w:tcPr>
            <w:tcW w:w="3472"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备注</w:t>
            </w:r>
          </w:p>
        </w:tc>
        <w:tc>
          <w:tcPr>
            <w:tcW w:w="61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投    入</w:t>
            </w:r>
          </w:p>
        </w:tc>
        <w:tc>
          <w:tcPr>
            <w:tcW w:w="429"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预算配置</w:t>
            </w:r>
          </w:p>
        </w:tc>
        <w:tc>
          <w:tcPr>
            <w:tcW w:w="56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18</w:t>
            </w: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“三公经费”变动率≤0,计3分；“三公经费”＞0，每超过一个百分点扣0.3分，扣完为止。</w:t>
            </w:r>
          </w:p>
        </w:tc>
        <w:tc>
          <w:tcPr>
            <w:tcW w:w="3472"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“三公经费”变动率=[（本年度“三公经费”总额-上年度“三公经费”总额）/上年度“三公经费”总额]×100%。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“三公经费”：指政府部门人员因公出国（境）经费、公务车购置及运行费、公务招待费产生的消费。</w:t>
            </w: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①招待费用明确招待标准和招待人数,1分;②车辆维护、燃油使用政府定点，1分。③制定“三公经费”管理办法，1分，每少一项扣1分，扣完为止。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招待费变动率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“公务招待费”变动率≤0,计2分；“公务招待费变动率”＞0，每超过一个百分点扣0.2分，扣完为止。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公务招待费变动率=[（本年度“公务招待费”总额-上年度“公务招待费”总额）/上年度“公务招待费”总额]×100%。</w:t>
            </w: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运行费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“公务用车购置运行费”变动率≤0,计2分；“公务用车购置运行费变动率”＞0，每超过一个百分点扣0.2分，扣完为止。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 和服务支出 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“商品和服务支出”变动率≤0,计2分；“商品和服务支出”变动率＞0，每超过一个百分点扣0.2分，扣完为止。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“商品和服务支出”变动率=[（本年度“商品和服务支出”总额-上年度“商品和服务支出”总额）/上年度“商品和服务支出”总额]×100%。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支出  安排率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重点支出安排率≥90%，计2分；80%（含）-90%，计1分；70%（含）-80%，计0.5分；低于70%不得分。</w:t>
            </w:r>
          </w:p>
        </w:tc>
        <w:tc>
          <w:tcPr>
            <w:tcW w:w="3472"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重点支出安排率=（重点项目支出/项目总支出）×100%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①实行收支两条线，1分；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②未发生截留、坐支或转移，1分。以上每发现一次违规现象扣1分，扣完为止。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非税收入完成率100%，2分，每少一个百分点，扣0.1分，扣完为止。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非税收入完成率=（2021年度非税实际收入完成数/2021年度非税收入预算数）×100%，有减免因素的，以非税局确定的为准。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p>
            <w:pPr>
              <w:widowControl/>
              <w:ind w:left="113" w:right="113"/>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tc>
        <w:tc>
          <w:tcPr>
            <w:tcW w:w="429" w:type="dxa"/>
            <w:vMerge w:val="restart"/>
            <w:tcBorders>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预算执行</w:t>
            </w:r>
          </w:p>
        </w:tc>
        <w:tc>
          <w:tcPr>
            <w:tcW w:w="567" w:type="dxa"/>
            <w:vMerge w:val="restart"/>
            <w:tcBorders>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完成率&lt;1，计2分，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完成率=1，计1分，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完成率&gt;1，不得分。</w:t>
            </w:r>
          </w:p>
          <w:p>
            <w:pPr>
              <w:widowControl/>
              <w:jc w:val="left"/>
              <w:rPr>
                <w:rFonts w:asciiTheme="minorEastAsia" w:hAnsiTheme="minorEastAsia" w:cstheme="minorEastAsia"/>
                <w:kern w:val="0"/>
                <w:sz w:val="18"/>
                <w:szCs w:val="18"/>
              </w:rPr>
            </w:pP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  结余</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结余超过10%（不含），2分；结余在0-10%（含）的，1分；本年超支不得分。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本项结余不含未完工项目资金的结转数。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控制率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以100%为标准。三公经费控制率≤100%，计2分；每超过一个百分点扣0.2分，扣完为止。单位没有制定“三公”经费预算，该项不得分。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“三公经费”控制率=（“三公经费”实际支出数/“三公经费”预算安排数）×100%。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采购</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①编制政府采购年度预算并上报的，0.5分；②追加并编制政府采购预算的，0.5分；③政府采购执行率=100%，计1分；每少一个百分点扣0.1分，扣完为止。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政府采购执行率=（实际实行政府采购金额/应实行政府采购金额）×100%。应实行政府采金额以《湘财购[2012]27号》文件为标准。</w:t>
            </w: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预算管理</w:t>
            </w:r>
          </w:p>
        </w:tc>
        <w:tc>
          <w:tcPr>
            <w:tcW w:w="567" w:type="dxa"/>
            <w:vMerge w:val="restart"/>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28</w:t>
            </w:r>
          </w:p>
        </w:tc>
        <w:tc>
          <w:tcPr>
            <w:tcW w:w="851" w:type="dxa"/>
            <w:tcBorders>
              <w:top w:val="single" w:color="auto" w:sz="4" w:space="0"/>
            </w:tcBorders>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tcBorders>
              <w:top w:val="single" w:color="auto" w:sz="4" w:space="0"/>
            </w:tcBorders>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rPr>
                <w:rFonts w:asciiTheme="minorEastAsia" w:hAnsiTheme="minorEastAsia" w:cstheme="minorEastAsia"/>
                <w:kern w:val="0"/>
                <w:sz w:val="18"/>
                <w:szCs w:val="18"/>
              </w:rPr>
            </w:pPr>
          </w:p>
        </w:tc>
        <w:tc>
          <w:tcPr>
            <w:tcW w:w="3118" w:type="dxa"/>
            <w:tcBorders>
              <w:top w:val="single" w:color="auto" w:sz="4" w:space="0"/>
            </w:tcBorders>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①已制定资金管理办法、内部财务管理制度、会计核算制度等管理制度，1分；</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②建立健全单位内部控制制度，1分；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③会计人员、机构按规定设置，1分；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④会计基础工作健全，1分；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⑤会计档案符合规定要求，1分；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p>
        </w:tc>
        <w:tc>
          <w:tcPr>
            <w:tcW w:w="851"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内控制度情况</w:t>
            </w:r>
          </w:p>
        </w:tc>
        <w:tc>
          <w:tcPr>
            <w:tcW w:w="567"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4分</w:t>
            </w:r>
          </w:p>
        </w:tc>
        <w:tc>
          <w:tcPr>
            <w:tcW w:w="3118" w:type="dxa"/>
            <w:tcBorders>
              <w:top w:val="single" w:color="auto" w:sz="4" w:space="0"/>
            </w:tcBorders>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过程</w:t>
            </w: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资金  使用</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14</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①支出符合国家财经法规和财务管理制度规定以及有关专项资金管理办法的规定；</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②资金（开支）拨付有完整的审批程序和手续；</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③支出符合部门预算批复的用途；</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④资金使用无截留、挤占、挪用、虚列支出、随意借用、大额现金支付等情况。</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⑤重大财务事项经由集体研究决策；</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⑥专项资金做到专款专用；</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⑦原始凭证的取得真实有效；</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⑧无超范围、超预算开支；</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⑨无超标准发放津补贴、奖金，无用公款支付应由个人支付的款项。</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部门（单位）使用预算资金是否符合相关的预算财务管理制度的规定，用以反映和考核部门（单位）预算资金的规范运行情况。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预决算信息公开性和完善性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预决算信息是指与部门预算、执行、决算、监督、绩效等管理相关的信息。</w:t>
            </w: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①已制定资产管理制度，1分；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②相关资产管理制度得到有效执行，1分。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资产  管理</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安全性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16</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 xml:space="preserve">①资产保存完整；②资产配置合理；③资产处置规范； </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④资产账务管理合规，帐实帐卡、账账、账表（决算报表等）相符；⑤资产有偿使用及处置收入及时足额上缴；⑥清查盘点：每年至少清查盘点一次；⑦产权明晰，权证齐全；⑧按标准购置固定资产。</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以上情况每出现一例不符合要求的扣2分；⑨未按时报送2018年行政事业单位资产报表的，每延迟一天，扣1分，扣完为止。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固定  资产</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利用率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固定资产利用率,100%,2分,每低于一个百分点扣0.2分，扣完为止。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固定资产利用率=（实际在用固定资产总额/所有固定资产总额）×100%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绩效管理</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17</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目标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 评价</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tcBorders>
              <w:top w:val="nil"/>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tcBorders>
              <w:top w:val="nil"/>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评价 结果 运用</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sz w:val="18"/>
                <w:szCs w:val="18"/>
              </w:rPr>
            </w:pPr>
            <w:r>
              <w:rPr>
                <w:rFonts w:hint="eastAsia" w:asciiTheme="minorEastAsia" w:hAnsiTheme="minorEastAsia" w:cstheme="minorEastAsia"/>
                <w:kern w:val="0"/>
                <w:sz w:val="18"/>
                <w:szCs w:val="18"/>
              </w:rPr>
              <w:t>根据2019年度财政重点绩效评价和单位自评情况，向财政报送整改结果并整改到位的，2分，否则不得分。</w:t>
            </w:r>
          </w:p>
        </w:tc>
        <w:tc>
          <w:tcPr>
            <w:tcW w:w="3472" w:type="dxa"/>
            <w:vAlign w:val="center"/>
          </w:tcPr>
          <w:p>
            <w:pPr>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产   出</w:t>
            </w:r>
          </w:p>
        </w:tc>
        <w:tc>
          <w:tcPr>
            <w:tcW w:w="429" w:type="dxa"/>
            <w:vMerge w:val="restart"/>
            <w:tcBorders>
              <w:top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职责履行</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工作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该项得分=重点工作完成率×2</w:t>
            </w: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重点工作为市政府确定的为民办实事和部门重点工程与重点工作。</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工作</w:t>
            </w:r>
          </w:p>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质量</w:t>
            </w:r>
          </w:p>
        </w:tc>
        <w:tc>
          <w:tcPr>
            <w:tcW w:w="567"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以绩效考核评估结果为标准，优秀，计3分；良好，2分；合格，1分；不合格，0分。</w:t>
            </w:r>
          </w:p>
        </w:tc>
        <w:tc>
          <w:tcPr>
            <w:tcW w:w="3472" w:type="dxa"/>
            <w:vAlign w:val="center"/>
          </w:tcPr>
          <w:p>
            <w:pPr>
              <w:autoSpaceDN w:val="0"/>
              <w:jc w:val="left"/>
              <w:textAlignment w:val="center"/>
              <w:rPr>
                <w:rFonts w:asciiTheme="minorEastAsia" w:hAnsiTheme="minorEastAsia" w:cstheme="minorEastAsia"/>
                <w:kern w:val="0"/>
                <w:sz w:val="18"/>
                <w:szCs w:val="18"/>
              </w:rPr>
            </w:pPr>
          </w:p>
        </w:tc>
        <w:tc>
          <w:tcPr>
            <w:tcW w:w="617" w:type="dxa"/>
            <w:vAlign w:val="center"/>
          </w:tcPr>
          <w:p>
            <w:pPr>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效  果</w:t>
            </w:r>
          </w:p>
        </w:tc>
        <w:tc>
          <w:tcPr>
            <w:tcW w:w="429"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履职效益</w:t>
            </w:r>
          </w:p>
        </w:tc>
        <w:tc>
          <w:tcPr>
            <w:tcW w:w="567"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经济  效益</w:t>
            </w:r>
          </w:p>
        </w:tc>
        <w:tc>
          <w:tcPr>
            <w:tcW w:w="567" w:type="dxa"/>
            <w:vMerge w:val="restart"/>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6590" w:type="dxa"/>
            <w:gridSpan w:val="2"/>
            <w:vMerge w:val="restart"/>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此三项指标可根据部门实际并结合2021年度部门整体支出绩效目标设立情况有选择的进行评价。</w:t>
            </w:r>
          </w:p>
        </w:tc>
        <w:tc>
          <w:tcPr>
            <w:tcW w:w="61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生态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社会公众或服务对象满意度</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90%（含）以上计2分；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80%（含）-90%，计1分；70%（含）-80%，计0.5分；低于70%,计0分。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社会公众或服务对象是指部门（单位）履行职责而影响到的部门，群体或个人，一般采取社会调查的方式(不少于30份)。</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合计</w:t>
            </w:r>
          </w:p>
        </w:tc>
        <w:tc>
          <w:tcPr>
            <w:tcW w:w="8575" w:type="dxa"/>
            <w:gridSpan w:val="5"/>
            <w:vAlign w:val="center"/>
          </w:tcPr>
          <w:p>
            <w:pPr>
              <w:widowControl/>
              <w:jc w:val="left"/>
              <w:rPr>
                <w:rFonts w:hint="default" w:asciiTheme="minorEastAsia" w:hAnsiTheme="minorEastAsia" w:cstheme="minorEastAsia"/>
                <w:kern w:val="0"/>
                <w:sz w:val="18"/>
                <w:szCs w:val="18"/>
                <w:lang w:val="en-US"/>
              </w:rPr>
            </w:pPr>
            <w:r>
              <w:rPr>
                <w:rFonts w:hint="eastAsia" w:asciiTheme="minorEastAsia" w:hAnsiTheme="minorEastAsia" w:cstheme="minorEastAsia"/>
                <w:kern w:val="0"/>
                <w:sz w:val="18"/>
                <w:szCs w:val="18"/>
                <w:lang w:val="en-US" w:eastAsia="zh-CN"/>
              </w:rPr>
              <w:t>90</w:t>
            </w:r>
          </w:p>
        </w:tc>
        <w:tc>
          <w:tcPr>
            <w:tcW w:w="617" w:type="dxa"/>
            <w:vAlign w:val="center"/>
          </w:tcPr>
          <w:p>
            <w:pPr>
              <w:widowControl/>
              <w:jc w:val="center"/>
              <w:rPr>
                <w:rFonts w:asciiTheme="minorEastAsia" w:hAnsiTheme="minorEastAsia" w:cstheme="minorEastAsia"/>
                <w:kern w:val="0"/>
                <w:sz w:val="18"/>
                <w:szCs w:val="18"/>
              </w:rPr>
            </w:pPr>
          </w:p>
        </w:tc>
      </w:tr>
    </w:tbl>
    <w:p>
      <w:pPr>
        <w:spacing w:line="600" w:lineRule="exact"/>
        <w:rPr>
          <w:rFonts w:asciiTheme="minorEastAsia" w:hAnsiTheme="minorEastAsia" w:cstheme="minorEastAsia"/>
          <w:kern w:val="0"/>
          <w:sz w:val="24"/>
        </w:rPr>
      </w:pPr>
    </w:p>
    <w:p>
      <w:pPr>
        <w:widowControl/>
        <w:spacing w:line="360" w:lineRule="auto"/>
        <w:ind w:firstLine="480" w:firstLineChars="200"/>
        <w:jc w:val="left"/>
        <w:rPr>
          <w:rFonts w:hint="eastAsia" w:cs="仿宋_GB2312" w:asciiTheme="minorEastAsia" w:hAnsiTheme="minorEastAsia"/>
          <w:kern w:val="0"/>
          <w:sz w:val="24"/>
          <w:szCs w:val="32"/>
          <w:lang w:bidi="ar"/>
        </w:rPr>
      </w:pPr>
      <w:bookmarkStart w:id="1" w:name="_GoBack"/>
      <w:bookmarkEnd w:id="1"/>
    </w:p>
    <w:p>
      <w:pPr>
        <w:spacing w:line="600" w:lineRule="exact"/>
        <w:rPr>
          <w:rFonts w:asciiTheme="minorEastAsia" w:hAnsiTheme="minorEastAsia" w:cstheme="minorEastAsia"/>
          <w:kern w:val="0"/>
          <w:sz w:val="24"/>
        </w:rPr>
      </w:pPr>
      <w:bookmarkStart w:id="0" w:name="RANGE!A1:H22"/>
    </w:p>
    <w:bookmarkEnd w:id="0"/>
    <w:p>
      <w:pPr>
        <w:spacing w:line="600" w:lineRule="exact"/>
        <w:rPr>
          <w:rFonts w:hint="eastAsia" w:asciiTheme="minorEastAsia" w:hAnsiTheme="minorEastAsia" w:cstheme="minorEastAsia"/>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E9462"/>
    <w:multiLevelType w:val="singleLevel"/>
    <w:tmpl w:val="1F7E9462"/>
    <w:lvl w:ilvl="0" w:tentative="0">
      <w:start w:val="1"/>
      <w:numFmt w:val="decimal"/>
      <w:suff w:val="nothing"/>
      <w:lvlText w:val="（%1）"/>
      <w:lvlJc w:val="left"/>
    </w:lvl>
  </w:abstractNum>
  <w:abstractNum w:abstractNumId="1">
    <w:nsid w:val="47C109E8"/>
    <w:multiLevelType w:val="multilevel"/>
    <w:tmpl w:val="47C109E8"/>
    <w:lvl w:ilvl="0" w:tentative="0">
      <w:start w:val="1"/>
      <w:numFmt w:val="japaneseCounting"/>
      <w:lvlText w:val="（%1）"/>
      <w:lvlJc w:val="left"/>
      <w:pPr>
        <w:ind w:left="945" w:hanging="9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OGMzM2Y1OWYzYzdhMzQ0ZjU5ZmZlZjYzN2FhNzYifQ=="/>
  </w:docVars>
  <w:rsids>
    <w:rsidRoot w:val="00BE1B3D"/>
    <w:rsid w:val="0025477A"/>
    <w:rsid w:val="003451CD"/>
    <w:rsid w:val="00356BDD"/>
    <w:rsid w:val="00361BC5"/>
    <w:rsid w:val="004C162C"/>
    <w:rsid w:val="00577056"/>
    <w:rsid w:val="006140AB"/>
    <w:rsid w:val="0066270C"/>
    <w:rsid w:val="00782A83"/>
    <w:rsid w:val="0079732F"/>
    <w:rsid w:val="008053EF"/>
    <w:rsid w:val="009225A8"/>
    <w:rsid w:val="0092398A"/>
    <w:rsid w:val="00B010E3"/>
    <w:rsid w:val="00BE1B3D"/>
    <w:rsid w:val="00C80E5E"/>
    <w:rsid w:val="00CE7591"/>
    <w:rsid w:val="00EC45A6"/>
    <w:rsid w:val="0D777500"/>
    <w:rsid w:val="0DC2450A"/>
    <w:rsid w:val="18982391"/>
    <w:rsid w:val="1D941472"/>
    <w:rsid w:val="1EAC476E"/>
    <w:rsid w:val="274B02F4"/>
    <w:rsid w:val="45AD0E01"/>
    <w:rsid w:val="48471187"/>
    <w:rsid w:val="4CAB3057"/>
    <w:rsid w:val="532F4F57"/>
    <w:rsid w:val="55041763"/>
    <w:rsid w:val="59183DD0"/>
    <w:rsid w:val="6D1A3277"/>
    <w:rsid w:val="78FB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color="auto"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color="auto"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color="auto"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 w:type="paragraph" w:styleId="35">
    <w:name w:val="List Paragraph"/>
    <w:basedOn w:val="1"/>
    <w:qFormat/>
    <w:uiPriority w:val="34"/>
    <w:pPr>
      <w:ind w:firstLine="420" w:firstLineChars="200"/>
    </w:pPr>
  </w:style>
  <w:style w:type="paragraph" w:customStyle="1" w:styleId="36">
    <w:name w:val="正文首行缩进 21"/>
    <w:basedOn w:val="37"/>
    <w:qFormat/>
    <w:uiPriority w:val="0"/>
    <w:pPr>
      <w:ind w:firstLine="420" w:firstLineChars="200"/>
    </w:pPr>
  </w:style>
  <w:style w:type="paragraph" w:customStyle="1" w:styleId="37">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307</Words>
  <Characters>1754</Characters>
  <Lines>14</Lines>
  <Paragraphs>4</Paragraphs>
  <TotalTime>0</TotalTime>
  <ScaleCrop>false</ScaleCrop>
  <LinksUpToDate>false</LinksUpToDate>
  <CharactersWithSpaces>2057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2023-10-07T08:44:00Z</dcterms:created>
  <dc:creator>Administrator</dc:creator>
  <cp:lastModifiedBy>Administrator</cp:lastModifiedBy>
  <dcterms:modified xsi:type="dcterms:W3CDTF">2023-12-13T09:55:48Z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4414CEC2CECA4BCF918AECD021B5989E_13</vt:lpwstr>
  </property>
</Properties>
</file>