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
          <w:bCs/>
          <w:sz w:val="52"/>
          <w:szCs w:val="52"/>
        </w:rPr>
      </w:pPr>
    </w:p>
    <w:p>
      <w:pPr>
        <w:jc w:val="center"/>
        <w:rPr>
          <w:rFonts w:eastAsia="方正小标宋简体"/>
          <w:b/>
          <w:bCs/>
          <w:sz w:val="52"/>
          <w:szCs w:val="52"/>
        </w:rPr>
      </w:pPr>
    </w:p>
    <w:p>
      <w:pPr>
        <w:spacing w:line="600" w:lineRule="exact"/>
        <w:jc w:val="center"/>
        <w:rPr>
          <w:rFonts w:eastAsia="方正小标宋简体" w:cs="方正小标宋简体"/>
          <w:b/>
          <w:bCs/>
          <w:sz w:val="52"/>
          <w:szCs w:val="52"/>
        </w:rPr>
      </w:pPr>
    </w:p>
    <w:p>
      <w:pPr>
        <w:spacing w:line="600" w:lineRule="exact"/>
        <w:jc w:val="center"/>
        <w:rPr>
          <w:rFonts w:eastAsia="方正小标宋简体"/>
          <w:sz w:val="52"/>
          <w:szCs w:val="52"/>
        </w:rPr>
      </w:pPr>
      <w:bookmarkStart w:id="0" w:name="_Hlk153787976"/>
      <w:r>
        <w:rPr>
          <w:rFonts w:hint="eastAsia" w:eastAsia="方正小标宋简体" w:cs="方正小标宋简体"/>
          <w:b/>
          <w:bCs/>
          <w:sz w:val="52"/>
          <w:szCs w:val="52"/>
        </w:rPr>
        <w:t>事前绩效评估报告</w:t>
      </w: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p>
    <w:p>
      <w:pPr>
        <w:rPr>
          <w:rFonts w:eastAsia="仿宋_GB2312"/>
          <w:sz w:val="32"/>
          <w:szCs w:val="32"/>
          <w:u w:val="single"/>
        </w:rPr>
      </w:pPr>
    </w:p>
    <w:tbl>
      <w:tblPr>
        <w:tblStyle w:val="10"/>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ascii="仿宋" w:hAnsi="仿宋" w:eastAsia="仿宋" w:cs="仿宋"/>
                <w:b/>
                <w:bCs/>
                <w:sz w:val="32"/>
                <w:szCs w:val="32"/>
              </w:rPr>
              <w:t>项目名称：</w:t>
            </w:r>
          </w:p>
        </w:tc>
        <w:tc>
          <w:tcPr>
            <w:tcW w:w="5852" w:type="dxa"/>
            <w:tcBorders>
              <w:top w:val="nil"/>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u w:val="none"/>
                <w:lang w:val="en-US" w:eastAsia="zh-CN"/>
              </w:rPr>
              <w:t>北塔区</w:t>
            </w:r>
            <w:r>
              <w:rPr>
                <w:rFonts w:hint="eastAsia" w:ascii="仿宋" w:hAnsi="仿宋" w:eastAsia="仿宋" w:cs="仿宋"/>
                <w:sz w:val="32"/>
                <w:szCs w:val="32"/>
                <w:u w:val="none"/>
                <w:lang w:eastAsia="zh-CN"/>
              </w:rPr>
              <w:t>茶元头</w:t>
            </w:r>
            <w:r>
              <w:rPr>
                <w:rFonts w:hint="eastAsia" w:ascii="仿宋" w:hAnsi="仿宋" w:eastAsia="仿宋" w:cs="仿宋"/>
                <w:sz w:val="32"/>
                <w:szCs w:val="32"/>
                <w:u w:val="none"/>
                <w:lang w:val="en-US" w:eastAsia="zh-CN"/>
              </w:rPr>
              <w:t>中学篮球场改造</w:t>
            </w:r>
            <w:r>
              <w:rPr>
                <w:rFonts w:hint="eastAsia" w:ascii="仿宋" w:hAnsi="仿宋" w:eastAsia="仿宋" w:cs="仿宋"/>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项目单位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w:t>
            </w:r>
            <w:r>
              <w:rPr>
                <w:rFonts w:hint="eastAsia" w:ascii="仿宋" w:hAnsi="仿宋" w:eastAsia="仿宋" w:cs="仿宋"/>
                <w:sz w:val="32"/>
                <w:szCs w:val="32"/>
                <w:lang w:val="en-US" w:eastAsia="zh-CN"/>
              </w:rPr>
              <w:t>教育</w:t>
            </w:r>
            <w:r>
              <w:rPr>
                <w:rFonts w:hint="eastAsia" w:ascii="仿宋" w:hAnsi="仿宋" w:eastAsia="仿宋" w:cs="仿宋"/>
                <w:sz w:val="32"/>
                <w:szCs w:val="3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委托单位</w:t>
            </w:r>
            <w:r>
              <w:rPr>
                <w:rFonts w:hint="eastAsia" w:ascii="仿宋" w:hAnsi="仿宋" w:eastAsia="仿宋" w:cs="仿宋"/>
                <w:b/>
                <w:bCs/>
                <w:sz w:val="32"/>
                <w:szCs w:val="32"/>
              </w:rPr>
              <w:t>：</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vAlign w:val="bottom"/>
          </w:tcPr>
          <w:p>
            <w:pPr>
              <w:spacing w:line="440" w:lineRule="exact"/>
              <w:jc w:val="left"/>
              <w:rPr>
                <w:rFonts w:ascii="仿宋" w:hAnsi="仿宋" w:eastAsia="仿宋" w:cs="仿宋"/>
                <w:b/>
                <w:bCs/>
                <w:sz w:val="32"/>
                <w:szCs w:val="32"/>
              </w:rPr>
            </w:pPr>
            <w:r>
              <w:rPr>
                <w:rFonts w:hint="eastAsia" w:cs="仿宋"/>
                <w:b/>
                <w:bCs/>
                <w:sz w:val="32"/>
                <w:szCs w:val="32"/>
              </w:rPr>
              <w:t>评价</w:t>
            </w:r>
            <w:r>
              <w:rPr>
                <w:rFonts w:hint="eastAsia" w:ascii="仿宋" w:hAnsi="仿宋" w:eastAsia="仿宋" w:cs="仿宋"/>
                <w:b/>
                <w:bCs/>
                <w:sz w:val="32"/>
                <w:szCs w:val="32"/>
              </w:rPr>
              <w:t>机构：</w:t>
            </w:r>
          </w:p>
        </w:tc>
        <w:tc>
          <w:tcPr>
            <w:tcW w:w="5852" w:type="dxa"/>
            <w:tcBorders>
              <w:top w:val="single" w:color="auto" w:sz="4" w:space="0"/>
              <w:left w:val="nil"/>
              <w:bottom w:val="single" w:color="auto" w:sz="4" w:space="0"/>
              <w:right w:val="nil"/>
            </w:tcBorders>
            <w:vAlign w:val="bottom"/>
          </w:tcPr>
          <w:p>
            <w:pPr>
              <w:spacing w:line="520" w:lineRule="exact"/>
              <w:rPr>
                <w:rFonts w:ascii="仿宋" w:hAnsi="仿宋" w:eastAsia="仿宋" w:cs="仿宋"/>
                <w:sz w:val="32"/>
                <w:szCs w:val="32"/>
              </w:rPr>
            </w:pPr>
            <w:r>
              <w:rPr>
                <w:rFonts w:hint="eastAsia" w:ascii="仿宋" w:hAnsi="仿宋" w:eastAsia="仿宋" w:cs="仿宋"/>
                <w:sz w:val="32"/>
                <w:szCs w:val="32"/>
              </w:rPr>
              <w:t>湖南骏新联合会计师事务所（普通合伙）</w:t>
            </w:r>
          </w:p>
        </w:tc>
      </w:tr>
    </w:tbl>
    <w:p>
      <w:pPr>
        <w:jc w:val="center"/>
        <w:rPr>
          <w:rFonts w:eastAsia="仿宋_GB2312"/>
          <w:sz w:val="32"/>
          <w:szCs w:val="32"/>
          <w:u w:val="single"/>
        </w:rPr>
      </w:pPr>
    </w:p>
    <w:p>
      <w:pPr>
        <w:jc w:val="center"/>
        <w:rPr>
          <w:rFonts w:eastAsia="仿宋_GB2312"/>
          <w:sz w:val="32"/>
          <w:szCs w:val="32"/>
          <w:u w:val="single"/>
        </w:rPr>
      </w:pPr>
    </w:p>
    <w:p>
      <w:pPr>
        <w:ind w:firstLine="321" w:firstLineChars="100"/>
        <w:jc w:val="center"/>
        <w:rPr>
          <w:rFonts w:ascii="仿宋" w:hAnsi="仿宋" w:eastAsia="仿宋" w:cs="仿宋"/>
          <w:b/>
          <w:bCs/>
          <w:sz w:val="32"/>
          <w:szCs w:val="32"/>
        </w:rPr>
      </w:pPr>
    </w:p>
    <w:p>
      <w:pPr>
        <w:ind w:firstLine="321" w:firstLineChars="100"/>
        <w:jc w:val="center"/>
      </w:pPr>
      <w:r>
        <w:rPr>
          <w:rFonts w:hint="eastAsia" w:ascii="仿宋" w:hAnsi="仿宋" w:eastAsia="仿宋" w:cs="仿宋"/>
          <w:b/>
          <w:bCs/>
          <w:sz w:val="32"/>
          <w:szCs w:val="32"/>
        </w:rPr>
        <w:t>二○二</w:t>
      </w:r>
      <w:r>
        <w:rPr>
          <w:rFonts w:hint="eastAsia" w:cs="仿宋"/>
          <w:b/>
          <w:bCs/>
          <w:sz w:val="32"/>
          <w:szCs w:val="32"/>
        </w:rPr>
        <w:t>三</w:t>
      </w:r>
      <w:r>
        <w:rPr>
          <w:rFonts w:hint="eastAsia" w:ascii="仿宋" w:hAnsi="仿宋" w:eastAsia="仿宋" w:cs="仿宋"/>
          <w:b/>
          <w:bCs/>
          <w:sz w:val="32"/>
          <w:szCs w:val="32"/>
        </w:rPr>
        <w:t>年</w:t>
      </w:r>
      <w:r>
        <w:rPr>
          <w:rFonts w:hint="eastAsia" w:cs="仿宋"/>
          <w:b/>
          <w:bCs/>
          <w:color w:val="000000"/>
          <w:sz w:val="32"/>
          <w:szCs w:val="32"/>
        </w:rPr>
        <w:t>十一</w:t>
      </w:r>
      <w:r>
        <w:rPr>
          <w:rFonts w:hint="eastAsia" w:ascii="仿宋" w:hAnsi="仿宋" w:eastAsia="仿宋" w:cs="仿宋"/>
          <w:b/>
          <w:bCs/>
          <w:color w:val="000000"/>
          <w:sz w:val="32"/>
          <w:szCs w:val="32"/>
        </w:rPr>
        <w:t>月</w:t>
      </w:r>
      <w:r>
        <w:rPr>
          <w:rFonts w:hint="eastAsia" w:cs="仿宋"/>
          <w:b/>
          <w:bCs/>
          <w:color w:val="000000"/>
          <w:sz w:val="32"/>
          <w:szCs w:val="32"/>
        </w:rPr>
        <w:t>二十六</w:t>
      </w:r>
      <w:r>
        <w:rPr>
          <w:rFonts w:hint="eastAsia" w:ascii="仿宋" w:hAnsi="仿宋" w:eastAsia="仿宋" w:cs="仿宋"/>
          <w:b/>
          <w:bCs/>
          <w:color w:val="000000"/>
          <w:sz w:val="32"/>
          <w:szCs w:val="32"/>
        </w:rPr>
        <w:t>日</w:t>
      </w:r>
    </w:p>
    <w:bookmarkEnd w:id="0"/>
    <w:p>
      <w:pPr>
        <w:jc w:val="center"/>
        <w:rPr>
          <w:rFonts w:ascii="宋体"/>
          <w:b/>
          <w:bCs/>
          <w:sz w:val="32"/>
          <w:szCs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lang w:eastAsia="zh-CN"/>
        </w:rPr>
        <w:t>202</w:t>
      </w:r>
      <w:r>
        <w:rPr>
          <w:rFonts w:hint="eastAsia"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027</w:t>
      </w:r>
      <w:r>
        <w:rPr>
          <w:rFonts w:hint="eastAsia" w:ascii="仿宋" w:hAnsi="仿宋" w:eastAsia="仿宋" w:cs="仿宋"/>
          <w:color w:val="000000"/>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北塔区</w:t>
      </w:r>
      <w:r>
        <w:rPr>
          <w:rFonts w:hint="eastAsia" w:ascii="宋体" w:hAnsi="宋体" w:eastAsia="宋体" w:cs="宋体"/>
          <w:b/>
          <w:bCs/>
          <w:sz w:val="36"/>
          <w:szCs w:val="36"/>
          <w:lang w:eastAsia="zh-CN"/>
        </w:rPr>
        <w:t>茶元头</w:t>
      </w:r>
      <w:r>
        <w:rPr>
          <w:rFonts w:hint="eastAsia" w:ascii="宋体" w:hAnsi="宋体" w:eastAsia="宋体" w:cs="宋体"/>
          <w:b/>
          <w:bCs/>
          <w:sz w:val="36"/>
          <w:szCs w:val="36"/>
          <w:lang w:val="en-US" w:eastAsia="zh-CN"/>
        </w:rPr>
        <w:t>中学篮球场改造项目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36"/>
          <w:szCs w:val="36"/>
        </w:rPr>
      </w:pPr>
      <w:r>
        <w:rPr>
          <w:rFonts w:hint="eastAsia" w:ascii="宋体" w:hAnsi="宋体" w:eastAsia="宋体" w:cs="宋体"/>
          <w:b/>
          <w:bCs/>
          <w:sz w:val="36"/>
          <w:szCs w:val="36"/>
        </w:rPr>
        <w:t>事前绩效评估报告</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一、评估对象</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（一）项目名称</w:t>
      </w:r>
    </w:p>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北塔区</w:t>
      </w:r>
      <w:r>
        <w:rPr>
          <w:rFonts w:hint="eastAsia" w:ascii="仿宋" w:hAnsi="仿宋" w:eastAsia="仿宋" w:cs="仿宋"/>
          <w:color w:val="000000"/>
          <w:kern w:val="0"/>
          <w:sz w:val="28"/>
          <w:szCs w:val="28"/>
          <w:lang w:eastAsia="zh-CN" w:bidi="ar"/>
        </w:rPr>
        <w:t>茶元头</w:t>
      </w:r>
      <w:r>
        <w:rPr>
          <w:rFonts w:hint="eastAsia" w:ascii="仿宋" w:hAnsi="仿宋" w:eastAsia="仿宋" w:cs="仿宋"/>
          <w:color w:val="000000"/>
          <w:kern w:val="0"/>
          <w:sz w:val="28"/>
          <w:szCs w:val="28"/>
          <w:lang w:val="en-US" w:eastAsia="zh-CN" w:bidi="ar"/>
        </w:rPr>
        <w:t>中学篮球场改造项目</w:t>
      </w:r>
    </w:p>
    <w:p>
      <w:pPr>
        <w:keepNext w:val="0"/>
        <w:keepLines w:val="0"/>
        <w:pageBreakBefore w:val="0"/>
        <w:numPr>
          <w:ilvl w:val="0"/>
          <w:numId w:val="1"/>
        </w:numPr>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项目绩效目标</w:t>
      </w:r>
    </w:p>
    <w:p>
      <w:pPr>
        <w:keepNext w:val="0"/>
        <w:keepLines w:val="0"/>
        <w:pageBreakBefore w:val="0"/>
        <w:numPr>
          <w:ilvl w:val="0"/>
          <w:numId w:val="0"/>
        </w:numPr>
        <w:wordWrap/>
        <w:overflowPunct w:val="0"/>
        <w:topLinePunct w:val="0"/>
        <w:bidi w:val="0"/>
        <w:spacing w:line="540" w:lineRule="exact"/>
        <w:ind w:firstLine="562" w:firstLineChars="200"/>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1.项目总体目标</w:t>
      </w:r>
    </w:p>
    <w:p>
      <w:pPr>
        <w:keepNext w:val="0"/>
        <w:keepLines w:val="0"/>
        <w:pageBreakBefore w:val="0"/>
        <w:numPr>
          <w:ilvl w:val="0"/>
          <w:numId w:val="0"/>
        </w:numPr>
        <w:wordWrap/>
        <w:overflowPunct w:val="0"/>
        <w:topLinePunct w:val="0"/>
        <w:bidi w:val="0"/>
        <w:spacing w:line="540" w:lineRule="exact"/>
        <w:ind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旨在解决</w:t>
      </w:r>
      <w:r>
        <w:rPr>
          <w:rFonts w:hint="eastAsia" w:ascii="仿宋" w:hAnsi="仿宋" w:eastAsia="仿宋" w:cs="仿宋"/>
          <w:color w:val="000000"/>
          <w:kern w:val="0"/>
          <w:sz w:val="28"/>
          <w:szCs w:val="28"/>
          <w:lang w:eastAsia="zh-CN" w:bidi="ar"/>
        </w:rPr>
        <w:t>北塔区茶元头</w:t>
      </w:r>
      <w:r>
        <w:rPr>
          <w:rFonts w:hint="eastAsia" w:ascii="仿宋" w:hAnsi="仿宋" w:eastAsia="仿宋" w:cs="仿宋"/>
          <w:color w:val="000000"/>
          <w:kern w:val="0"/>
          <w:sz w:val="28"/>
          <w:szCs w:val="28"/>
          <w:lang w:val="en-US" w:eastAsia="zh-CN" w:bidi="ar"/>
        </w:rPr>
        <w:t>中学</w:t>
      </w:r>
      <w:r>
        <w:rPr>
          <w:rFonts w:hint="eastAsia" w:ascii="仿宋" w:hAnsi="仿宋" w:eastAsia="仿宋" w:cs="仿宋"/>
          <w:color w:val="000000"/>
          <w:kern w:val="0"/>
          <w:sz w:val="28"/>
          <w:szCs w:val="28"/>
          <w:lang w:eastAsia="zh-CN" w:bidi="ar"/>
        </w:rPr>
        <w:t>对于篮球场的需求</w:t>
      </w:r>
      <w:r>
        <w:rPr>
          <w:rFonts w:hint="eastAsia" w:ascii="仿宋" w:hAnsi="仿宋" w:eastAsia="仿宋" w:cs="仿宋"/>
          <w:color w:val="000000"/>
          <w:kern w:val="0"/>
          <w:sz w:val="28"/>
          <w:szCs w:val="28"/>
          <w:lang w:val="en-US" w:eastAsia="zh-CN" w:bidi="ar"/>
        </w:rPr>
        <w:t>问题，项目的建设</w:t>
      </w:r>
      <w:r>
        <w:rPr>
          <w:rFonts w:hint="eastAsia" w:ascii="仿宋" w:hAnsi="仿宋" w:eastAsia="仿宋" w:cs="仿宋"/>
          <w:color w:val="000000"/>
          <w:kern w:val="0"/>
          <w:sz w:val="28"/>
          <w:szCs w:val="28"/>
          <w:lang w:eastAsia="zh-CN" w:bidi="ar"/>
        </w:rPr>
        <w:t>可</w:t>
      </w:r>
      <w:r>
        <w:rPr>
          <w:rFonts w:hint="eastAsia" w:ascii="仿宋" w:hAnsi="仿宋" w:eastAsia="仿宋" w:cs="仿宋"/>
          <w:color w:val="000000"/>
          <w:kern w:val="0"/>
          <w:sz w:val="28"/>
          <w:szCs w:val="28"/>
          <w:lang w:val="en-US" w:eastAsia="zh-CN" w:bidi="ar"/>
        </w:rPr>
        <w:t>为</w:t>
      </w:r>
      <w:r>
        <w:rPr>
          <w:rFonts w:hint="eastAsia" w:ascii="仿宋" w:hAnsi="仿宋" w:eastAsia="仿宋" w:cs="仿宋"/>
          <w:color w:val="000000"/>
          <w:kern w:val="0"/>
          <w:sz w:val="28"/>
          <w:szCs w:val="28"/>
          <w:lang w:eastAsia="zh-CN" w:bidi="ar"/>
        </w:rPr>
        <w:t>该校学生</w:t>
      </w:r>
      <w:r>
        <w:rPr>
          <w:rFonts w:hint="eastAsia" w:ascii="仿宋" w:hAnsi="仿宋" w:eastAsia="仿宋" w:cs="仿宋"/>
          <w:color w:val="000000"/>
          <w:kern w:val="0"/>
          <w:sz w:val="28"/>
          <w:szCs w:val="28"/>
          <w:lang w:val="en-US" w:eastAsia="zh-CN" w:bidi="ar"/>
        </w:rPr>
        <w:t>提供</w:t>
      </w:r>
      <w:r>
        <w:rPr>
          <w:rFonts w:hint="eastAsia" w:ascii="仿宋" w:hAnsi="仿宋" w:eastAsia="仿宋" w:cs="仿宋"/>
          <w:color w:val="000000"/>
          <w:kern w:val="0"/>
          <w:sz w:val="28"/>
          <w:szCs w:val="28"/>
          <w:lang w:eastAsia="zh-CN" w:bidi="ar"/>
        </w:rPr>
        <w:t>更好的学习生活</w:t>
      </w:r>
      <w:r>
        <w:rPr>
          <w:rFonts w:hint="eastAsia" w:ascii="仿宋" w:hAnsi="仿宋" w:eastAsia="仿宋" w:cs="仿宋"/>
          <w:color w:val="000000"/>
          <w:kern w:val="0"/>
          <w:sz w:val="28"/>
          <w:szCs w:val="28"/>
          <w:lang w:val="en-US" w:eastAsia="zh-CN" w:bidi="ar"/>
        </w:rPr>
        <w:t>平台</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有效地促进</w:t>
      </w:r>
      <w:r>
        <w:rPr>
          <w:rFonts w:hint="eastAsia" w:ascii="仿宋" w:hAnsi="仿宋" w:eastAsia="仿宋" w:cs="仿宋"/>
          <w:color w:val="000000"/>
          <w:kern w:val="0"/>
          <w:sz w:val="28"/>
          <w:szCs w:val="28"/>
          <w:lang w:eastAsia="zh-CN" w:bidi="ar"/>
        </w:rPr>
        <w:t>学校的发展与</w:t>
      </w:r>
      <w:r>
        <w:rPr>
          <w:rFonts w:hint="eastAsia" w:ascii="仿宋" w:hAnsi="仿宋" w:eastAsia="仿宋" w:cs="仿宋"/>
          <w:color w:val="000000"/>
          <w:kern w:val="0"/>
          <w:sz w:val="28"/>
          <w:szCs w:val="28"/>
          <w:lang w:val="en-US" w:eastAsia="zh-CN" w:bidi="ar"/>
        </w:rPr>
        <w:t>建设</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改善</w:t>
      </w:r>
      <w:r>
        <w:rPr>
          <w:rFonts w:hint="eastAsia" w:ascii="仿宋" w:hAnsi="仿宋" w:eastAsia="仿宋" w:cs="仿宋"/>
          <w:color w:val="000000"/>
          <w:kern w:val="0"/>
          <w:sz w:val="28"/>
          <w:szCs w:val="28"/>
          <w:lang w:eastAsia="zh-CN" w:bidi="ar"/>
        </w:rPr>
        <w:t>茶元头</w:t>
      </w:r>
      <w:r>
        <w:rPr>
          <w:rFonts w:hint="eastAsia" w:ascii="仿宋" w:hAnsi="仿宋" w:eastAsia="仿宋" w:cs="仿宋"/>
          <w:color w:val="000000"/>
          <w:kern w:val="0"/>
          <w:sz w:val="28"/>
          <w:szCs w:val="28"/>
          <w:lang w:val="en-US" w:eastAsia="zh-CN" w:bidi="ar"/>
        </w:rPr>
        <w:t>中学的教学环境</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提高学生</w:t>
      </w:r>
      <w:r>
        <w:rPr>
          <w:rFonts w:hint="eastAsia" w:ascii="仿宋" w:hAnsi="仿宋" w:eastAsia="仿宋" w:cs="仿宋"/>
          <w:color w:val="000000"/>
          <w:kern w:val="0"/>
          <w:sz w:val="28"/>
          <w:szCs w:val="28"/>
          <w:lang w:eastAsia="zh-CN" w:bidi="ar"/>
        </w:rPr>
        <w:t>对</w:t>
      </w:r>
      <w:r>
        <w:rPr>
          <w:rFonts w:hint="eastAsia" w:ascii="仿宋" w:hAnsi="仿宋" w:eastAsia="仿宋" w:cs="仿宋"/>
          <w:color w:val="000000"/>
          <w:kern w:val="0"/>
          <w:sz w:val="28"/>
          <w:szCs w:val="28"/>
          <w:lang w:val="en-US" w:eastAsia="zh-CN" w:bidi="ar"/>
        </w:rPr>
        <w:t>学习生活环境</w:t>
      </w:r>
      <w:r>
        <w:rPr>
          <w:rFonts w:hint="eastAsia" w:ascii="仿宋" w:hAnsi="仿宋" w:eastAsia="仿宋" w:cs="仿宋"/>
          <w:color w:val="000000"/>
          <w:kern w:val="0"/>
          <w:sz w:val="28"/>
          <w:szCs w:val="28"/>
          <w:lang w:eastAsia="zh-CN" w:bidi="ar"/>
        </w:rPr>
        <w:t>的幸福感。项目涉及改造老旧篮球场一座及新建周边设施</w:t>
      </w:r>
      <w:r>
        <w:rPr>
          <w:rFonts w:hint="eastAsia" w:ascii="仿宋" w:hAnsi="仿宋" w:eastAsia="仿宋" w:cs="仿宋"/>
          <w:color w:val="000000"/>
          <w:kern w:val="0"/>
          <w:sz w:val="28"/>
          <w:szCs w:val="28"/>
          <w:lang w:val="en-US" w:eastAsia="zh-CN" w:bidi="ar"/>
        </w:rPr>
        <w:t>(含排球场一个 )</w:t>
      </w:r>
      <w:r>
        <w:rPr>
          <w:rFonts w:hint="eastAsia" w:ascii="仿宋" w:hAnsi="仿宋" w:eastAsia="仿宋" w:cs="仿宋"/>
          <w:color w:val="000000"/>
          <w:kern w:val="0"/>
          <w:sz w:val="28"/>
          <w:szCs w:val="28"/>
          <w:lang w:eastAsia="zh-CN" w:bidi="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540" w:lineRule="exact"/>
        <w:ind w:leftChars="200" w:right="0" w:rightChars="0"/>
        <w:jc w:val="both"/>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2.项目具体绩效目标</w:t>
      </w:r>
    </w:p>
    <w:tbl>
      <w:tblPr>
        <w:tblStyle w:val="9"/>
        <w:tblW w:w="82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726"/>
        <w:gridCol w:w="1922"/>
        <w:gridCol w:w="1812"/>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一级指标</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二级指标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三级指标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绩效指标值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产出指</w:t>
            </w:r>
            <w:r>
              <w:rPr>
                <w:rStyle w:val="14"/>
                <w:rFonts w:hint="eastAsia" w:ascii="仿宋" w:hAnsi="仿宋" w:eastAsia="仿宋" w:cs="仿宋"/>
                <w:sz w:val="28"/>
                <w:szCs w:val="28"/>
                <w:lang w:val="en-US" w:eastAsia="zh-CN" w:bidi="ar"/>
              </w:rPr>
              <w:br w:type="textWrapping"/>
            </w:r>
            <w:r>
              <w:rPr>
                <w:rStyle w:val="15"/>
                <w:rFonts w:hint="eastAsia" w:ascii="仿宋" w:hAnsi="仿宋" w:eastAsia="仿宋" w:cs="仿宋"/>
                <w:sz w:val="28"/>
                <w:szCs w:val="28"/>
                <w:lang w:val="en-US" w:eastAsia="zh-CN" w:bidi="ar"/>
              </w:rPr>
              <w:t>标</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质量指标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合格率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时效指标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工期</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个月</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成本指标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项目总投资</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万元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效益指</w:t>
            </w:r>
            <w:r>
              <w:rPr>
                <w:rStyle w:val="14"/>
                <w:rFonts w:hint="eastAsia" w:ascii="仿宋" w:hAnsi="仿宋" w:eastAsia="仿宋" w:cs="仿宋"/>
                <w:sz w:val="28"/>
                <w:szCs w:val="28"/>
                <w:lang w:val="en-US" w:eastAsia="zh-CN" w:bidi="ar"/>
              </w:rPr>
              <w:br w:type="textWrapping"/>
            </w:r>
            <w:r>
              <w:rPr>
                <w:rStyle w:val="15"/>
                <w:rFonts w:hint="eastAsia" w:ascii="仿宋" w:hAnsi="仿宋" w:eastAsia="仿宋" w:cs="仿宋"/>
                <w:sz w:val="28"/>
                <w:szCs w:val="28"/>
                <w:lang w:val="en-US" w:eastAsia="zh-CN" w:bidi="ar"/>
              </w:rPr>
              <w:t>标</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经济效益指标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加强基础设施建设</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加强校园文化建设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社会效益指标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人居环境</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改善校内环境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生态效益指标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生态环境</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美化生态环境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topLinePunct w:val="0"/>
              <w:bidi w:val="0"/>
              <w:spacing w:line="540" w:lineRule="exact"/>
              <w:jc w:val="center"/>
              <w:rPr>
                <w:rFonts w:hint="eastAsia" w:ascii="仿宋" w:hAnsi="仿宋" w:eastAsia="仿宋" w:cs="仿宋"/>
                <w:b/>
                <w:bCs/>
                <w:i w:val="0"/>
                <w:iCs w:val="0"/>
                <w:color w:val="000000"/>
                <w:sz w:val="28"/>
                <w:szCs w:val="2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可持续影响指标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促进社会和谐发展</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改善基础设施条件</w:t>
            </w:r>
            <w:r>
              <w:rPr>
                <w:rStyle w:val="16"/>
                <w:rFonts w:hint="eastAsia" w:ascii="仿宋" w:hAnsi="仿宋" w:eastAsia="仿宋" w:cs="仿宋"/>
                <w:sz w:val="28"/>
                <w:szCs w:val="28"/>
                <w:lang w:val="en-US" w:eastAsia="zh-CN" w:bidi="ar"/>
              </w:rPr>
              <w:t>,</w:t>
            </w:r>
            <w:r>
              <w:rPr>
                <w:rStyle w:val="17"/>
                <w:rFonts w:hint="eastAsia" w:ascii="仿宋" w:hAnsi="仿宋" w:eastAsia="仿宋" w:cs="仿宋"/>
                <w:sz w:val="28"/>
                <w:szCs w:val="28"/>
                <w:lang w:val="en-US" w:eastAsia="zh-CN" w:bidi="ar"/>
              </w:rPr>
              <w:t>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满意度</w:t>
            </w:r>
            <w:r>
              <w:rPr>
                <w:rStyle w:val="14"/>
                <w:rFonts w:hint="eastAsia" w:ascii="仿宋" w:hAnsi="仿宋" w:eastAsia="仿宋" w:cs="仿宋"/>
                <w:sz w:val="28"/>
                <w:szCs w:val="28"/>
                <w:lang w:val="en-US" w:eastAsia="zh-CN" w:bidi="ar"/>
              </w:rPr>
              <w:br w:type="textWrapping"/>
            </w:r>
            <w:r>
              <w:rPr>
                <w:rStyle w:val="15"/>
                <w:rFonts w:hint="eastAsia" w:ascii="仿宋" w:hAnsi="仿宋" w:eastAsia="仿宋" w:cs="仿宋"/>
                <w:sz w:val="28"/>
                <w:szCs w:val="28"/>
                <w:lang w:val="en-US" w:eastAsia="zh-CN" w:bidi="ar"/>
              </w:rPr>
              <w:t>指标</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社会公众或服务对象满意度指标</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公众社会满意度</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bidi w:val="0"/>
              <w:spacing w:line="54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r>
    </w:tbl>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（三）项目资金构成</w:t>
      </w:r>
    </w:p>
    <w:p>
      <w:pPr>
        <w:keepNext w:val="0"/>
        <w:keepLines w:val="0"/>
        <w:pageBreakBefore w:val="0"/>
        <w:wordWrap/>
        <w:overflowPunct w:val="0"/>
        <w:topLinePunct w:val="0"/>
        <w:bidi w:val="0"/>
        <w:spacing w:line="540" w:lineRule="exact"/>
        <w:ind w:firstLine="48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计划投入资金40万元，资金来源于</w:t>
      </w:r>
      <w:r>
        <w:rPr>
          <w:rFonts w:hint="eastAsia" w:ascii="仿宋" w:hAnsi="仿宋" w:eastAsia="仿宋" w:cs="仿宋"/>
          <w:color w:val="000000"/>
          <w:kern w:val="0"/>
          <w:sz w:val="28"/>
          <w:szCs w:val="28"/>
          <w:lang w:eastAsia="zh-CN" w:bidi="ar"/>
        </w:rPr>
        <w:t>区级</w:t>
      </w:r>
      <w:r>
        <w:rPr>
          <w:rFonts w:hint="eastAsia" w:ascii="仿宋" w:hAnsi="仿宋" w:eastAsia="仿宋" w:cs="仿宋"/>
          <w:color w:val="000000"/>
          <w:kern w:val="0"/>
          <w:sz w:val="28"/>
          <w:szCs w:val="28"/>
          <w:lang w:val="en-US" w:eastAsia="zh-CN" w:bidi="ar"/>
        </w:rPr>
        <w:t>财政资金。主要用于学校原老旧篮球场标准化改造及周边设施建设(含排球场一个 )</w:t>
      </w:r>
      <w:r>
        <w:rPr>
          <w:rFonts w:hint="eastAsia" w:ascii="仿宋" w:hAnsi="仿宋" w:eastAsia="仿宋" w:cs="仿宋"/>
          <w:color w:val="000000"/>
          <w:kern w:val="0"/>
          <w:sz w:val="28"/>
          <w:szCs w:val="28"/>
          <w:lang w:eastAsia="zh-CN" w:bidi="ar"/>
        </w:rPr>
        <w:t>，具体内容如下：</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05"/>
        <w:gridCol w:w="2486"/>
        <w:gridCol w:w="1455"/>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序号</w:t>
            </w:r>
          </w:p>
        </w:tc>
        <w:tc>
          <w:tcPr>
            <w:tcW w:w="190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项目名称</w:t>
            </w:r>
          </w:p>
        </w:tc>
        <w:tc>
          <w:tcPr>
            <w:tcW w:w="2486"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内容</w:t>
            </w:r>
          </w:p>
        </w:tc>
        <w:tc>
          <w:tcPr>
            <w:tcW w:w="145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面积（m</w:t>
            </w:r>
            <w:r>
              <w:rPr>
                <w:rFonts w:hint="eastAsia" w:ascii="仿宋" w:hAnsi="仿宋" w:eastAsia="仿宋" w:cs="仿宋"/>
                <w:b/>
                <w:bCs/>
                <w:color w:val="000000"/>
                <w:kern w:val="0"/>
                <w:sz w:val="28"/>
                <w:szCs w:val="28"/>
                <w:vertAlign w:val="superscript"/>
                <w:lang w:eastAsia="zh-CN" w:bidi="ar"/>
              </w:rPr>
              <w:t>2</w:t>
            </w:r>
            <w:r>
              <w:rPr>
                <w:rFonts w:hint="eastAsia" w:ascii="仿宋" w:hAnsi="仿宋" w:eastAsia="仿宋" w:cs="仿宋"/>
                <w:b/>
                <w:bCs/>
                <w:color w:val="000000"/>
                <w:kern w:val="0"/>
                <w:sz w:val="28"/>
                <w:szCs w:val="28"/>
                <w:vertAlign w:val="baseline"/>
                <w:lang w:eastAsia="zh-CN" w:bidi="ar"/>
              </w:rPr>
              <w:t>）</w:t>
            </w:r>
          </w:p>
        </w:tc>
        <w:tc>
          <w:tcPr>
            <w:tcW w:w="1662"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1</w:t>
            </w:r>
          </w:p>
        </w:tc>
        <w:tc>
          <w:tcPr>
            <w:tcW w:w="190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篮球场改造</w:t>
            </w:r>
          </w:p>
        </w:tc>
        <w:tc>
          <w:tcPr>
            <w:tcW w:w="2486"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改造原老旧篮球场</w:t>
            </w:r>
          </w:p>
        </w:tc>
        <w:tc>
          <w:tcPr>
            <w:tcW w:w="145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658</w:t>
            </w:r>
          </w:p>
        </w:tc>
        <w:tc>
          <w:tcPr>
            <w:tcW w:w="1662"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2</w:t>
            </w:r>
          </w:p>
        </w:tc>
        <w:tc>
          <w:tcPr>
            <w:tcW w:w="190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排球场建设</w:t>
            </w:r>
          </w:p>
        </w:tc>
        <w:tc>
          <w:tcPr>
            <w:tcW w:w="2486"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新建排球场一座</w:t>
            </w:r>
          </w:p>
        </w:tc>
        <w:tc>
          <w:tcPr>
            <w:tcW w:w="145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392</w:t>
            </w:r>
          </w:p>
        </w:tc>
        <w:tc>
          <w:tcPr>
            <w:tcW w:w="1662"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b/>
                <w:bCs/>
                <w:color w:val="000000"/>
                <w:kern w:val="0"/>
                <w:sz w:val="28"/>
                <w:szCs w:val="28"/>
                <w:vertAlign w:val="baseline"/>
                <w:lang w:eastAsia="zh-CN" w:bidi="ar"/>
              </w:rPr>
            </w:pPr>
            <w:r>
              <w:rPr>
                <w:rFonts w:hint="eastAsia" w:ascii="仿宋" w:hAnsi="仿宋" w:eastAsia="仿宋" w:cs="仿宋"/>
                <w:b/>
                <w:bCs/>
                <w:color w:val="000000"/>
                <w:kern w:val="0"/>
                <w:sz w:val="28"/>
                <w:szCs w:val="28"/>
                <w:vertAlign w:val="baseline"/>
                <w:lang w:eastAsia="zh-CN" w:bidi="ar"/>
              </w:rPr>
              <w:t>3</w:t>
            </w:r>
          </w:p>
        </w:tc>
        <w:tc>
          <w:tcPr>
            <w:tcW w:w="190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周边配套基础设施硬化</w:t>
            </w:r>
          </w:p>
        </w:tc>
        <w:tc>
          <w:tcPr>
            <w:tcW w:w="2486"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球场周边硬化</w:t>
            </w:r>
          </w:p>
        </w:tc>
        <w:tc>
          <w:tcPr>
            <w:tcW w:w="145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150</w:t>
            </w:r>
          </w:p>
        </w:tc>
        <w:tc>
          <w:tcPr>
            <w:tcW w:w="1662"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gridSpan w:val="3"/>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eastAsia="zh-CN" w:bidi="ar"/>
              </w:rPr>
              <w:t>合计</w:t>
            </w:r>
          </w:p>
        </w:tc>
        <w:tc>
          <w:tcPr>
            <w:tcW w:w="1455"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1200</w:t>
            </w:r>
          </w:p>
        </w:tc>
        <w:tc>
          <w:tcPr>
            <w:tcW w:w="1662" w:type="dxa"/>
            <w:vAlign w:val="center"/>
          </w:tcPr>
          <w:p>
            <w:pPr>
              <w:keepNext w:val="0"/>
              <w:keepLines w:val="0"/>
              <w:pageBreakBefore w:val="0"/>
              <w:wordWrap/>
              <w:overflowPunct w:val="0"/>
              <w:topLinePunct w:val="0"/>
              <w:bidi w:val="0"/>
              <w:spacing w:line="540" w:lineRule="exact"/>
              <w:jc w:val="center"/>
              <w:rPr>
                <w:rFonts w:hint="eastAsia" w:ascii="仿宋" w:hAnsi="仿宋" w:eastAsia="仿宋" w:cs="仿宋"/>
                <w:color w:val="000000"/>
                <w:kern w:val="0"/>
                <w:sz w:val="28"/>
                <w:szCs w:val="28"/>
                <w:vertAlign w:val="baseline"/>
                <w:lang w:eastAsia="zh-CN" w:bidi="ar"/>
              </w:rPr>
            </w:pPr>
            <w:r>
              <w:rPr>
                <w:rFonts w:hint="eastAsia" w:ascii="仿宋" w:hAnsi="仿宋" w:eastAsia="仿宋" w:cs="仿宋"/>
                <w:color w:val="000000"/>
                <w:kern w:val="0"/>
                <w:sz w:val="28"/>
                <w:szCs w:val="28"/>
                <w:vertAlign w:val="baseline"/>
                <w:lang w:eastAsia="zh-CN" w:bidi="ar"/>
              </w:rPr>
              <w:t>40</w:t>
            </w:r>
          </w:p>
        </w:tc>
      </w:tr>
    </w:tbl>
    <w:p>
      <w:pPr>
        <w:keepNext w:val="0"/>
        <w:keepLines w:val="0"/>
        <w:pageBreakBefore w:val="0"/>
        <w:numPr>
          <w:ilvl w:val="0"/>
          <w:numId w:val="2"/>
        </w:numPr>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项目概况</w:t>
      </w:r>
    </w:p>
    <w:p>
      <w:pPr>
        <w:keepNext w:val="0"/>
        <w:keepLines w:val="0"/>
        <w:pageBreakBefore w:val="0"/>
        <w:numPr>
          <w:ilvl w:val="0"/>
          <w:numId w:val="0"/>
        </w:numPr>
        <w:wordWrap/>
        <w:overflowPunct w:val="0"/>
        <w:topLinePunct w:val="0"/>
        <w:bidi w:val="0"/>
        <w:spacing w:line="540" w:lineRule="exact"/>
        <w:ind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茶元头中学是一所公办初级中学，位于茶元头办事处，始建于 1957年，目前学校已基本符合义务教育要求。学校现占地面积 22285.05平方米，校舍建筑面积5845 平方米，在校学生406人。为使学校基础设施更上一个台阶，改善学校的办学条件，需对学校篮球场进行改造,改造面积约 1200平方米。</w:t>
      </w:r>
    </w:p>
    <w:p>
      <w:pPr>
        <w:keepNext w:val="0"/>
        <w:keepLines w:val="0"/>
        <w:pageBreakBefore w:val="0"/>
        <w:numPr>
          <w:ilvl w:val="0"/>
          <w:numId w:val="0"/>
        </w:numPr>
        <w:wordWrap/>
        <w:overflowPunct w:val="0"/>
        <w:topLinePunct w:val="0"/>
        <w:bidi w:val="0"/>
        <w:spacing w:line="540" w:lineRule="exact"/>
        <w:ind w:firstLine="560" w:firstLineChars="200"/>
        <w:rPr>
          <w:rFonts w:hint="eastAsia" w:ascii="仿宋" w:hAnsi="仿宋" w:eastAsia="仿宋" w:cs="仿宋"/>
          <w:bCs/>
          <w:sz w:val="28"/>
          <w:szCs w:val="28"/>
        </w:rPr>
      </w:pPr>
      <w:r>
        <w:rPr>
          <w:rFonts w:hint="eastAsia" w:ascii="仿宋" w:hAnsi="仿宋" w:eastAsia="仿宋" w:cs="仿宋"/>
          <w:color w:val="000000"/>
          <w:kern w:val="0"/>
          <w:sz w:val="28"/>
          <w:szCs w:val="28"/>
          <w:lang w:eastAsia="zh-CN" w:bidi="ar"/>
        </w:rPr>
        <w:t>为本项目能顺利实施，茶元头中学成立了学校篮球场改造工作领导小组，负责本项目工程开展的相关事宜。项目完工后，由茶元头中学和北塔区教育局负责督察与验收。</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val="0"/>
          <w:sz w:val="28"/>
          <w:szCs w:val="28"/>
        </w:rPr>
      </w:pPr>
      <w:r>
        <w:rPr>
          <w:rFonts w:hint="eastAsia" w:ascii="宋体" w:hAnsi="宋体" w:eastAsia="宋体" w:cs="宋体"/>
          <w:b/>
          <w:bCs w:val="0"/>
          <w:sz w:val="28"/>
          <w:szCs w:val="28"/>
        </w:rPr>
        <w:t>二、事前绩效评估的基本情况</w:t>
      </w:r>
    </w:p>
    <w:p>
      <w:pPr>
        <w:keepNext w:val="0"/>
        <w:keepLines w:val="0"/>
        <w:pageBreakBefore w:val="0"/>
        <w:kinsoku/>
        <w:wordWrap/>
        <w:overflowPunct w:val="0"/>
        <w:topLinePunct w:val="0"/>
        <w:autoSpaceDE/>
        <w:autoSpaceDN/>
        <w:bidi w:val="0"/>
        <w:adjustRightInd/>
        <w:snapToGrid/>
        <w:spacing w:line="540" w:lineRule="exact"/>
        <w:ind w:lef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（一）评估程序</w:t>
      </w:r>
    </w:p>
    <w:p>
      <w:pPr>
        <w:keepNext w:val="0"/>
        <w:keepLines w:val="0"/>
        <w:pageBreakBefore w:val="0"/>
        <w:widowControl w:val="0"/>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1、准备阶段</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①确定评估对象。根据部门职能，按照中央和省委、省政府决策部署，依据年度预算编制管理的有关要求，县财政局绩效股拟定事前绩效评估项目，受托的第三方机构进一步确定评估对象、评估方式、评估依据和评估内容，制定具体工作计划。 </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②成立评估组织。成立</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评估组，确定评估工作人员，明确责任和任务。</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③制定评估方案。</w:t>
      </w:r>
      <w:r>
        <w:rPr>
          <w:rFonts w:hint="eastAsia" w:ascii="仿宋" w:hAnsi="仿宋" w:eastAsia="仿宋" w:cs="仿宋"/>
          <w:sz w:val="28"/>
          <w:szCs w:val="28"/>
          <w:lang w:val="en-US" w:eastAsia="zh-CN"/>
        </w:rPr>
        <w:t>根据评估任务制定评估方案，明确评估目的、内容、时间安排和工作要求等具体事项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2、实施阶段</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①资料收集与审核。全面收集与被评估政策和项目有关的数据和资料，并进行审核与分析。</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②开展</w:t>
      </w:r>
      <w:r>
        <w:rPr>
          <w:rFonts w:hint="eastAsia" w:ascii="仿宋" w:hAnsi="仿宋" w:eastAsia="仿宋" w:cs="仿宋"/>
          <w:sz w:val="28"/>
          <w:szCs w:val="28"/>
          <w:lang w:val="en-US" w:eastAsia="zh-CN"/>
        </w:rPr>
        <w:t>非</w:t>
      </w:r>
      <w:r>
        <w:rPr>
          <w:rFonts w:hint="eastAsia" w:ascii="仿宋" w:hAnsi="仿宋" w:eastAsia="仿宋" w:cs="仿宋"/>
          <w:sz w:val="28"/>
          <w:szCs w:val="28"/>
        </w:rPr>
        <w:t>现场评估。评估组对有关资料进行分类、整理与分析，提出评估意见。</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③综合评估。评估组选择因素分析、公众评判等方法，对照评估方案中内容，对政策和项目立项必要性、投入经济性、绩效目标合理性、实施方案可行性、筹资合规性等情况进行综合评判。</w:t>
      </w:r>
    </w:p>
    <w:p>
      <w:pPr>
        <w:keepNext w:val="0"/>
        <w:keepLines w:val="0"/>
        <w:pageBreakBefore w:val="0"/>
        <w:widowControl w:val="0"/>
        <w:kinsoku/>
        <w:wordWrap/>
        <w:overflowPunct/>
        <w:topLinePunct w:val="0"/>
        <w:autoSpaceDE/>
        <w:autoSpaceDN/>
        <w:bidi w:val="0"/>
        <w:adjustRightInd/>
        <w:snapToGrid/>
        <w:spacing w:line="54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3、报告阶段</w:t>
      </w:r>
    </w:p>
    <w:p>
      <w:pPr>
        <w:keepNext w:val="0"/>
        <w:keepLines w:val="0"/>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按照规定的文本格式和要求撰写事前绩效评估报告，报告内容包括介绍评估对象的基本情况、评估采用的主要方法、评估的主要内容及结论、相关建议及有关问题的说明等。</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（二）评估思路</w:t>
      </w:r>
    </w:p>
    <w:p>
      <w:pPr>
        <w:keepNext w:val="0"/>
        <w:keepLines w:val="0"/>
        <w:pageBreakBefore w:val="0"/>
        <w:wordWrap/>
        <w:overflowPunct w:val="0"/>
        <w:topLinePunct w:val="0"/>
        <w:bidi w:val="0"/>
        <w:spacing w:line="540" w:lineRule="exact"/>
        <w:ind w:firstLine="482"/>
        <w:rPr>
          <w:rFonts w:hint="eastAsia" w:ascii="仿宋" w:hAnsi="仿宋" w:eastAsia="仿宋" w:cs="仿宋"/>
          <w:sz w:val="28"/>
          <w:szCs w:val="28"/>
          <w:lang w:eastAsia="zh-CN"/>
        </w:rPr>
      </w:pPr>
      <w:r>
        <w:rPr>
          <w:rFonts w:hint="eastAsia" w:ascii="仿宋" w:hAnsi="仿宋" w:eastAsia="仿宋" w:cs="仿宋"/>
          <w:sz w:val="28"/>
          <w:szCs w:val="28"/>
        </w:rPr>
        <w:t>本次</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评估主要依据《中共中央国务院关于全面实施预算绩效管理的意见》（中发〔2018〕34号）</w:t>
      </w:r>
      <w:r>
        <w:rPr>
          <w:rFonts w:hint="eastAsia" w:ascii="仿宋" w:hAnsi="仿宋" w:eastAsia="仿宋" w:cs="仿宋"/>
          <w:sz w:val="28"/>
          <w:szCs w:val="28"/>
          <w:lang w:eastAsia="zh-CN"/>
        </w:rPr>
        <w:t>、</w:t>
      </w:r>
      <w:r>
        <w:rPr>
          <w:rFonts w:hint="eastAsia" w:ascii="仿宋" w:hAnsi="仿宋" w:eastAsia="仿宋" w:cs="仿宋"/>
          <w:sz w:val="28"/>
          <w:szCs w:val="28"/>
        </w:rPr>
        <w:t>《中共湖南省委办公厅湖南省人民政府办公厅关于全面实施预算绩效管理的实施意见》（湘办发〔2019〕10号）</w:t>
      </w:r>
      <w:r>
        <w:rPr>
          <w:rFonts w:hint="eastAsia" w:ascii="仿宋" w:hAnsi="仿宋" w:eastAsia="仿宋" w:cs="仿宋"/>
          <w:sz w:val="28"/>
          <w:szCs w:val="28"/>
          <w:lang w:val="en-US" w:eastAsia="zh-CN"/>
        </w:rPr>
        <w:t>和湖南</w:t>
      </w:r>
      <w:r>
        <w:rPr>
          <w:rFonts w:hint="eastAsia" w:ascii="仿宋" w:hAnsi="仿宋" w:eastAsia="仿宋" w:cs="仿宋"/>
          <w:sz w:val="28"/>
          <w:szCs w:val="28"/>
        </w:rPr>
        <w:t>省财政厅印发的《</w:t>
      </w:r>
      <w:r>
        <w:rPr>
          <w:rFonts w:hint="eastAsia" w:ascii="仿宋" w:hAnsi="仿宋" w:eastAsia="仿宋" w:cs="仿宋"/>
          <w:sz w:val="28"/>
          <w:szCs w:val="28"/>
          <w:lang w:val="en-US" w:eastAsia="zh-CN"/>
        </w:rPr>
        <w:t>湖南</w:t>
      </w:r>
      <w:r>
        <w:rPr>
          <w:rFonts w:hint="eastAsia" w:ascii="仿宋" w:hAnsi="仿宋" w:eastAsia="仿宋" w:cs="仿宋"/>
          <w:sz w:val="28"/>
          <w:szCs w:val="28"/>
        </w:rPr>
        <w:t>省省级</w:t>
      </w:r>
      <w:r>
        <w:rPr>
          <w:rFonts w:hint="eastAsia" w:ascii="仿宋" w:hAnsi="仿宋" w:eastAsia="仿宋" w:cs="仿宋"/>
          <w:sz w:val="28"/>
          <w:szCs w:val="28"/>
          <w:lang w:val="en-US" w:eastAsia="zh-CN"/>
        </w:rPr>
        <w:t>预算事前绩效评估管理暂行办法</w:t>
      </w:r>
      <w:r>
        <w:rPr>
          <w:rFonts w:hint="eastAsia" w:ascii="仿宋" w:hAnsi="仿宋" w:eastAsia="仿宋" w:cs="仿宋"/>
          <w:sz w:val="28"/>
          <w:szCs w:val="28"/>
        </w:rPr>
        <w:t>》</w:t>
      </w:r>
      <w:r>
        <w:rPr>
          <w:rFonts w:hint="eastAsia" w:ascii="仿宋" w:hAnsi="仿宋" w:eastAsia="仿宋" w:cs="仿宋"/>
          <w:sz w:val="28"/>
          <w:szCs w:val="28"/>
          <w:lang w:val="en-US" w:eastAsia="zh-CN"/>
        </w:rPr>
        <w:t>等相关规定</w:t>
      </w:r>
      <w:r>
        <w:rPr>
          <w:rFonts w:hint="eastAsia" w:ascii="仿宋" w:hAnsi="仿宋" w:eastAsia="仿宋" w:cs="仿宋"/>
          <w:sz w:val="28"/>
          <w:szCs w:val="28"/>
        </w:rPr>
        <w:t>执行，运</w:t>
      </w:r>
      <w:r>
        <w:rPr>
          <w:rFonts w:hint="eastAsia" w:ascii="仿宋" w:hAnsi="仿宋" w:eastAsia="仿宋" w:cs="仿宋"/>
          <w:sz w:val="28"/>
          <w:szCs w:val="28"/>
          <w:lang w:val="en-US" w:eastAsia="zh-CN"/>
        </w:rPr>
        <w:t>用</w:t>
      </w:r>
      <w:r>
        <w:rPr>
          <w:rFonts w:hint="eastAsia" w:ascii="仿宋" w:hAnsi="仿宋" w:eastAsia="仿宋" w:cs="仿宋"/>
          <w:sz w:val="28"/>
          <w:szCs w:val="28"/>
        </w:rPr>
        <w:t>科学、合理的评估方法，对政策或项目立项必要性、投入经济性、绩效目标合理性、实施方案可行性、筹资和规定等进行客观、公正的评估</w:t>
      </w:r>
      <w:r>
        <w:rPr>
          <w:rFonts w:hint="eastAsia" w:ascii="仿宋" w:hAnsi="仿宋" w:eastAsia="仿宋" w:cs="仿宋"/>
          <w:sz w:val="28"/>
          <w:szCs w:val="28"/>
          <w:lang w:eastAsia="zh-CN"/>
        </w:rPr>
        <w:t>。</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（三）评估方式、方法</w:t>
      </w:r>
    </w:p>
    <w:p>
      <w:pPr>
        <w:keepNext w:val="0"/>
        <w:keepLines w:val="0"/>
        <w:pageBreakBefore w:val="0"/>
        <w:widowControl w:val="0"/>
        <w:suppressLineNumbers w:val="0"/>
        <w:wordWrap/>
        <w:overflowPunct w:val="0"/>
        <w:topLinePunct w:val="0"/>
        <w:bidi w:val="0"/>
        <w:spacing w:before="0" w:beforeAutospacing="0" w:after="0" w:afterAutospacing="0" w:line="540" w:lineRule="exact"/>
        <w:ind w:left="0" w:right="0" w:firstLine="482"/>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本项目的建设有利于推进义务教育优质均衡发展</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eastAsia="zh-CN" w:bidi="ar"/>
        </w:rPr>
        <w:t>使师生有一个较好的教学和锻炼的场地，受益对象为全校师生。</w:t>
      </w:r>
      <w:r>
        <w:rPr>
          <w:rFonts w:hint="eastAsia" w:ascii="仿宋" w:hAnsi="仿宋" w:eastAsia="仿宋" w:cs="仿宋"/>
          <w:color w:val="000000"/>
          <w:kern w:val="0"/>
          <w:sz w:val="28"/>
          <w:szCs w:val="28"/>
          <w:lang w:val="en-US" w:eastAsia="zh-CN" w:bidi="ar"/>
        </w:rPr>
        <w:t>因此</w:t>
      </w: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采用问卷调查的方式，向评估</w:t>
      </w:r>
      <w:r>
        <w:rPr>
          <w:rFonts w:hint="eastAsia" w:ascii="仿宋" w:hAnsi="仿宋" w:eastAsia="仿宋" w:cs="仿宋"/>
          <w:color w:val="000000"/>
          <w:kern w:val="0"/>
          <w:sz w:val="28"/>
          <w:szCs w:val="28"/>
          <w:lang w:eastAsia="zh-CN" w:bidi="ar"/>
        </w:rPr>
        <w:t>项目部分</w:t>
      </w:r>
      <w:r>
        <w:rPr>
          <w:rFonts w:hint="eastAsia" w:ascii="仿宋" w:hAnsi="仿宋" w:eastAsia="仿宋" w:cs="仿宋"/>
          <w:color w:val="000000"/>
          <w:kern w:val="0"/>
          <w:sz w:val="28"/>
          <w:szCs w:val="28"/>
          <w:lang w:val="en-US" w:eastAsia="zh-CN" w:bidi="ar"/>
        </w:rPr>
        <w:t>利益相关方了解情况以及征询意见。本次事前评估方法按照规范的程序，采用因素分析法、公众评判法、文献法等评估方法科学开展。</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三、评估内容与结论</w:t>
      </w:r>
    </w:p>
    <w:p>
      <w:pPr>
        <w:keepNext w:val="0"/>
        <w:keepLines w:val="0"/>
        <w:pageBreakBefore w:val="0"/>
        <w:wordWrap/>
        <w:overflowPunct w:val="0"/>
        <w:topLinePunct w:val="0"/>
        <w:bidi w:val="0"/>
        <w:spacing w:line="540" w:lineRule="exact"/>
        <w:ind w:firstLine="48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（一）立项必要性</w:t>
      </w:r>
    </w:p>
    <w:p>
      <w:pPr>
        <w:keepNext w:val="0"/>
        <w:keepLines w:val="0"/>
        <w:pageBreakBefore w:val="0"/>
        <w:widowControl w:val="0"/>
        <w:suppressLineNumbers w:val="0"/>
        <w:wordWrap/>
        <w:overflowPunct w:val="0"/>
        <w:topLinePunct w:val="0"/>
        <w:bidi w:val="0"/>
        <w:spacing w:before="0" w:beforeAutospacing="0" w:after="0" w:afterAutospacing="0" w:line="540" w:lineRule="exact"/>
        <w:ind w:left="0" w:right="0" w:firstLine="482"/>
        <w:jc w:val="both"/>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茶元头中学，是一所公办初级农村中学，学校基本情况仅满足基本的办学要求，学校目前没有标准的篮球场，为改善学校办学条件，使师生有一个较好教学及锻炼身体的场所，为学校修建篮球场是必要的。项目的建设有利于推进北塔区义务教育事业的发展，符合国家对教育事业发展的支持，是教育局年度重点工作任务之一，</w:t>
      </w:r>
      <w:r>
        <w:rPr>
          <w:rFonts w:hint="eastAsia" w:ascii="仿宋" w:hAnsi="仿宋" w:eastAsia="仿宋" w:cs="仿宋"/>
          <w:color w:val="000000"/>
          <w:kern w:val="0"/>
          <w:sz w:val="28"/>
          <w:szCs w:val="28"/>
          <w:lang w:val="en-US" w:eastAsia="zh-CN" w:bidi="ar"/>
        </w:rPr>
        <w:t>属于公共财政支持范围。</w:t>
      </w:r>
    </w:p>
    <w:p>
      <w:pPr>
        <w:keepNext w:val="0"/>
        <w:keepLines w:val="0"/>
        <w:pageBreakBefore w:val="0"/>
        <w:numPr>
          <w:ilvl w:val="0"/>
          <w:numId w:val="0"/>
        </w:numPr>
        <w:wordWrap/>
        <w:overflowPunct w:val="0"/>
        <w:topLinePunct w:val="0"/>
        <w:bidi w:val="0"/>
        <w:spacing w:line="540" w:lineRule="exact"/>
        <w:ind w:left="482" w:leftChars="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（二）</w:t>
      </w:r>
      <w:r>
        <w:rPr>
          <w:rFonts w:hint="eastAsia" w:ascii="仿宋" w:hAnsi="仿宋" w:eastAsia="仿宋" w:cs="仿宋"/>
          <w:b/>
          <w:bCs/>
          <w:color w:val="000000"/>
          <w:kern w:val="0"/>
          <w:sz w:val="28"/>
          <w:szCs w:val="28"/>
          <w:lang w:val="en-US" w:eastAsia="zh-CN" w:bidi="ar"/>
        </w:rPr>
        <w:t>绩效目标合理性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项目有绩效目标，含有预期的产出及效益指标</w:t>
      </w:r>
      <w:bookmarkStart w:id="1" w:name="_Hlk53502147"/>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绩效目标与预计解决的问题、现实需要相对匹配。</w:t>
      </w:r>
      <w:bookmarkEnd w:id="1"/>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但存在以下问题：</w:t>
      </w:r>
      <w:r>
        <w:rPr>
          <w:rFonts w:hint="eastAsia" w:ascii="仿宋" w:hAnsi="仿宋" w:eastAsia="仿宋" w:cs="仿宋"/>
          <w:color w:val="000000"/>
          <w:kern w:val="0"/>
          <w:sz w:val="28"/>
          <w:szCs w:val="28"/>
          <w:lang w:val="en-US" w:eastAsia="zh-CN" w:bidi="ar"/>
        </w:rPr>
        <w:t>绩效目标明确性不高；绩效指标不够细化、量化，如项目</w:t>
      </w:r>
      <w:r>
        <w:rPr>
          <w:rFonts w:hint="eastAsia" w:ascii="仿宋" w:hAnsi="仿宋" w:eastAsia="仿宋" w:cs="仿宋"/>
          <w:color w:val="000000"/>
          <w:kern w:val="0"/>
          <w:sz w:val="28"/>
          <w:szCs w:val="28"/>
          <w:lang w:eastAsia="zh-CN" w:bidi="ar"/>
        </w:rPr>
        <w:t>数量指标</w:t>
      </w:r>
      <w:r>
        <w:rPr>
          <w:rFonts w:hint="eastAsia" w:ascii="仿宋" w:hAnsi="仿宋" w:eastAsia="仿宋" w:cs="仿宋"/>
          <w:color w:val="000000"/>
          <w:kern w:val="0"/>
          <w:sz w:val="28"/>
          <w:szCs w:val="28"/>
          <w:lang w:val="en-US" w:eastAsia="zh-CN" w:bidi="ar"/>
        </w:rPr>
        <w:t>不够具体、细化</w:t>
      </w:r>
      <w:r>
        <w:rPr>
          <w:rFonts w:hint="eastAsia" w:ascii="仿宋" w:hAnsi="仿宋" w:eastAsia="仿宋" w:cs="仿宋"/>
          <w:color w:val="000000"/>
          <w:kern w:val="0"/>
          <w:sz w:val="28"/>
          <w:szCs w:val="28"/>
          <w:lang w:eastAsia="zh-CN" w:bidi="ar"/>
        </w:rPr>
        <w:t>，时效指标不够合理。</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（三）</w:t>
      </w:r>
      <w:r>
        <w:rPr>
          <w:rFonts w:hint="eastAsia" w:ascii="仿宋" w:hAnsi="仿宋" w:eastAsia="仿宋" w:cs="仿宋"/>
          <w:b/>
          <w:bCs/>
          <w:color w:val="000000"/>
          <w:kern w:val="0"/>
          <w:sz w:val="28"/>
          <w:szCs w:val="28"/>
          <w:lang w:val="en-US" w:eastAsia="zh-CN" w:bidi="ar"/>
        </w:rPr>
        <w:t>投入经济性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概算编制科学性 </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本项目建设未</w:t>
      </w:r>
      <w:r>
        <w:rPr>
          <w:rFonts w:hint="eastAsia" w:ascii="仿宋" w:hAnsi="仿宋" w:eastAsia="仿宋" w:cs="仿宋"/>
          <w:color w:val="000000"/>
          <w:kern w:val="0"/>
          <w:sz w:val="28"/>
          <w:szCs w:val="28"/>
          <w:lang w:val="en-US" w:eastAsia="zh-CN" w:bidi="ar"/>
        </w:rPr>
        <w:t>出具</w:t>
      </w:r>
      <w:r>
        <w:rPr>
          <w:rFonts w:hint="eastAsia" w:ascii="仿宋" w:hAnsi="仿宋" w:eastAsia="仿宋" w:cs="仿宋"/>
          <w:color w:val="000000"/>
          <w:kern w:val="0"/>
          <w:sz w:val="28"/>
          <w:szCs w:val="28"/>
          <w:lang w:eastAsia="zh-CN" w:bidi="ar"/>
        </w:rPr>
        <w:t>具体的</w:t>
      </w:r>
      <w:r>
        <w:rPr>
          <w:rFonts w:hint="eastAsia" w:ascii="仿宋" w:hAnsi="仿宋" w:eastAsia="仿宋" w:cs="仿宋"/>
          <w:color w:val="000000"/>
          <w:kern w:val="0"/>
          <w:sz w:val="28"/>
          <w:szCs w:val="28"/>
          <w:lang w:val="en-US" w:eastAsia="zh-CN" w:bidi="ar"/>
        </w:rPr>
        <w:t>工程量清单和项目预算明细表，</w:t>
      </w:r>
      <w:r>
        <w:rPr>
          <w:rFonts w:hint="eastAsia" w:ascii="仿宋" w:hAnsi="仿宋" w:eastAsia="仿宋" w:cs="仿宋"/>
          <w:color w:val="000000"/>
          <w:kern w:val="0"/>
          <w:sz w:val="28"/>
          <w:szCs w:val="28"/>
          <w:lang w:eastAsia="zh-CN" w:bidi="ar"/>
        </w:rPr>
        <w:t>无相应的</w:t>
      </w:r>
      <w:r>
        <w:rPr>
          <w:rFonts w:hint="eastAsia" w:ascii="仿宋" w:hAnsi="仿宋" w:eastAsia="仿宋" w:cs="仿宋"/>
          <w:color w:val="000000"/>
          <w:kern w:val="0"/>
          <w:sz w:val="28"/>
          <w:szCs w:val="28"/>
          <w:lang w:val="en-US" w:eastAsia="zh-CN" w:bidi="ar"/>
        </w:rPr>
        <w:t>概算编制</w:t>
      </w:r>
      <w:r>
        <w:rPr>
          <w:rFonts w:hint="eastAsia" w:ascii="仿宋" w:hAnsi="仿宋" w:eastAsia="仿宋" w:cs="仿宋"/>
          <w:color w:val="000000"/>
          <w:kern w:val="0"/>
          <w:sz w:val="28"/>
          <w:szCs w:val="28"/>
          <w:lang w:eastAsia="zh-CN" w:bidi="ar"/>
        </w:rPr>
        <w:t>；项目改造资金</w:t>
      </w:r>
      <w:r>
        <w:rPr>
          <w:rFonts w:hint="eastAsia" w:ascii="仿宋" w:hAnsi="仿宋" w:eastAsia="仿宋" w:cs="仿宋"/>
          <w:color w:val="000000"/>
          <w:kern w:val="0"/>
          <w:sz w:val="28"/>
          <w:szCs w:val="28"/>
          <w:lang w:val="en-US" w:eastAsia="zh-CN" w:bidi="ar"/>
        </w:rPr>
        <w:t>测算依据不够充分。</w:t>
      </w:r>
    </w:p>
    <w:p>
      <w:pPr>
        <w:keepNext w:val="0"/>
        <w:keepLines w:val="0"/>
        <w:pageBreakBefore w:val="0"/>
        <w:widowControl/>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40" w:lineRule="exact"/>
        <w:ind w:left="0" w:leftChars="0" w:right="0" w:rightChars="0" w:firstLine="562" w:firstLineChars="200"/>
        <w:jc w:val="left"/>
        <w:textAlignment w:val="baseline"/>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2.项目成本控制措施有效性</w:t>
      </w:r>
    </w:p>
    <w:p>
      <w:pPr>
        <w:keepNext w:val="0"/>
        <w:keepLines w:val="0"/>
        <w:pageBreakBefore w:val="0"/>
        <w:widowControl/>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40" w:lineRule="exact"/>
        <w:ind w:left="0" w:leftChars="0" w:right="0" w:rightChars="0" w:firstLine="560" w:firstLineChars="200"/>
        <w:jc w:val="left"/>
        <w:textAlignment w:val="baseline"/>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本</w:t>
      </w:r>
      <w:r>
        <w:rPr>
          <w:rFonts w:hint="eastAsia" w:ascii="仿宋" w:hAnsi="仿宋" w:eastAsia="仿宋" w:cs="仿宋"/>
          <w:color w:val="000000"/>
          <w:kern w:val="0"/>
          <w:sz w:val="28"/>
          <w:szCs w:val="28"/>
          <w:lang w:val="en-US" w:eastAsia="zh-CN" w:bidi="ar"/>
        </w:rPr>
        <w:t>项目由</w:t>
      </w:r>
      <w:r>
        <w:rPr>
          <w:rFonts w:hint="eastAsia" w:ascii="仿宋" w:hAnsi="仿宋" w:eastAsia="仿宋" w:cs="仿宋"/>
          <w:color w:val="000000"/>
          <w:kern w:val="0"/>
          <w:sz w:val="28"/>
          <w:szCs w:val="28"/>
          <w:lang w:eastAsia="zh-CN" w:bidi="ar"/>
        </w:rPr>
        <w:t>北塔</w:t>
      </w:r>
      <w:r>
        <w:rPr>
          <w:rFonts w:hint="eastAsia" w:ascii="仿宋" w:hAnsi="仿宋" w:eastAsia="仿宋" w:cs="仿宋"/>
          <w:color w:val="000000"/>
          <w:kern w:val="0"/>
          <w:sz w:val="28"/>
          <w:szCs w:val="28"/>
          <w:lang w:val="en-US" w:eastAsia="zh-CN" w:bidi="ar"/>
        </w:rPr>
        <w:t>区教育局</w:t>
      </w:r>
      <w:r>
        <w:rPr>
          <w:rFonts w:hint="eastAsia" w:ascii="仿宋" w:hAnsi="仿宋" w:eastAsia="仿宋" w:cs="仿宋"/>
          <w:color w:val="000000"/>
          <w:kern w:val="0"/>
          <w:sz w:val="28"/>
          <w:szCs w:val="28"/>
          <w:lang w:eastAsia="zh-CN" w:bidi="ar"/>
        </w:rPr>
        <w:t>拨付资金，茶元头中学组织实施；</w:t>
      </w:r>
      <w:r>
        <w:rPr>
          <w:rFonts w:hint="eastAsia" w:ascii="仿宋" w:hAnsi="仿宋" w:eastAsia="仿宋" w:cs="仿宋"/>
          <w:color w:val="000000"/>
          <w:kern w:val="0"/>
          <w:sz w:val="28"/>
          <w:szCs w:val="28"/>
          <w:lang w:val="en-US" w:eastAsia="zh-CN" w:bidi="ar"/>
        </w:rPr>
        <w:t>项目实施中由教育局进行整体流程管理，</w:t>
      </w:r>
      <w:r>
        <w:rPr>
          <w:rFonts w:hint="eastAsia" w:ascii="仿宋" w:hAnsi="仿宋" w:eastAsia="仿宋" w:cs="仿宋"/>
          <w:color w:val="000000"/>
          <w:kern w:val="0"/>
          <w:sz w:val="28"/>
          <w:szCs w:val="28"/>
          <w:lang w:eastAsia="zh-CN" w:bidi="ar"/>
        </w:rPr>
        <w:t>茶元头中学</w:t>
      </w:r>
      <w:r>
        <w:rPr>
          <w:rFonts w:hint="eastAsia" w:ascii="仿宋" w:hAnsi="仿宋" w:eastAsia="仿宋" w:cs="仿宋"/>
          <w:color w:val="000000"/>
          <w:kern w:val="0"/>
          <w:sz w:val="28"/>
          <w:szCs w:val="28"/>
          <w:lang w:val="en-US" w:eastAsia="zh-CN" w:bidi="ar"/>
        </w:rPr>
        <w:t>管理人员对项目</w:t>
      </w:r>
      <w:r>
        <w:rPr>
          <w:rFonts w:hint="eastAsia" w:ascii="仿宋" w:hAnsi="仿宋" w:eastAsia="仿宋" w:cs="仿宋"/>
          <w:color w:val="000000"/>
          <w:kern w:val="0"/>
          <w:sz w:val="28"/>
          <w:szCs w:val="28"/>
          <w:lang w:eastAsia="zh-CN" w:bidi="ar"/>
        </w:rPr>
        <w:t>建设</w:t>
      </w:r>
      <w:r>
        <w:rPr>
          <w:rFonts w:hint="eastAsia" w:ascii="仿宋" w:hAnsi="仿宋" w:eastAsia="仿宋" w:cs="仿宋"/>
          <w:color w:val="000000"/>
          <w:kern w:val="0"/>
          <w:sz w:val="28"/>
          <w:szCs w:val="28"/>
          <w:lang w:val="en-US" w:eastAsia="zh-CN" w:bidi="ar"/>
        </w:rPr>
        <w:t>进行监管</w:t>
      </w:r>
      <w:r>
        <w:rPr>
          <w:rFonts w:hint="eastAsia" w:ascii="仿宋" w:hAnsi="仿宋" w:eastAsia="仿宋" w:cs="仿宋"/>
          <w:color w:val="000000"/>
          <w:kern w:val="0"/>
          <w:sz w:val="28"/>
          <w:szCs w:val="28"/>
          <w:lang w:eastAsia="zh-CN" w:bidi="ar"/>
        </w:rPr>
        <w:t>。</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投入产出及效果较匹配，成本测算依据</w:t>
      </w:r>
      <w:r>
        <w:rPr>
          <w:rFonts w:hint="eastAsia" w:ascii="仿宋" w:hAnsi="仿宋" w:eastAsia="仿宋" w:cs="仿宋"/>
          <w:color w:val="000000"/>
          <w:kern w:val="0"/>
          <w:sz w:val="28"/>
          <w:szCs w:val="28"/>
          <w:lang w:eastAsia="zh-CN" w:bidi="ar"/>
        </w:rPr>
        <w:t>不够</w:t>
      </w:r>
      <w:r>
        <w:rPr>
          <w:rFonts w:hint="eastAsia" w:ascii="仿宋" w:hAnsi="仿宋" w:eastAsia="仿宋" w:cs="仿宋"/>
          <w:color w:val="000000"/>
          <w:kern w:val="0"/>
          <w:sz w:val="28"/>
          <w:szCs w:val="28"/>
          <w:lang w:val="en-US" w:eastAsia="zh-CN" w:bidi="ar"/>
        </w:rPr>
        <w:t>充分，</w:t>
      </w:r>
      <w:r>
        <w:rPr>
          <w:rFonts w:hint="eastAsia" w:ascii="仿宋" w:hAnsi="仿宋" w:eastAsia="仿宋" w:cs="仿宋"/>
          <w:color w:val="000000"/>
          <w:kern w:val="0"/>
          <w:sz w:val="28"/>
          <w:szCs w:val="28"/>
          <w:lang w:eastAsia="zh-CN" w:bidi="ar"/>
        </w:rPr>
        <w:t>且</w:t>
      </w:r>
      <w:r>
        <w:rPr>
          <w:rFonts w:hint="eastAsia" w:ascii="仿宋" w:hAnsi="仿宋" w:eastAsia="仿宋" w:cs="仿宋"/>
          <w:color w:val="000000"/>
          <w:kern w:val="0"/>
          <w:sz w:val="28"/>
          <w:szCs w:val="28"/>
          <w:lang w:val="en-US" w:eastAsia="zh-CN" w:bidi="ar"/>
        </w:rPr>
        <w:t>应补充完善成本控制措施。</w:t>
      </w:r>
    </w:p>
    <w:p>
      <w:pPr>
        <w:keepNext w:val="0"/>
        <w:keepLines w:val="0"/>
        <w:pageBreakBefore w:val="0"/>
        <w:numPr>
          <w:ilvl w:val="0"/>
          <w:numId w:val="0"/>
        </w:numPr>
        <w:wordWrap/>
        <w:overflowPunct w:val="0"/>
        <w:topLinePunct w:val="0"/>
        <w:bidi w:val="0"/>
        <w:spacing w:line="540" w:lineRule="exact"/>
        <w:ind w:left="482" w:leftChars="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（四）</w:t>
      </w:r>
      <w:r>
        <w:rPr>
          <w:rFonts w:hint="eastAsia" w:ascii="仿宋" w:hAnsi="仿宋" w:eastAsia="仿宋" w:cs="仿宋"/>
          <w:b/>
          <w:bCs/>
          <w:color w:val="000000"/>
          <w:kern w:val="0"/>
          <w:sz w:val="28"/>
          <w:szCs w:val="28"/>
          <w:lang w:val="en-US" w:eastAsia="zh-CN" w:bidi="ar"/>
        </w:rPr>
        <w:t>实施方案可行性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项目实施内容明确 </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w:t>
      </w:r>
      <w:r>
        <w:rPr>
          <w:rFonts w:hint="eastAsia" w:ascii="仿宋" w:hAnsi="仿宋" w:eastAsia="仿宋" w:cs="仿宋"/>
          <w:color w:val="000000"/>
          <w:kern w:val="0"/>
          <w:sz w:val="28"/>
          <w:szCs w:val="28"/>
          <w:lang w:val="en-US" w:eastAsia="zh-CN" w:bidi="ar"/>
        </w:rPr>
        <w:t>项目主要实施内容包括</w:t>
      </w:r>
      <w:r>
        <w:rPr>
          <w:rFonts w:hint="eastAsia" w:ascii="仿宋" w:hAnsi="仿宋" w:eastAsia="仿宋" w:cs="仿宋"/>
          <w:color w:val="000000"/>
          <w:kern w:val="0"/>
          <w:sz w:val="28"/>
          <w:szCs w:val="28"/>
          <w:lang w:eastAsia="zh-CN" w:bidi="ar"/>
        </w:rPr>
        <w:t>篮球场改造、新建排球场以及周边配套设施硬化，</w:t>
      </w:r>
      <w:r>
        <w:rPr>
          <w:rFonts w:hint="eastAsia" w:ascii="仿宋" w:hAnsi="仿宋" w:eastAsia="仿宋" w:cs="仿宋"/>
          <w:color w:val="000000"/>
          <w:kern w:val="0"/>
          <w:sz w:val="28"/>
          <w:szCs w:val="28"/>
          <w:lang w:val="en-US" w:eastAsia="zh-CN" w:bidi="ar"/>
        </w:rPr>
        <w:t>一</w:t>
      </w:r>
      <w:r>
        <w:rPr>
          <w:rFonts w:hint="eastAsia" w:ascii="仿宋" w:hAnsi="仿宋" w:eastAsia="仿宋" w:cs="仿宋"/>
          <w:color w:val="000000"/>
          <w:kern w:val="0"/>
          <w:sz w:val="28"/>
          <w:szCs w:val="28"/>
          <w:lang w:eastAsia="zh-CN" w:bidi="ar"/>
        </w:rPr>
        <w:t>共3</w:t>
      </w:r>
      <w:r>
        <w:rPr>
          <w:rFonts w:hint="eastAsia" w:ascii="仿宋" w:hAnsi="仿宋" w:eastAsia="仿宋" w:cs="仿宋"/>
          <w:color w:val="000000"/>
          <w:kern w:val="0"/>
          <w:sz w:val="28"/>
          <w:szCs w:val="28"/>
          <w:lang w:val="en-US" w:eastAsia="zh-CN" w:bidi="ar"/>
        </w:rPr>
        <w:t xml:space="preserve">个方面的内容。项目实施内容明确、具体。 </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w:t>
      </w:r>
      <w:r>
        <w:rPr>
          <w:rFonts w:hint="eastAsia" w:ascii="仿宋" w:hAnsi="仿宋" w:eastAsia="仿宋" w:cs="仿宋"/>
          <w:b/>
          <w:bCs/>
          <w:color w:val="000000"/>
          <w:kern w:val="0"/>
          <w:sz w:val="28"/>
          <w:szCs w:val="28"/>
          <w:lang w:val="en-US" w:eastAsia="zh-CN" w:bidi="ar"/>
        </w:rPr>
        <w:t>实施方案可行性</w:t>
      </w:r>
      <w:r>
        <w:rPr>
          <w:rFonts w:hint="eastAsia" w:ascii="仿宋" w:hAnsi="仿宋" w:eastAsia="仿宋" w:cs="仿宋"/>
          <w:b/>
          <w:bCs/>
          <w:color w:val="000000"/>
          <w:kern w:val="0"/>
          <w:sz w:val="28"/>
          <w:szCs w:val="28"/>
          <w:lang w:eastAsia="zh-CN" w:bidi="ar"/>
        </w:rPr>
        <w:t>、项目时效性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项目实施方案中列出了项目实施</w:t>
      </w:r>
      <w:r>
        <w:rPr>
          <w:rFonts w:hint="eastAsia" w:ascii="仿宋" w:hAnsi="仿宋" w:eastAsia="仿宋" w:cs="仿宋"/>
          <w:color w:val="000000"/>
          <w:kern w:val="0"/>
          <w:sz w:val="28"/>
          <w:szCs w:val="28"/>
          <w:lang w:eastAsia="zh-CN" w:bidi="ar"/>
        </w:rPr>
        <w:t>项目决策、实施程序、</w:t>
      </w:r>
      <w:r>
        <w:rPr>
          <w:rFonts w:hint="eastAsia" w:ascii="仿宋" w:hAnsi="仿宋" w:eastAsia="仿宋" w:cs="仿宋"/>
          <w:color w:val="000000"/>
          <w:kern w:val="0"/>
          <w:sz w:val="28"/>
          <w:szCs w:val="28"/>
          <w:lang w:val="en-US" w:eastAsia="zh-CN" w:bidi="ar"/>
        </w:rPr>
        <w:t>项目所需人员、材料、水、电、气等基础保障条件</w:t>
      </w:r>
      <w:r>
        <w:rPr>
          <w:rFonts w:hint="eastAsia" w:ascii="仿宋" w:hAnsi="仿宋" w:eastAsia="仿宋" w:cs="仿宋"/>
          <w:color w:val="000000"/>
          <w:kern w:val="0"/>
          <w:sz w:val="28"/>
          <w:szCs w:val="28"/>
          <w:lang w:eastAsia="zh-CN" w:bidi="ar"/>
        </w:rPr>
        <w:t>、为保障项目顺利完工建立了相关管理制度、明确了不确定因素和风险管理措施。</w:t>
      </w:r>
      <w:r>
        <w:rPr>
          <w:rFonts w:hint="eastAsia" w:ascii="仿宋" w:hAnsi="仿宋" w:eastAsia="仿宋" w:cs="仿宋"/>
          <w:color w:val="000000"/>
          <w:kern w:val="0"/>
          <w:sz w:val="28"/>
          <w:szCs w:val="28"/>
          <w:lang w:val="en-US" w:eastAsia="zh-CN" w:bidi="ar"/>
        </w:rPr>
        <w:t>明确各项工作环节的时间节点和具体工作内容</w:t>
      </w:r>
      <w:r>
        <w:rPr>
          <w:rFonts w:hint="eastAsia" w:ascii="仿宋" w:hAnsi="仿宋" w:eastAsia="仿宋" w:cs="仿宋"/>
          <w:color w:val="000000"/>
          <w:kern w:val="0"/>
          <w:sz w:val="28"/>
          <w:szCs w:val="28"/>
          <w:lang w:eastAsia="zh-CN" w:bidi="ar"/>
        </w:rPr>
        <w:t>。</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但</w:t>
      </w:r>
      <w:r>
        <w:rPr>
          <w:rFonts w:hint="eastAsia" w:ascii="仿宋" w:hAnsi="仿宋" w:eastAsia="仿宋" w:cs="仿宋"/>
          <w:color w:val="000000"/>
          <w:kern w:val="0"/>
          <w:sz w:val="28"/>
          <w:szCs w:val="28"/>
          <w:lang w:val="en-US" w:eastAsia="zh-CN" w:bidi="ar"/>
        </w:rPr>
        <w:t>项目</w:t>
      </w:r>
      <w:r>
        <w:rPr>
          <w:rFonts w:hint="eastAsia" w:ascii="仿宋" w:hAnsi="仿宋" w:eastAsia="仿宋" w:cs="仿宋"/>
          <w:color w:val="000000"/>
          <w:kern w:val="0"/>
          <w:sz w:val="28"/>
          <w:szCs w:val="28"/>
          <w:lang w:eastAsia="zh-CN" w:bidi="ar"/>
        </w:rPr>
        <w:t>未</w:t>
      </w:r>
      <w:r>
        <w:rPr>
          <w:rFonts w:hint="eastAsia" w:ascii="仿宋" w:hAnsi="仿宋" w:eastAsia="仿宋" w:cs="仿宋"/>
          <w:color w:val="000000"/>
          <w:kern w:val="0"/>
          <w:sz w:val="28"/>
          <w:szCs w:val="28"/>
          <w:lang w:val="en-US" w:eastAsia="zh-CN" w:bidi="ar"/>
        </w:rPr>
        <w:t>建立有效的过程控制措施，项目设立、清理和退出</w:t>
      </w:r>
      <w:r>
        <w:rPr>
          <w:rFonts w:hint="eastAsia" w:ascii="仿宋" w:hAnsi="仿宋" w:eastAsia="仿宋" w:cs="仿宋"/>
          <w:color w:val="000000"/>
          <w:kern w:val="0"/>
          <w:sz w:val="28"/>
          <w:szCs w:val="28"/>
          <w:lang w:eastAsia="zh-CN" w:bidi="ar"/>
        </w:rPr>
        <w:t>也</w:t>
      </w:r>
      <w:r>
        <w:rPr>
          <w:rFonts w:hint="eastAsia" w:ascii="仿宋" w:hAnsi="仿宋" w:eastAsia="仿宋" w:cs="仿宋"/>
          <w:color w:val="000000"/>
          <w:kern w:val="0"/>
          <w:sz w:val="28"/>
          <w:szCs w:val="28"/>
          <w:lang w:val="en-US" w:eastAsia="zh-CN" w:bidi="ar"/>
        </w:rPr>
        <w:t>无</w:t>
      </w:r>
      <w:r>
        <w:rPr>
          <w:rFonts w:hint="eastAsia" w:ascii="仿宋" w:hAnsi="仿宋" w:eastAsia="仿宋" w:cs="仿宋"/>
          <w:color w:val="000000"/>
          <w:kern w:val="0"/>
          <w:sz w:val="28"/>
          <w:szCs w:val="28"/>
          <w:lang w:eastAsia="zh-CN" w:bidi="ar"/>
        </w:rPr>
        <w:t>清晰</w:t>
      </w:r>
      <w:r>
        <w:rPr>
          <w:rFonts w:hint="eastAsia" w:ascii="仿宋" w:hAnsi="仿宋" w:eastAsia="仿宋" w:cs="仿宋"/>
          <w:color w:val="000000"/>
          <w:kern w:val="0"/>
          <w:sz w:val="28"/>
          <w:szCs w:val="28"/>
          <w:lang w:val="en-US" w:eastAsia="zh-CN" w:bidi="ar"/>
        </w:rPr>
        <w:t>明确的时限和步骤。</w:t>
      </w:r>
    </w:p>
    <w:p>
      <w:pPr>
        <w:keepNext w:val="0"/>
        <w:keepLines w:val="0"/>
        <w:pageBreakBefore w:val="0"/>
        <w:numPr>
          <w:ilvl w:val="0"/>
          <w:numId w:val="0"/>
        </w:numPr>
        <w:wordWrap/>
        <w:overflowPunct w:val="0"/>
        <w:topLinePunct w:val="0"/>
        <w:bidi w:val="0"/>
        <w:spacing w:line="540" w:lineRule="exact"/>
        <w:ind w:leftChars="266"/>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3.过程控制有效性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w:t>
      </w:r>
      <w:r>
        <w:rPr>
          <w:rFonts w:hint="eastAsia" w:ascii="仿宋" w:hAnsi="仿宋" w:eastAsia="仿宋" w:cs="仿宋"/>
          <w:color w:val="000000"/>
          <w:kern w:val="0"/>
          <w:sz w:val="28"/>
          <w:szCs w:val="28"/>
          <w:lang w:val="en-US" w:eastAsia="zh-CN" w:bidi="ar"/>
        </w:rPr>
        <w:t>项目由区教育局负责统筹管理，</w:t>
      </w:r>
      <w:r>
        <w:rPr>
          <w:rFonts w:hint="eastAsia" w:ascii="仿宋" w:hAnsi="仿宋" w:eastAsia="仿宋" w:cs="仿宋"/>
          <w:color w:val="000000"/>
          <w:kern w:val="0"/>
          <w:sz w:val="28"/>
          <w:szCs w:val="28"/>
          <w:lang w:eastAsia="zh-CN" w:bidi="ar"/>
        </w:rPr>
        <w:t>茶元头中学</w:t>
      </w:r>
      <w:r>
        <w:rPr>
          <w:rFonts w:hint="eastAsia" w:ascii="仿宋" w:hAnsi="仿宋" w:eastAsia="仿宋" w:cs="仿宋"/>
          <w:color w:val="000000"/>
          <w:kern w:val="0"/>
          <w:sz w:val="28"/>
          <w:szCs w:val="28"/>
          <w:lang w:val="en-US" w:eastAsia="zh-CN" w:bidi="ar"/>
        </w:rPr>
        <w:t xml:space="preserve">管理人员负责日常监督工作。设计、监理、施工等服务单位负责相关工作的实施，项目的组织机构较为健全。但实施方案中未制定对各委托方的监管措施，项目监管方面存在不足。 </w:t>
      </w:r>
    </w:p>
    <w:p>
      <w:pPr>
        <w:keepNext w:val="0"/>
        <w:keepLines w:val="0"/>
        <w:pageBreakBefore w:val="0"/>
        <w:numPr>
          <w:ilvl w:val="0"/>
          <w:numId w:val="0"/>
        </w:numPr>
        <w:wordWrap/>
        <w:overflowPunct w:val="0"/>
        <w:topLinePunct w:val="0"/>
        <w:bidi w:val="0"/>
        <w:spacing w:line="540" w:lineRule="exact"/>
        <w:ind w:left="482" w:leftChars="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（五）</w:t>
      </w:r>
      <w:r>
        <w:rPr>
          <w:rFonts w:hint="eastAsia" w:ascii="仿宋" w:hAnsi="仿宋" w:eastAsia="仿宋" w:cs="仿宋"/>
          <w:b/>
          <w:bCs/>
          <w:color w:val="000000"/>
          <w:kern w:val="0"/>
          <w:sz w:val="28"/>
          <w:szCs w:val="28"/>
          <w:lang w:val="en-US" w:eastAsia="zh-CN" w:bidi="ar"/>
        </w:rPr>
        <w:t>筹资合规性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资金筹措程序完整 </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茶元头中学篮球场改造项目于2023年11月11日向北塔区教育局申请篮球场改造资金</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拟进行</w:t>
      </w:r>
      <w:r>
        <w:rPr>
          <w:rFonts w:hint="eastAsia" w:ascii="仿宋" w:hAnsi="仿宋" w:eastAsia="仿宋" w:cs="仿宋"/>
          <w:color w:val="000000"/>
          <w:kern w:val="0"/>
          <w:sz w:val="28"/>
          <w:szCs w:val="28"/>
          <w:lang w:eastAsia="zh-CN" w:bidi="ar"/>
        </w:rPr>
        <w:t>篮球场改造、排球场建设以及周边配套基础设施硬化</w:t>
      </w:r>
      <w:r>
        <w:rPr>
          <w:rFonts w:hint="eastAsia" w:ascii="仿宋" w:hAnsi="仿宋" w:eastAsia="仿宋" w:cs="仿宋"/>
          <w:color w:val="000000"/>
          <w:kern w:val="0"/>
          <w:sz w:val="28"/>
          <w:szCs w:val="28"/>
          <w:lang w:val="en-US" w:eastAsia="zh-CN" w:bidi="ar"/>
        </w:rPr>
        <w:t>建设，具有会议纪要等必要的项目论证材料，项目前期手续完整。</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2.</w:t>
      </w:r>
      <w:r>
        <w:rPr>
          <w:rFonts w:hint="eastAsia" w:ascii="仿宋" w:hAnsi="仿宋" w:eastAsia="仿宋" w:cs="仿宋"/>
          <w:b/>
          <w:bCs/>
          <w:color w:val="000000"/>
          <w:kern w:val="0"/>
          <w:sz w:val="28"/>
          <w:szCs w:val="28"/>
          <w:lang w:val="en-US" w:eastAsia="zh-CN" w:bidi="ar"/>
        </w:rPr>
        <w:t>财政支持方向合理，财政投入有保障</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义务阶段教育涉及重大民生，关乎老百姓切身利益，财政资金应优先保障。项目资金来源全部为区级财政预算资金，</w:t>
      </w:r>
      <w:r>
        <w:rPr>
          <w:rFonts w:hint="eastAsia" w:ascii="仿宋" w:hAnsi="仿宋" w:eastAsia="仿宋" w:cs="仿宋"/>
          <w:color w:val="000000"/>
          <w:kern w:val="0"/>
          <w:sz w:val="28"/>
          <w:szCs w:val="28"/>
          <w:lang w:eastAsia="zh-CN" w:bidi="ar"/>
        </w:rPr>
        <w:t>建设资金在财政承受能力范围之内，</w:t>
      </w:r>
      <w:r>
        <w:rPr>
          <w:rFonts w:hint="eastAsia" w:ascii="仿宋" w:hAnsi="仿宋" w:eastAsia="仿宋" w:cs="仿宋"/>
          <w:color w:val="000000"/>
          <w:kern w:val="0"/>
          <w:sz w:val="28"/>
          <w:szCs w:val="28"/>
          <w:lang w:val="en-US" w:eastAsia="zh-CN" w:bidi="ar"/>
        </w:rPr>
        <w:t xml:space="preserve">不需要其他资金或者社会资本投入，资金筹措途径单一，筹措方式规范合理。 </w:t>
      </w:r>
    </w:p>
    <w:p>
      <w:pPr>
        <w:keepNext w:val="0"/>
        <w:keepLines w:val="0"/>
        <w:pageBreakBefore w:val="0"/>
        <w:wordWrap/>
        <w:overflowPunct w:val="0"/>
        <w:topLinePunct w:val="0"/>
        <w:bidi w:val="0"/>
        <w:spacing w:line="540" w:lineRule="exact"/>
        <w:ind w:left="0" w:leftChars="0" w:firstLine="562" w:firstLineChars="200"/>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（六）总体结论</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事前绩效评估小组依据项目事前绩效评估指标体系，从立项必要性、投入经济性、绩效目标合理性、实施方案有效性、筹资合规性五个维度，通过数据采集、非现场评估和问卷调查等方式，对</w:t>
      </w:r>
      <w:r>
        <w:rPr>
          <w:rFonts w:hint="eastAsia" w:ascii="仿宋" w:hAnsi="仿宋" w:eastAsia="仿宋" w:cs="仿宋"/>
          <w:color w:val="000000"/>
          <w:kern w:val="0"/>
          <w:sz w:val="28"/>
          <w:szCs w:val="28"/>
          <w:lang w:val="en-US" w:eastAsia="zh-CN" w:bidi="ar"/>
        </w:rPr>
        <w:t>北塔区</w:t>
      </w:r>
      <w:r>
        <w:rPr>
          <w:rFonts w:hint="eastAsia" w:ascii="仿宋" w:hAnsi="仿宋" w:eastAsia="仿宋" w:cs="仿宋"/>
          <w:color w:val="000000"/>
          <w:kern w:val="0"/>
          <w:sz w:val="28"/>
          <w:szCs w:val="28"/>
          <w:lang w:eastAsia="zh-CN" w:bidi="ar"/>
        </w:rPr>
        <w:t>茶元头</w:t>
      </w:r>
      <w:r>
        <w:rPr>
          <w:rFonts w:hint="eastAsia" w:ascii="仿宋" w:hAnsi="仿宋" w:eastAsia="仿宋" w:cs="仿宋"/>
          <w:color w:val="000000"/>
          <w:kern w:val="0"/>
          <w:sz w:val="28"/>
          <w:szCs w:val="28"/>
          <w:lang w:val="en-US" w:eastAsia="zh-CN" w:bidi="ar"/>
        </w:rPr>
        <w:t>中学篮球场改造项目</w:t>
      </w:r>
      <w:r>
        <w:rPr>
          <w:rFonts w:hint="eastAsia" w:ascii="仿宋" w:hAnsi="仿宋" w:eastAsia="仿宋" w:cs="仿宋"/>
          <w:spacing w:val="0"/>
          <w:kern w:val="2"/>
          <w:sz w:val="28"/>
          <w:szCs w:val="28"/>
          <w:lang w:val="en-US" w:eastAsia="zh-CN" w:bidi="ar"/>
        </w:rPr>
        <w:t>进行了综合评估，项目最终评分结果为87.00分，评价等级为“良好”。项目扣分情况分析具体如下：</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一是立项必要性方面: 立项必要性指标总分值为20.00分，实得20.00分。</w:t>
      </w:r>
    </w:p>
    <w:p>
      <w:pPr>
        <w:pStyle w:val="4"/>
        <w:keepNext w:val="0"/>
        <w:keepLines w:val="0"/>
        <w:pageBreakBefore w:val="0"/>
        <w:widowControl w:val="0"/>
        <w:suppressLineNumbers w:val="0"/>
        <w:wordWrap/>
        <w:topLinePunct w:val="0"/>
        <w:autoSpaceDE w:val="0"/>
        <w:autoSpaceDN/>
        <w:bidi w:val="0"/>
        <w:spacing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二是</w:t>
      </w:r>
      <w:r>
        <w:rPr>
          <w:rFonts w:hint="eastAsia" w:ascii="仿宋" w:hAnsi="仿宋" w:eastAsia="仿宋" w:cs="仿宋"/>
          <w:spacing w:val="0"/>
          <w:kern w:val="2"/>
          <w:sz w:val="28"/>
          <w:szCs w:val="28"/>
          <w:lang w:val="en-US" w:eastAsia="zh-CN" w:bidi="ar"/>
        </w:rPr>
        <w:t>投入经济性</w:t>
      </w:r>
      <w:r>
        <w:rPr>
          <w:rFonts w:hint="eastAsia" w:ascii="仿宋" w:hAnsi="仿宋" w:eastAsia="仿宋" w:cs="仿宋"/>
          <w:spacing w:val="0"/>
          <w:kern w:val="2"/>
          <w:sz w:val="28"/>
          <w:szCs w:val="28"/>
        </w:rPr>
        <w:t>方面: 过程</w:t>
      </w:r>
      <w:r>
        <w:rPr>
          <w:rFonts w:hint="eastAsia" w:ascii="仿宋" w:hAnsi="仿宋" w:eastAsia="仿宋" w:cs="仿宋"/>
          <w:spacing w:val="0"/>
          <w:kern w:val="2"/>
          <w:sz w:val="28"/>
          <w:szCs w:val="28"/>
          <w:lang w:val="en-US" w:eastAsia="zh-CN" w:bidi="ar"/>
        </w:rPr>
        <w:t>投入经济性</w:t>
      </w:r>
      <w:r>
        <w:rPr>
          <w:rFonts w:hint="eastAsia" w:ascii="仿宋" w:hAnsi="仿宋" w:eastAsia="仿宋" w:cs="仿宋"/>
          <w:spacing w:val="0"/>
          <w:kern w:val="2"/>
          <w:sz w:val="28"/>
          <w:szCs w:val="28"/>
        </w:rPr>
        <w:t>指标总分值为</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15.00</w:t>
      </w:r>
      <w:r>
        <w:rPr>
          <w:rFonts w:hint="eastAsia" w:ascii="仿宋" w:hAnsi="仿宋" w:eastAsia="仿宋" w:cs="仿宋"/>
          <w:spacing w:val="0"/>
          <w:kern w:val="2"/>
          <w:sz w:val="28"/>
          <w:szCs w:val="28"/>
        </w:rPr>
        <w:t>分，扣</w:t>
      </w:r>
      <w:r>
        <w:rPr>
          <w:rFonts w:hint="eastAsia" w:ascii="仿宋" w:hAnsi="仿宋" w:eastAsia="仿宋" w:cs="仿宋"/>
          <w:spacing w:val="0"/>
          <w:kern w:val="2"/>
          <w:sz w:val="28"/>
          <w:szCs w:val="28"/>
          <w:lang w:val="en-US" w:eastAsia="zh-CN"/>
        </w:rPr>
        <w:t>5.00</w:t>
      </w:r>
      <w:r>
        <w:rPr>
          <w:rFonts w:hint="eastAsia" w:ascii="仿宋" w:hAnsi="仿宋" w:eastAsia="仿宋" w:cs="仿宋"/>
          <w:spacing w:val="0"/>
          <w:kern w:val="2"/>
          <w:sz w:val="28"/>
          <w:szCs w:val="28"/>
        </w:rPr>
        <w:t>分，主要扣分原因为：无详细的相关成本测算及测算依据不够充分。</w:t>
      </w:r>
    </w:p>
    <w:p>
      <w:pPr>
        <w:pStyle w:val="4"/>
        <w:keepNext w:val="0"/>
        <w:keepLines w:val="0"/>
        <w:pageBreakBefore w:val="0"/>
        <w:widowControl w:val="0"/>
        <w:suppressLineNumbers w:val="0"/>
        <w:wordWrap/>
        <w:topLinePunct w:val="0"/>
        <w:autoSpaceDE w:val="0"/>
        <w:autoSpaceDN/>
        <w:bidi w:val="0"/>
        <w:spacing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三是</w:t>
      </w:r>
      <w:r>
        <w:rPr>
          <w:rFonts w:hint="eastAsia" w:ascii="仿宋" w:hAnsi="仿宋" w:eastAsia="仿宋" w:cs="仿宋"/>
          <w:spacing w:val="0"/>
          <w:kern w:val="2"/>
          <w:sz w:val="28"/>
          <w:szCs w:val="28"/>
          <w:lang w:val="en-US" w:eastAsia="zh-CN" w:bidi="ar"/>
        </w:rPr>
        <w:t>绩效目标合理性</w:t>
      </w:r>
      <w:r>
        <w:rPr>
          <w:rFonts w:hint="eastAsia" w:ascii="仿宋" w:hAnsi="仿宋" w:eastAsia="仿宋" w:cs="仿宋"/>
          <w:spacing w:val="0"/>
          <w:kern w:val="2"/>
          <w:sz w:val="28"/>
          <w:szCs w:val="28"/>
        </w:rPr>
        <w:t xml:space="preserve">方面: </w:t>
      </w:r>
      <w:r>
        <w:rPr>
          <w:rFonts w:hint="eastAsia" w:ascii="仿宋" w:hAnsi="仿宋" w:eastAsia="仿宋" w:cs="仿宋"/>
          <w:spacing w:val="0"/>
          <w:kern w:val="2"/>
          <w:sz w:val="28"/>
          <w:szCs w:val="28"/>
          <w:lang w:val="en-US" w:eastAsia="zh-CN" w:bidi="ar"/>
        </w:rPr>
        <w:t>绩效目标合理性指标</w:t>
      </w:r>
      <w:r>
        <w:rPr>
          <w:rFonts w:hint="eastAsia" w:ascii="仿宋" w:hAnsi="仿宋" w:eastAsia="仿宋" w:cs="仿宋"/>
          <w:spacing w:val="0"/>
          <w:kern w:val="2"/>
          <w:sz w:val="28"/>
          <w:szCs w:val="28"/>
        </w:rPr>
        <w:t>总分值为2</w:t>
      </w:r>
      <w:r>
        <w:rPr>
          <w:rFonts w:hint="eastAsia" w:ascii="仿宋" w:hAnsi="仿宋" w:eastAsia="仿宋" w:cs="仿宋"/>
          <w:spacing w:val="0"/>
          <w:kern w:val="2"/>
          <w:sz w:val="28"/>
          <w:szCs w:val="28"/>
          <w:lang w:val="en-US" w:eastAsia="zh-CN"/>
        </w:rPr>
        <w:t>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15</w:t>
      </w:r>
      <w:r>
        <w:rPr>
          <w:rFonts w:hint="eastAsia" w:ascii="仿宋" w:hAnsi="仿宋" w:eastAsia="仿宋" w:cs="仿宋"/>
          <w:spacing w:val="0"/>
          <w:kern w:val="2"/>
          <w:sz w:val="28"/>
          <w:szCs w:val="28"/>
        </w:rPr>
        <w:t>.00分，扣</w:t>
      </w:r>
      <w:r>
        <w:rPr>
          <w:rFonts w:hint="eastAsia" w:ascii="仿宋" w:hAnsi="仿宋" w:eastAsia="仿宋" w:cs="仿宋"/>
          <w:spacing w:val="0"/>
          <w:kern w:val="2"/>
          <w:sz w:val="28"/>
          <w:szCs w:val="28"/>
          <w:lang w:val="en-US" w:eastAsia="zh-CN"/>
        </w:rPr>
        <w:t>5</w:t>
      </w:r>
      <w:r>
        <w:rPr>
          <w:rFonts w:hint="eastAsia" w:ascii="仿宋" w:hAnsi="仿宋" w:eastAsia="仿宋" w:cs="仿宋"/>
          <w:spacing w:val="0"/>
          <w:kern w:val="2"/>
          <w:sz w:val="28"/>
          <w:szCs w:val="28"/>
        </w:rPr>
        <w:t>.00分，主要扣分原因为：绩效目标明确性不高</w:t>
      </w:r>
      <w:r>
        <w:rPr>
          <w:rFonts w:hint="eastAsia" w:ascii="仿宋" w:hAnsi="仿宋" w:eastAsia="仿宋" w:cs="仿宋"/>
          <w:spacing w:val="0"/>
          <w:kern w:val="2"/>
          <w:sz w:val="28"/>
          <w:szCs w:val="28"/>
          <w:lang w:eastAsia="zh-CN"/>
        </w:rPr>
        <w:t>，绩效指标不够细化、量化</w:t>
      </w:r>
      <w:r>
        <w:rPr>
          <w:rFonts w:hint="eastAsia" w:ascii="仿宋" w:hAnsi="仿宋" w:eastAsia="仿宋" w:cs="仿宋"/>
          <w:spacing w:val="0"/>
          <w:kern w:val="2"/>
          <w:sz w:val="28"/>
          <w:szCs w:val="28"/>
        </w:rPr>
        <w:t>。</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lang w:val="en-US" w:eastAsia="zh-CN" w:bidi="ar"/>
        </w:rPr>
      </w:pPr>
      <w:r>
        <w:rPr>
          <w:rFonts w:hint="eastAsia" w:ascii="仿宋" w:hAnsi="仿宋" w:eastAsia="仿宋" w:cs="仿宋"/>
          <w:spacing w:val="0"/>
          <w:kern w:val="2"/>
          <w:sz w:val="28"/>
          <w:szCs w:val="28"/>
          <w:lang w:val="en-US" w:eastAsia="zh-CN" w:bidi="ar"/>
        </w:rPr>
        <w:t>四是实施方案有效性方面:实施方案有效性指标总分值为20.00分，实得17.00分，扣3.00分，主要扣分原因为：项目无明确设立、退出时限；项目清理、退出、调整机制不健全，项目执行过程无相关的管控机制。</w:t>
      </w:r>
    </w:p>
    <w:p>
      <w:pPr>
        <w:keepNext w:val="0"/>
        <w:keepLines w:val="0"/>
        <w:pageBreakBefore w:val="0"/>
        <w:widowControl w:val="0"/>
        <w:suppressLineNumbers w:val="0"/>
        <w:wordWrap/>
        <w:topLinePunct w:val="0"/>
        <w:autoSpaceDE w:val="0"/>
        <w:autoSpaceDN/>
        <w:bidi w:val="0"/>
        <w:spacing w:before="0" w:beforeAutospacing="0" w:after="0" w:afterAutospacing="0" w:line="540" w:lineRule="exact"/>
        <w:ind w:left="0" w:right="0" w:firstLine="560" w:firstLineChars="200"/>
        <w:jc w:val="both"/>
        <w:rPr>
          <w:rFonts w:hint="eastAsia" w:ascii="仿宋" w:hAnsi="仿宋" w:eastAsia="仿宋" w:cs="仿宋"/>
          <w:spacing w:val="0"/>
          <w:kern w:val="2"/>
          <w:sz w:val="28"/>
          <w:szCs w:val="28"/>
          <w:lang w:val="en-US" w:eastAsia="zh-CN" w:bidi="ar"/>
        </w:rPr>
      </w:pPr>
      <w:r>
        <w:rPr>
          <w:rFonts w:hint="eastAsia" w:ascii="仿宋" w:hAnsi="仿宋" w:eastAsia="仿宋" w:cs="仿宋"/>
          <w:spacing w:val="0"/>
          <w:kern w:val="2"/>
          <w:sz w:val="28"/>
          <w:szCs w:val="28"/>
          <w:lang w:val="en-US" w:eastAsia="zh-CN" w:bidi="ar"/>
        </w:rPr>
        <w:t>五是筹资合规性方面：筹资合规性指标总分值为20.00分，实得20.00分。</w:t>
      </w:r>
    </w:p>
    <w:p>
      <w:pPr>
        <w:keepNext w:val="0"/>
        <w:keepLines w:val="0"/>
        <w:pageBreakBefore w:val="0"/>
        <w:wordWrap/>
        <w:overflowPunct w:val="0"/>
        <w:topLinePunct w:val="0"/>
        <w:bidi w:val="0"/>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四、评估的相关建议</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eastAsia="zh-CN" w:bidi="ar"/>
        </w:rPr>
      </w:pPr>
      <w:bookmarkStart w:id="2" w:name="_Hlk53502312"/>
      <w:r>
        <w:rPr>
          <w:rFonts w:hint="eastAsia" w:ascii="仿宋" w:hAnsi="仿宋" w:eastAsia="仿宋" w:cs="仿宋"/>
          <w:b/>
          <w:bCs/>
          <w:color w:val="000000"/>
          <w:kern w:val="0"/>
          <w:sz w:val="28"/>
          <w:szCs w:val="28"/>
          <w:lang w:val="en-US" w:eastAsia="zh-CN" w:bidi="ar"/>
        </w:rPr>
        <w:t xml:space="preserve">1、加强绩效目标管理，进行绩效运行监控 </w:t>
      </w:r>
      <w:r>
        <w:rPr>
          <w:rFonts w:hint="eastAsia" w:ascii="仿宋" w:hAnsi="仿宋" w:eastAsia="仿宋" w:cs="仿宋"/>
          <w:b/>
          <w:bCs/>
          <w:color w:val="000000"/>
          <w:kern w:val="0"/>
          <w:sz w:val="28"/>
          <w:szCs w:val="28"/>
          <w:lang w:eastAsia="zh-CN" w:bidi="ar"/>
        </w:rPr>
        <w:t>，</w:t>
      </w:r>
      <w:bookmarkStart w:id="3" w:name="_Toc79571992"/>
      <w:r>
        <w:rPr>
          <w:rFonts w:hint="eastAsia" w:ascii="仿宋" w:hAnsi="仿宋" w:eastAsia="仿宋" w:cs="仿宋"/>
          <w:b/>
          <w:bCs/>
          <w:color w:val="000000"/>
          <w:kern w:val="0"/>
          <w:sz w:val="28"/>
          <w:szCs w:val="28"/>
          <w:lang w:val="en-US" w:eastAsia="zh-CN" w:bidi="ar"/>
        </w:rPr>
        <w:t>提升预算绩效管理水平</w:t>
      </w:r>
      <w:bookmarkEnd w:id="3"/>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项目实施单位应按照《湖南省预算绩效目标管理办法》</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湘财绩〔2020〕7号</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中的要求，除了编制实施期绩效目标外，还应编制年度绩效目标，绩效目标应从数量、质量、成本和时效等方面进行细化，并以定量表述为主；目标要符合客观实际，确保在该年度内能如期实现，不能过高或过低；绩效目标要与年度的任务数或计划数相对应，与年度预算确定的投资额或资金量相匹配。</w:t>
      </w:r>
    </w:p>
    <w:p>
      <w:pPr>
        <w:keepNext w:val="0"/>
        <w:keepLines w:val="0"/>
        <w:pageBreakBefore w:val="0"/>
        <w:numPr>
          <w:ilvl w:val="0"/>
          <w:numId w:val="3"/>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 xml:space="preserve">明确测算依据，科学编制项目预算 </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建议项目单位依据学校实际需求情况，完善工程方案设计，加快完善工程设计说明、施工图纸及工程量表，进行项目可行性论证，在开展进一步的市场工作询价后，细化成本测算，明确取费标准，科学、合理地编制项目投资估算表，提高财政资金使用效益。 </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val="en-US" w:eastAsia="zh-CN" w:bidi="ar"/>
        </w:rPr>
        <w:t>3、</w:t>
      </w:r>
      <w:bookmarkEnd w:id="2"/>
      <w:r>
        <w:rPr>
          <w:rFonts w:hint="eastAsia" w:ascii="仿宋" w:hAnsi="仿宋" w:eastAsia="仿宋" w:cs="仿宋"/>
          <w:b/>
          <w:bCs/>
          <w:color w:val="000000"/>
          <w:kern w:val="0"/>
          <w:sz w:val="28"/>
          <w:szCs w:val="28"/>
          <w:lang w:val="en-US" w:eastAsia="zh-CN" w:bidi="ar"/>
        </w:rPr>
        <w:t>进一步细化完善实施方案，提高方案的深度和可操作</w:t>
      </w:r>
      <w:r>
        <w:rPr>
          <w:rFonts w:hint="eastAsia" w:ascii="仿宋" w:hAnsi="仿宋" w:eastAsia="仿宋" w:cs="仿宋"/>
          <w:b/>
          <w:bCs/>
          <w:color w:val="000000"/>
          <w:kern w:val="0"/>
          <w:sz w:val="28"/>
          <w:szCs w:val="28"/>
          <w:lang w:eastAsia="zh-CN" w:bidi="ar"/>
        </w:rPr>
        <w:t>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建议项目单位在现有实施方案基础上，细化完善实施方案</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在实施方案的项目背景中明确项目设计审查、招投标、施工、验收、竣工结算备案等环节的时间节点和工作内容规划，制定先进、可行、完整的技术路线，以及针对各环节委托方的监管制度及过程管控的具体措施，体现项目实施的组织管理、技术条件等保障措施，保证</w:t>
      </w:r>
      <w:r>
        <w:rPr>
          <w:rFonts w:hint="eastAsia" w:ascii="仿宋" w:hAnsi="仿宋" w:eastAsia="仿宋" w:cs="仿宋"/>
          <w:color w:val="000000"/>
          <w:kern w:val="0"/>
          <w:sz w:val="28"/>
          <w:szCs w:val="28"/>
          <w:lang w:eastAsia="zh-CN" w:bidi="ar"/>
        </w:rPr>
        <w:t>项目顺利实施</w:t>
      </w:r>
      <w:r>
        <w:rPr>
          <w:rFonts w:hint="eastAsia" w:ascii="仿宋" w:hAnsi="仿宋" w:eastAsia="仿宋" w:cs="仿宋"/>
          <w:color w:val="000000"/>
          <w:kern w:val="0"/>
          <w:sz w:val="28"/>
          <w:szCs w:val="28"/>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540" w:lineRule="exact"/>
        <w:ind w:left="0" w:right="0" w:firstLine="640"/>
        <w:jc w:val="left"/>
        <w:rPr>
          <w:rFonts w:hint="eastAsia" w:ascii="仿宋" w:hAnsi="仿宋" w:eastAsia="仿宋" w:cs="仿宋"/>
          <w:i w:val="0"/>
          <w:iCs w:val="0"/>
          <w:caps w:val="0"/>
          <w:color w:val="000000"/>
          <w:spacing w:val="0"/>
          <w:sz w:val="28"/>
          <w:szCs w:val="28"/>
        </w:rPr>
      </w:pPr>
      <w:r>
        <w:rPr>
          <w:rFonts w:hint="eastAsia" w:ascii="仿宋" w:hAnsi="仿宋" w:eastAsia="仿宋" w:cs="仿宋"/>
          <w:b/>
          <w:bCs/>
          <w:color w:val="000000"/>
          <w:kern w:val="0"/>
          <w:sz w:val="28"/>
          <w:szCs w:val="28"/>
          <w:lang w:eastAsia="zh-CN" w:bidi="ar"/>
        </w:rPr>
        <w:t>4.</w:t>
      </w:r>
      <w:r>
        <w:rPr>
          <w:rFonts w:hint="eastAsia" w:ascii="仿宋" w:hAnsi="仿宋" w:eastAsia="仿宋" w:cs="仿宋"/>
          <w:b/>
          <w:bCs/>
          <w:color w:val="000000"/>
          <w:kern w:val="0"/>
          <w:sz w:val="28"/>
          <w:szCs w:val="28"/>
          <w:lang w:val="en-US" w:eastAsia="zh-CN" w:bidi="ar"/>
        </w:rPr>
        <w:t>加强项目全过程管理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540" w:lineRule="exact"/>
        <w:ind w:left="0" w:right="0" w:firstLine="640"/>
        <w:jc w:val="left"/>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对于实施项目的设立、清理和退出管理上，要有明确的时限和步骤，以确定有关项目是否符合总创建工作全生命周期管理的要求。同时，完善项目的成本控制措施，以确保项目投入的经济性不会随着项目实施而失控。</w:t>
      </w:r>
    </w:p>
    <w:p>
      <w:pPr>
        <w:keepNext w:val="0"/>
        <w:keepLines w:val="0"/>
        <w:pageBreakBefore w:val="0"/>
        <w:wordWrap/>
        <w:overflowPunct w:val="0"/>
        <w:topLinePunct w:val="0"/>
        <w:bidi w:val="0"/>
        <w:spacing w:line="540" w:lineRule="exact"/>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五、其他需要说明的问题</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val="en-US" w:eastAsia="zh-CN" w:bidi="ar"/>
        </w:rPr>
        <w:t>本报告是评估机构根据对项目单位所提供及其他经委托方认可的材料进行全面分析与评估，在与委托方沟通的基础上综合形成的</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报告重点针对</w:t>
      </w:r>
      <w:r>
        <w:rPr>
          <w:rFonts w:hint="eastAsia" w:ascii="仿宋" w:hAnsi="仿宋" w:eastAsia="仿宋" w:cs="仿宋"/>
          <w:color w:val="000000"/>
          <w:kern w:val="0"/>
          <w:sz w:val="28"/>
          <w:szCs w:val="28"/>
          <w:lang w:eastAsia="zh-CN" w:bidi="ar"/>
        </w:rPr>
        <w:t>茶元头中学篮球场改造</w:t>
      </w:r>
      <w:r>
        <w:rPr>
          <w:rFonts w:hint="eastAsia" w:ascii="仿宋" w:hAnsi="仿宋" w:eastAsia="仿宋" w:cs="仿宋"/>
          <w:color w:val="000000"/>
          <w:kern w:val="0"/>
          <w:sz w:val="28"/>
          <w:szCs w:val="28"/>
          <w:lang w:val="en-US" w:eastAsia="zh-CN" w:bidi="ar"/>
        </w:rPr>
        <w:t>项目的预算申报进行评估，本报告的结论与意见是参考性的，仅供财政部门审核预算时参考使用，不做其他用途</w:t>
      </w:r>
      <w:r>
        <w:rPr>
          <w:rFonts w:hint="eastAsia" w:ascii="仿宋" w:hAnsi="仿宋" w:eastAsia="仿宋" w:cs="仿宋"/>
          <w:color w:val="000000"/>
          <w:kern w:val="0"/>
          <w:sz w:val="28"/>
          <w:szCs w:val="28"/>
          <w:lang w:eastAsia="zh-CN" w:bidi="ar"/>
        </w:rPr>
        <w:t>。</w:t>
      </w:r>
    </w:p>
    <w:p>
      <w:pPr>
        <w:keepNext w:val="0"/>
        <w:keepLines w:val="0"/>
        <w:pageBreakBefore w:val="0"/>
        <w:wordWrap/>
        <w:overflowPunct w:val="0"/>
        <w:topLinePunct w:val="0"/>
        <w:bidi w:val="0"/>
        <w:spacing w:line="540" w:lineRule="exact"/>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、附件材料</w:t>
      </w:r>
    </w:p>
    <w:p>
      <w:pPr>
        <w:keepNext w:val="0"/>
        <w:keepLines w:val="0"/>
        <w:pageBreakBefore w:val="0"/>
        <w:wordWrap/>
        <w:overflowPunct w:val="0"/>
        <w:topLinePunct w:val="0"/>
        <w:bidi w:val="0"/>
        <w:spacing w:line="540" w:lineRule="exact"/>
        <w:ind w:firstLine="482"/>
        <w:rPr>
          <w:rFonts w:hint="eastAsia" w:ascii="仿宋" w:hAnsi="仿宋" w:eastAsia="仿宋" w:cs="仿宋"/>
          <w:sz w:val="28"/>
          <w:szCs w:val="28"/>
        </w:rPr>
      </w:pPr>
      <w:r>
        <w:rPr>
          <w:rFonts w:hint="eastAsia" w:ascii="仿宋" w:hAnsi="仿宋" w:eastAsia="仿宋" w:cs="仿宋"/>
          <w:color w:val="000000"/>
          <w:kern w:val="0"/>
          <w:sz w:val="28"/>
          <w:szCs w:val="28"/>
          <w:lang w:eastAsia="zh-CN" w:bidi="ar"/>
        </w:rPr>
        <w:t>附件</w:t>
      </w: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eastAsia="zh-CN" w:bidi="ar"/>
        </w:rPr>
        <w:t>：茶元头中学篮球场改造项目事前绩效评估指标表</w:t>
      </w:r>
    </w:p>
    <w:p>
      <w:pPr>
        <w:shd w:val="clear" w:color="auto" w:fill="auto"/>
        <w:spacing w:line="560" w:lineRule="exact"/>
        <w:jc w:val="right"/>
        <w:rPr>
          <w:rFonts w:hint="eastAsia" w:ascii="仿宋" w:hAnsi="仿宋" w:eastAsia="仿宋" w:cs="仿宋"/>
          <w:b/>
          <w:bCs/>
          <w:sz w:val="28"/>
          <w:szCs w:val="28"/>
          <w:lang w:eastAsia="zh-CN"/>
        </w:rPr>
      </w:pP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rPr>
          <w:rFonts w:hint="eastAsia" w:ascii="仿宋" w:hAnsi="仿宋" w:eastAsia="仿宋" w:cs="仿宋"/>
          <w:sz w:val="28"/>
          <w:szCs w:val="28"/>
        </w:r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eastAsia="zh-CN"/>
        </w:rPr>
        <w:t>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日</w:t>
      </w:r>
    </w:p>
    <w:p>
      <w:pPr>
        <w:sectPr>
          <w:footerReference r:id="rId4" w:type="default"/>
          <w:pgSz w:w="11906" w:h="16838"/>
          <w:pgMar w:top="1440" w:right="1800" w:bottom="1440" w:left="1800" w:header="851" w:footer="992" w:gutter="0"/>
          <w:pgNumType w:fmt="decimal" w:start="1"/>
          <w:cols w:space="425" w:num="1"/>
          <w:docGrid w:type="lines" w:linePitch="312" w:charSpace="0"/>
        </w:sectPr>
      </w:pPr>
    </w:p>
    <w:p>
      <w:pPr>
        <w:rPr>
          <w:rFonts w:hint="eastAsia" w:eastAsia="宋体"/>
          <w:sz w:val="28"/>
          <w:szCs w:val="28"/>
          <w:lang w:val="en-US" w:eastAsia="zh-CN"/>
        </w:rPr>
      </w:pPr>
      <w:bookmarkStart w:id="4" w:name="_GoBack"/>
      <w:bookmarkEnd w:id="4"/>
      <w:r>
        <w:rPr>
          <w:rFonts w:hint="eastAsia"/>
          <w:sz w:val="28"/>
          <w:szCs w:val="28"/>
          <w:lang w:val="en-US" w:eastAsia="zh-CN"/>
        </w:rPr>
        <w:t>附件1：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71"/>
        <w:gridCol w:w="2112"/>
        <w:gridCol w:w="774"/>
        <w:gridCol w:w="4025"/>
        <w:gridCol w:w="3073"/>
        <w:gridCol w:w="916"/>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茶元头中学篮球场改造项目事前绩效评估指标表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8"/>
                <w:lang w:val="en-US" w:eastAsia="zh-CN" w:bidi="ar"/>
              </w:rPr>
              <w:t>评估要点</w:t>
            </w:r>
          </w:p>
        </w:tc>
        <w:tc>
          <w:tcPr>
            <w:tcW w:w="10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评分依据</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扣分</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立项必要性(20分)</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政策相关性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是否与国家、湖南省相关行业宏观政策相关。</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项目的建设有利于推进北塔区义务教育事业的发展，符合国家对教育事业发展的支持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职能相关性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是否与主管部门职能、规划及当年重点工作相关。</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北塔区教育局负责统筹全区教育事业发展，该项目是教育局年度重点工作任务之一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需求相关性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①是否具有现实需求，需求是否迫切；②是否有可替代性；③是否有确定的服务对象或受益对象。</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关于请求解决邵阳市北塔区茶元头中学篮球场改造项目资金的报告</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财政投入相关性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是否具有公共性，是否属于公共财政支持范围。</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本项目旨在解决北塔区茶元头中学对于篮球场的需求问题，属于公共财政支持范围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投入经济性（20）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投入合理性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①项目投入资源及成本是否与预期产出及效果相匹配；②投入成本是否合理，成本测算依据是否充分；③其他渠道是否有充分投入。</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无详细的相关成本测算及测算依据不够充分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成本控制措施有效性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项目是否采取相关成本控制措施，成本控制措施是否有效。</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项目已采取有效的成本控制措施</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绩效目标合理性（20）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目标明确性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①绩效目标设定是否明确；②与部门长期规划目标、年度工作目标是否一致；③项目受益群体定位是否准确；④绩效目标和指标设置是否与项目高度相关。</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绩效目标明确性不高</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目标合理性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①绩效目标与项目预计解决的问题是否匹配；②绩效目标与现实需求是否匹配；③绩效目标是否具有一定的前瞻性和挑战性；④绩效指标是否细化、量化，指标值是否合理。</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绩效指标不够细化、量化</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实施方案有效性（20分）</w:t>
            </w:r>
          </w:p>
        </w:tc>
        <w:tc>
          <w:tcPr>
            <w:tcW w:w="7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实施内容明确性</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项目内容是否明确、具体，与绩效目标是否匹配。</w:t>
            </w:r>
          </w:p>
        </w:tc>
        <w:tc>
          <w:tcPr>
            <w:tcW w:w="10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项目内容明确、具体，与绩效目标相匹配</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项目时效性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项目是否明确设立、退出时限；项目清理、退出、调整机制是否健全。</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项目无明确设立、退出时限；项目清理、退出、调整机制不健全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实施方案可行性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①项目技术路线是否完整、先进、可行、合理，与项目内容及绩效目标是否匹配；②项目组织、进度安排是否合理；③与项目有关的基础设施条件是否能够得以有效保障。</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实施方案整体可行</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过程控制有效性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项目执行过程无相关的管控机制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筹资合规性（20）</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筹资合规性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①资金来源渠道是否符合相关规定；②资金筹措程序是否科学规范，是否经过相关论证，论证资料是否齐全；③资金筹措是否体现权责对等，财权和事权是否匹配。</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项目资金来源全部为区级财政预算资金，有相关的会议纪要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财政投入能力</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①各级财政资金配套方式和承受能力是否科学合理；②各级财政部门和其他部门是否有类似项目资金重复投入；③财政资金支持方式是否科学合理。</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义务阶段教育涉及重大民生，关乎老百姓切身利益，财政资金应优先保障。项目资金来源全部为区级财政预算资金，建设资金在财政承受能力范围之内</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筹资风险可控性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9"/>
                <w:lang w:val="en-US" w:eastAsia="zh-CN" w:bidi="ar"/>
              </w:rPr>
              <w:t>①对筹资风险认识是否全面；②是否针对预期风险设定应对措施；③应对措施是否可行、有效。</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对筹资风险认识较全面；针对预期风险设定了有效的应对措施</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1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bl>
    <w:p/>
    <w:p>
      <w:pPr>
        <w:pStyle w:val="2"/>
        <w:rPr>
          <w:rFonts w:hint="eastAsia"/>
          <w:lang w:val="en-US" w:eastAsia="zh-CN"/>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pPr>
        <w:pStyle w:val="2"/>
        <w:rPr>
          <w:rFonts w:hint="eastAsia"/>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eVGs0BAACn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w5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ieVGs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F9093"/>
    <w:multiLevelType w:val="singleLevel"/>
    <w:tmpl w:val="D7DF9093"/>
    <w:lvl w:ilvl="0" w:tentative="0">
      <w:start w:val="2"/>
      <w:numFmt w:val="chineseCounting"/>
      <w:suff w:val="nothing"/>
      <w:lvlText w:val="（%1）"/>
      <w:lvlJc w:val="left"/>
      <w:rPr>
        <w:rFonts w:hint="eastAsia"/>
      </w:rPr>
    </w:lvl>
  </w:abstractNum>
  <w:abstractNum w:abstractNumId="1">
    <w:nsid w:val="FAF5F8DC"/>
    <w:multiLevelType w:val="singleLevel"/>
    <w:tmpl w:val="FAF5F8DC"/>
    <w:lvl w:ilvl="0" w:tentative="0">
      <w:start w:val="2"/>
      <w:numFmt w:val="decimal"/>
      <w:suff w:val="nothing"/>
      <w:lvlText w:val="%1、"/>
      <w:lvlJc w:val="left"/>
    </w:lvl>
  </w:abstractNum>
  <w:abstractNum w:abstractNumId="2">
    <w:nsid w:val="FFA9B651"/>
    <w:multiLevelType w:val="singleLevel"/>
    <w:tmpl w:val="FFA9B651"/>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50435A6B"/>
    <w:rsid w:val="01CE203A"/>
    <w:rsid w:val="01E53AAB"/>
    <w:rsid w:val="089F6D8D"/>
    <w:rsid w:val="0D6B7290"/>
    <w:rsid w:val="11592BC4"/>
    <w:rsid w:val="16C9C656"/>
    <w:rsid w:val="19DC112C"/>
    <w:rsid w:val="1A1A55E6"/>
    <w:rsid w:val="1B7F665C"/>
    <w:rsid w:val="1DEC333B"/>
    <w:rsid w:val="1E7E115D"/>
    <w:rsid w:val="232625FC"/>
    <w:rsid w:val="23906919"/>
    <w:rsid w:val="23FBD610"/>
    <w:rsid w:val="264C227E"/>
    <w:rsid w:val="27ED049D"/>
    <w:rsid w:val="283205FE"/>
    <w:rsid w:val="2F945C9C"/>
    <w:rsid w:val="2FF7FECA"/>
    <w:rsid w:val="33572FB0"/>
    <w:rsid w:val="35FDFCA9"/>
    <w:rsid w:val="3A282FB0"/>
    <w:rsid w:val="3A3556CD"/>
    <w:rsid w:val="3AD66EB0"/>
    <w:rsid w:val="3BEBFC8A"/>
    <w:rsid w:val="3DA940B9"/>
    <w:rsid w:val="3EB74191"/>
    <w:rsid w:val="3F76737F"/>
    <w:rsid w:val="3FEF95E3"/>
    <w:rsid w:val="3FFAB1ED"/>
    <w:rsid w:val="403C77B5"/>
    <w:rsid w:val="42ED31D5"/>
    <w:rsid w:val="46FF153C"/>
    <w:rsid w:val="4FBD1F95"/>
    <w:rsid w:val="4FE93F9C"/>
    <w:rsid w:val="4FFB411A"/>
    <w:rsid w:val="50435A6B"/>
    <w:rsid w:val="52B551A5"/>
    <w:rsid w:val="555FE4FD"/>
    <w:rsid w:val="57FDDED0"/>
    <w:rsid w:val="5B92EB19"/>
    <w:rsid w:val="5BFF9E3E"/>
    <w:rsid w:val="5D7D47EF"/>
    <w:rsid w:val="5EE27322"/>
    <w:rsid w:val="5F922AF6"/>
    <w:rsid w:val="5FF6EEE1"/>
    <w:rsid w:val="5FFDED01"/>
    <w:rsid w:val="603E2C7E"/>
    <w:rsid w:val="6B9FE2FC"/>
    <w:rsid w:val="6BF233BE"/>
    <w:rsid w:val="70D016D0"/>
    <w:rsid w:val="716E3623"/>
    <w:rsid w:val="719F9583"/>
    <w:rsid w:val="753739F4"/>
    <w:rsid w:val="77FDB872"/>
    <w:rsid w:val="799DF32B"/>
    <w:rsid w:val="7A230AC3"/>
    <w:rsid w:val="7AEF51C1"/>
    <w:rsid w:val="7B2BE157"/>
    <w:rsid w:val="7B9C6D7F"/>
    <w:rsid w:val="7BFB9118"/>
    <w:rsid w:val="7CB54D92"/>
    <w:rsid w:val="7D7DA647"/>
    <w:rsid w:val="7DF91C76"/>
    <w:rsid w:val="7E7334D3"/>
    <w:rsid w:val="7EF76052"/>
    <w:rsid w:val="7FDF3910"/>
    <w:rsid w:val="9FDF84AE"/>
    <w:rsid w:val="BB7E0A11"/>
    <w:rsid w:val="BBBF8847"/>
    <w:rsid w:val="BBEDA728"/>
    <w:rsid w:val="BFD5B08E"/>
    <w:rsid w:val="CBDA79E5"/>
    <w:rsid w:val="DD368442"/>
    <w:rsid w:val="DE73DB7B"/>
    <w:rsid w:val="E5FFEE55"/>
    <w:rsid w:val="E6FD6B5B"/>
    <w:rsid w:val="E7EEE0D6"/>
    <w:rsid w:val="EEEFC6DF"/>
    <w:rsid w:val="EF7544DB"/>
    <w:rsid w:val="EFEF8F90"/>
    <w:rsid w:val="F77F736D"/>
    <w:rsid w:val="F7FF048C"/>
    <w:rsid w:val="F7FFAB28"/>
    <w:rsid w:val="FB7E9CC6"/>
    <w:rsid w:val="FC1D14E5"/>
    <w:rsid w:val="FCF74419"/>
    <w:rsid w:val="FF62AD35"/>
    <w:rsid w:val="FF7EF9E7"/>
    <w:rsid w:val="FF8E35AB"/>
    <w:rsid w:val="FFE5C8EC"/>
    <w:rsid w:val="FFF2DFA9"/>
    <w:rsid w:val="FFFFAC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12" w:lineRule="auto"/>
      <w:jc w:val="center"/>
      <w:outlineLvl w:val="1"/>
    </w:pPr>
    <w:rPr>
      <w:rFonts w:ascii="Cambria" w:hAnsi="Cambria" w:cs="宋体"/>
      <w:b/>
      <w:bCs/>
      <w:sz w:val="36"/>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4">
    <w:name w:val="Normal Indent"/>
    <w:basedOn w:val="1"/>
    <w:qFormat/>
    <w:uiPriority w:val="0"/>
    <w:pPr>
      <w:keepNext w:val="0"/>
      <w:keepLines w:val="0"/>
      <w:widowControl w:val="0"/>
      <w:suppressLineNumbers w:val="0"/>
      <w:adjustRightInd w:val="0"/>
      <w:spacing w:before="0" w:beforeAutospacing="0" w:after="0" w:afterAutospacing="0" w:line="312" w:lineRule="atLeast"/>
      <w:ind w:left="0" w:right="0" w:firstLine="420" w:firstLineChars="0"/>
      <w:jc w:val="both"/>
      <w:textAlignment w:val="baseline"/>
    </w:pPr>
    <w:rPr>
      <w:rFonts w:hint="default" w:ascii="Times New Roman" w:hAnsi="Times New Roman" w:eastAsia="宋体" w:cs="Times New Roman"/>
      <w:kern w:val="0"/>
      <w:sz w:val="21"/>
      <w:szCs w:val="21"/>
      <w:lang w:val="en-US" w:eastAsia="zh-CN" w:bidi="ar"/>
    </w:rPr>
  </w:style>
  <w:style w:type="paragraph" w:styleId="5">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无间隔1"/>
    <w:autoRedefine/>
    <w:qFormat/>
    <w:uiPriority w:val="0"/>
    <w:pPr>
      <w:widowControl w:val="0"/>
      <w:spacing w:beforeLines="50"/>
      <w:jc w:val="center"/>
    </w:pPr>
    <w:rPr>
      <w:rFonts w:ascii="Times New Roman" w:hAnsi="Times New Roman" w:eastAsia="仿宋_GB2312" w:cs="Times New Roman"/>
      <w:kern w:val="2"/>
      <w:sz w:val="24"/>
      <w:szCs w:val="22"/>
      <w:lang w:val="en-US" w:eastAsia="zh-CN" w:bidi="ar-SA"/>
    </w:rPr>
  </w:style>
  <w:style w:type="table" w:customStyle="1" w:styleId="13">
    <w:name w:val="Table Normal"/>
    <w:basedOn w:val="9"/>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character" w:customStyle="1" w:styleId="14">
    <w:name w:val="font21"/>
    <w:basedOn w:val="11"/>
    <w:autoRedefine/>
    <w:qFormat/>
    <w:uiPriority w:val="0"/>
    <w:rPr>
      <w:rFonts w:ascii="Calibri" w:hAnsi="Calibri" w:cs="Calibri"/>
      <w:b/>
      <w:bCs/>
      <w:color w:val="000000"/>
      <w:sz w:val="22"/>
      <w:szCs w:val="22"/>
      <w:u w:val="none"/>
    </w:rPr>
  </w:style>
  <w:style w:type="character" w:customStyle="1" w:styleId="15">
    <w:name w:val="font11"/>
    <w:basedOn w:val="11"/>
    <w:autoRedefine/>
    <w:qFormat/>
    <w:uiPriority w:val="0"/>
    <w:rPr>
      <w:rFonts w:hint="eastAsia" w:ascii="宋体" w:hAnsi="宋体" w:eastAsia="宋体" w:cs="宋体"/>
      <w:b/>
      <w:bCs/>
      <w:color w:val="000000"/>
      <w:sz w:val="22"/>
      <w:szCs w:val="22"/>
      <w:u w:val="none"/>
    </w:rPr>
  </w:style>
  <w:style w:type="character" w:customStyle="1" w:styleId="16">
    <w:name w:val="font01"/>
    <w:basedOn w:val="11"/>
    <w:autoRedefine/>
    <w:qFormat/>
    <w:uiPriority w:val="0"/>
    <w:rPr>
      <w:rFonts w:hint="default" w:ascii="Calibri" w:hAnsi="Calibri" w:cs="Calibri"/>
      <w:color w:val="000000"/>
      <w:sz w:val="22"/>
      <w:szCs w:val="22"/>
      <w:u w:val="none"/>
    </w:rPr>
  </w:style>
  <w:style w:type="character" w:customStyle="1" w:styleId="17">
    <w:name w:val="font31"/>
    <w:basedOn w:val="11"/>
    <w:autoRedefine/>
    <w:qFormat/>
    <w:uiPriority w:val="0"/>
    <w:rPr>
      <w:rFonts w:hint="eastAsia" w:ascii="宋体" w:hAnsi="宋体" w:eastAsia="宋体" w:cs="宋体"/>
      <w:color w:val="000000"/>
      <w:sz w:val="22"/>
      <w:szCs w:val="22"/>
      <w:u w:val="none"/>
    </w:rPr>
  </w:style>
  <w:style w:type="character" w:customStyle="1" w:styleId="18">
    <w:name w:val="font41"/>
    <w:basedOn w:val="11"/>
    <w:uiPriority w:val="0"/>
    <w:rPr>
      <w:rFonts w:hint="eastAsia" w:ascii="宋体" w:hAnsi="宋体" w:eastAsia="宋体" w:cs="宋体"/>
      <w:b/>
      <w:bCs/>
      <w:color w:val="000000"/>
      <w:sz w:val="20"/>
      <w:szCs w:val="20"/>
      <w:u w:val="none"/>
    </w:rPr>
  </w:style>
  <w:style w:type="character" w:customStyle="1" w:styleId="19">
    <w:name w:val="font61"/>
    <w:basedOn w:val="11"/>
    <w:uiPriority w:val="0"/>
    <w:rPr>
      <w:rFonts w:hint="eastAsia" w:ascii="宋体" w:hAnsi="宋体" w:eastAsia="宋体" w:cs="宋体"/>
      <w:color w:val="000000"/>
      <w:sz w:val="20"/>
      <w:szCs w:val="20"/>
      <w:u w:val="none"/>
    </w:rPr>
  </w:style>
  <w:style w:type="character" w:customStyle="1" w:styleId="20">
    <w:name w:val="font5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2023-11-22T23:22:00Z</dcterms:created>
  <dc:creator>lxy</dc:creator>
  <cp:lastModifiedBy>小鲸怡</cp:lastModifiedBy>
  <dcterms:modified xsi:type="dcterms:W3CDTF">2023-12-18T07:24:47Z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AA2D1C99847844A9BAF41F192D2F4B3E_13</vt:lpwstr>
  </property>
</Properties>
</file>