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00" w:line="288" w:lineRule="auto"/>
        <w:jc w:val="center"/>
        <w:outlineLvl w:val="0"/>
        <w:rPr>
          <w:rFonts w:ascii="方正小标宋简体" w:hAnsi="方正小标宋简体" w:eastAsia="方正小标宋简体" w:cs="方正小标宋简体"/>
          <w:b/>
          <w:bCs/>
          <w:sz w:val="44"/>
          <w:szCs w:val="44"/>
        </w:rPr>
      </w:pPr>
    </w:p>
    <w:p>
      <w:pPr>
        <w:spacing w:after="500" w:line="288" w:lineRule="auto"/>
        <w:jc w:val="center"/>
        <w:outlineLvl w:val="0"/>
        <w:rPr>
          <w:rFonts w:ascii="方正小标宋简体" w:hAnsi="方正小标宋简体" w:eastAsia="方正小标宋简体" w:cs="方正小标宋简体"/>
          <w:b/>
          <w:bCs/>
          <w:sz w:val="44"/>
          <w:szCs w:val="44"/>
        </w:rPr>
      </w:pPr>
    </w:p>
    <w:p>
      <w:pPr>
        <w:spacing w:line="600" w:lineRule="exact"/>
        <w:jc w:val="center"/>
        <w:rPr>
          <w:rFonts w:ascii="仿宋" w:hAnsi="仿宋" w:eastAsia="方正小标宋简体" w:cs="方正小标宋简体"/>
          <w:b/>
          <w:bCs/>
          <w:sz w:val="52"/>
          <w:szCs w:val="52"/>
        </w:rPr>
      </w:pPr>
      <w:r>
        <w:rPr>
          <w:rFonts w:hint="eastAsia" w:ascii="仿宋" w:hAnsi="仿宋" w:eastAsia="方正小标宋简体" w:cs="方正小标宋简体"/>
          <w:b/>
          <w:bCs/>
          <w:sz w:val="52"/>
          <w:szCs w:val="52"/>
        </w:rPr>
        <w:t>绩效评价报告</w:t>
      </w:r>
    </w:p>
    <w:p>
      <w:pPr>
        <w:ind w:firstLine="480"/>
      </w:pPr>
    </w:p>
    <w:p>
      <w:pPr>
        <w:ind w:firstLine="480"/>
      </w:pPr>
    </w:p>
    <w:p>
      <w:pPr>
        <w:ind w:firstLine="480"/>
      </w:pPr>
    </w:p>
    <w:p>
      <w:pPr>
        <w:rPr>
          <w:rFonts w:eastAsia="仿宋_GB2312"/>
          <w:sz w:val="32"/>
          <w:szCs w:val="32"/>
          <w:u w:val="single"/>
        </w:rPr>
      </w:pPr>
    </w:p>
    <w:tbl>
      <w:tblPr>
        <w:tblStyle w:val="11"/>
        <w:tblpPr w:leftFromText="180" w:rightFromText="180" w:vertAnchor="text" w:horzAnchor="page" w:tblpX="2196" w:tblpY="497"/>
        <w:tblOverlap w:val="never"/>
        <w:tblW w:w="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ascii="仿宋" w:hAnsi="仿宋" w:eastAsia="仿宋" w:cs="仿宋"/>
                <w:b/>
                <w:bCs/>
                <w:sz w:val="32"/>
                <w:szCs w:val="32"/>
              </w:rPr>
              <w:t>项目名称：</w:t>
            </w:r>
          </w:p>
        </w:tc>
        <w:tc>
          <w:tcPr>
            <w:tcW w:w="5852" w:type="dxa"/>
            <w:tcBorders>
              <w:top w:val="nil"/>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北塔区</w:t>
            </w:r>
            <w:r>
              <w:rPr>
                <w:rFonts w:hint="eastAsia" w:ascii="仿宋" w:hAnsi="仿宋" w:eastAsia="仿宋" w:cs="仿宋"/>
                <w:sz w:val="32"/>
                <w:szCs w:val="32"/>
                <w:lang w:val="en-US" w:eastAsia="zh-CN"/>
              </w:rPr>
              <w:t>学前教育建设</w:t>
            </w:r>
            <w:r>
              <w:rPr>
                <w:rFonts w:hint="eastAsia" w:ascii="仿宋" w:hAnsi="仿宋" w:eastAsia="仿宋" w:cs="仿宋"/>
                <w:sz w:val="32"/>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cs="仿宋"/>
                <w:b/>
                <w:bCs/>
                <w:sz w:val="32"/>
                <w:szCs w:val="32"/>
              </w:rPr>
              <w:t>项目单位</w:t>
            </w:r>
            <w:r>
              <w:rPr>
                <w:rFonts w:hint="eastAsia" w:ascii="仿宋" w:hAnsi="仿宋" w:eastAsia="仿宋" w:cs="仿宋"/>
                <w:b/>
                <w:bCs/>
                <w:sz w:val="32"/>
                <w:szCs w:val="32"/>
              </w:rPr>
              <w:t>：</w:t>
            </w:r>
          </w:p>
        </w:tc>
        <w:tc>
          <w:tcPr>
            <w:tcW w:w="5852" w:type="dxa"/>
            <w:tcBorders>
              <w:top w:val="single" w:color="auto" w:sz="4" w:space="0"/>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邵阳市北塔区</w:t>
            </w:r>
            <w:r>
              <w:rPr>
                <w:rFonts w:hint="eastAsia" w:ascii="仿宋" w:hAnsi="仿宋" w:eastAsia="仿宋" w:cs="仿宋"/>
                <w:sz w:val="32"/>
                <w:szCs w:val="32"/>
                <w:lang w:val="en-US" w:eastAsia="zh-CN"/>
              </w:rPr>
              <w:t>教育</w:t>
            </w:r>
            <w:r>
              <w:rPr>
                <w:rFonts w:hint="eastAsia" w:ascii="仿宋" w:hAnsi="仿宋" w:eastAsia="仿宋" w:cs="仿宋"/>
                <w:sz w:val="32"/>
                <w:szCs w:val="3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cs="仿宋"/>
                <w:b/>
                <w:bCs/>
                <w:sz w:val="32"/>
                <w:szCs w:val="32"/>
              </w:rPr>
              <w:t>委托单位</w:t>
            </w:r>
            <w:r>
              <w:rPr>
                <w:rFonts w:hint="eastAsia" w:ascii="仿宋" w:hAnsi="仿宋" w:eastAsia="仿宋" w:cs="仿宋"/>
                <w:b/>
                <w:bCs/>
                <w:sz w:val="32"/>
                <w:szCs w:val="32"/>
              </w:rPr>
              <w:t>：</w:t>
            </w:r>
          </w:p>
        </w:tc>
        <w:tc>
          <w:tcPr>
            <w:tcW w:w="5852" w:type="dxa"/>
            <w:tcBorders>
              <w:top w:val="single" w:color="auto" w:sz="4" w:space="0"/>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邵阳市北塔区财政局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cs="仿宋"/>
                <w:b/>
                <w:bCs/>
                <w:sz w:val="32"/>
                <w:szCs w:val="32"/>
              </w:rPr>
              <w:t>评价</w:t>
            </w:r>
            <w:r>
              <w:rPr>
                <w:rFonts w:hint="eastAsia" w:ascii="仿宋" w:hAnsi="仿宋" w:eastAsia="仿宋" w:cs="仿宋"/>
                <w:b/>
                <w:bCs/>
                <w:sz w:val="32"/>
                <w:szCs w:val="32"/>
              </w:rPr>
              <w:t>机构：</w:t>
            </w:r>
          </w:p>
        </w:tc>
        <w:tc>
          <w:tcPr>
            <w:tcW w:w="5852" w:type="dxa"/>
            <w:tcBorders>
              <w:top w:val="single" w:color="auto" w:sz="4" w:space="0"/>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湖南骏新联合会计师事务所（普通合伙）</w:t>
            </w:r>
          </w:p>
        </w:tc>
      </w:tr>
    </w:tbl>
    <w:p>
      <w:pPr>
        <w:ind w:firstLine="480"/>
      </w:pPr>
    </w:p>
    <w:p>
      <w:pPr>
        <w:ind w:firstLine="480"/>
      </w:pPr>
    </w:p>
    <w:p>
      <w:pPr>
        <w:ind w:firstLine="321" w:firstLineChars="100"/>
        <w:jc w:val="center"/>
        <w:rPr>
          <w:rFonts w:ascii="仿宋" w:hAnsi="仿宋" w:eastAsia="仿宋" w:cs="仿宋"/>
          <w:b/>
          <w:bCs/>
          <w:sz w:val="32"/>
          <w:szCs w:val="32"/>
        </w:rPr>
      </w:pPr>
    </w:p>
    <w:p>
      <w:pPr>
        <w:ind w:firstLine="321" w:firstLineChars="100"/>
        <w:jc w:val="center"/>
        <w:rPr>
          <w:rFonts w:ascii="仿宋" w:hAnsi="仿宋" w:eastAsia="仿宋" w:cs="仿宋"/>
          <w:b/>
          <w:bCs/>
          <w:sz w:val="32"/>
          <w:szCs w:val="32"/>
        </w:rPr>
      </w:pPr>
    </w:p>
    <w:p>
      <w:pPr>
        <w:ind w:firstLine="321" w:firstLineChars="100"/>
        <w:jc w:val="center"/>
        <w:rPr>
          <w:rFonts w:ascii="仿宋" w:hAnsi="仿宋" w:eastAsia="仿宋" w:cs="仿宋"/>
          <w:b/>
          <w:bCs/>
          <w:sz w:val="32"/>
          <w:szCs w:val="32"/>
        </w:rPr>
      </w:pPr>
    </w:p>
    <w:p>
      <w:pPr>
        <w:ind w:firstLine="321" w:firstLineChars="100"/>
        <w:jc w:val="center"/>
      </w:pPr>
      <w:r>
        <w:rPr>
          <w:rFonts w:hint="eastAsia" w:ascii="仿宋" w:hAnsi="仿宋" w:eastAsia="仿宋" w:cs="仿宋"/>
          <w:b/>
          <w:bCs/>
          <w:sz w:val="32"/>
          <w:szCs w:val="32"/>
        </w:rPr>
        <w:t>二○二</w:t>
      </w:r>
      <w:r>
        <w:rPr>
          <w:rFonts w:hint="eastAsia" w:cs="仿宋"/>
          <w:b/>
          <w:bCs/>
          <w:sz w:val="32"/>
          <w:szCs w:val="32"/>
        </w:rPr>
        <w:t>三</w:t>
      </w:r>
      <w:r>
        <w:rPr>
          <w:rFonts w:hint="eastAsia" w:ascii="仿宋" w:hAnsi="仿宋" w:eastAsia="仿宋" w:cs="仿宋"/>
          <w:b/>
          <w:bCs/>
          <w:sz w:val="32"/>
          <w:szCs w:val="32"/>
        </w:rPr>
        <w:t>年</w:t>
      </w:r>
      <w:r>
        <w:rPr>
          <w:rFonts w:hint="eastAsia" w:cs="仿宋"/>
          <w:b/>
          <w:bCs/>
          <w:color w:val="000000"/>
          <w:sz w:val="32"/>
          <w:szCs w:val="32"/>
        </w:rPr>
        <w:t>十一</w:t>
      </w:r>
      <w:r>
        <w:rPr>
          <w:rFonts w:hint="eastAsia" w:ascii="仿宋" w:hAnsi="仿宋" w:eastAsia="仿宋" w:cs="仿宋"/>
          <w:b/>
          <w:bCs/>
          <w:color w:val="000000"/>
          <w:sz w:val="32"/>
          <w:szCs w:val="32"/>
        </w:rPr>
        <w:t>月</w:t>
      </w:r>
      <w:r>
        <w:rPr>
          <w:rFonts w:hint="eastAsia" w:cs="仿宋"/>
          <w:b/>
          <w:bCs/>
          <w:color w:val="000000"/>
          <w:sz w:val="32"/>
          <w:szCs w:val="32"/>
        </w:rPr>
        <w:t>二十六</w:t>
      </w:r>
      <w:r>
        <w:rPr>
          <w:rFonts w:hint="eastAsia" w:ascii="仿宋" w:hAnsi="仿宋" w:eastAsia="仿宋" w:cs="仿宋"/>
          <w:b/>
          <w:bCs/>
          <w:color w:val="000000"/>
          <w:sz w:val="32"/>
          <w:szCs w:val="32"/>
        </w:rPr>
        <w:t>日</w:t>
      </w:r>
    </w:p>
    <w:p>
      <w:pPr>
        <w:pStyle w:val="16"/>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bCs/>
          <w:sz w:val="32"/>
          <w:szCs w:val="32"/>
          <w:lang w:eastAsia="zh-CN"/>
        </w:rPr>
      </w:pPr>
    </w:p>
    <w:p>
      <w:pPr>
        <w:jc w:val="center"/>
      </w:pPr>
    </w:p>
    <w:p>
      <w:pPr>
        <w:jc w:val="center"/>
        <w:rPr>
          <w:rFonts w:ascii="宋体"/>
          <w:b/>
          <w:bCs/>
          <w:sz w:val="32"/>
          <w:szCs w:val="32"/>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 w:hAnsi="仿宋" w:eastAsia="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湘</w:t>
      </w:r>
      <w:r>
        <w:rPr>
          <w:rFonts w:hint="eastAsia" w:ascii="仿宋" w:hAnsi="仿宋" w:eastAsia="仿宋" w:cs="仿宋"/>
          <w:color w:val="000000"/>
          <w:sz w:val="28"/>
          <w:szCs w:val="28"/>
          <w:shd w:val="clear" w:color="auto" w:fill="FFFFFF"/>
        </w:rPr>
        <w:t>骏会绩效评字</w:t>
      </w:r>
      <w:r>
        <w:rPr>
          <w:rFonts w:ascii="仿宋" w:hAnsi="仿宋" w:eastAsia="仿宋" w:cs="仿宋"/>
          <w:color w:val="000000"/>
          <w:sz w:val="28"/>
          <w:szCs w:val="28"/>
          <w:shd w:val="clear" w:color="auto" w:fill="FFFFFF"/>
        </w:rPr>
        <w:t>[</w:t>
      </w:r>
      <w:r>
        <w:rPr>
          <w:rFonts w:hint="eastAsia" w:cs="仿宋"/>
          <w:color w:val="000000"/>
          <w:sz w:val="28"/>
          <w:szCs w:val="28"/>
          <w:shd w:val="clear" w:color="auto" w:fill="FFFFFF"/>
          <w:lang w:eastAsia="zh-CN"/>
        </w:rPr>
        <w:t>202</w:t>
      </w:r>
      <w:r>
        <w:rPr>
          <w:rFonts w:hint="eastAsia" w:cs="仿宋"/>
          <w:color w:val="000000"/>
          <w:sz w:val="28"/>
          <w:szCs w:val="28"/>
          <w:shd w:val="clear" w:color="auto" w:fill="FFFFFF"/>
          <w:lang w:val="en-US" w:eastAsia="zh-CN"/>
        </w:rPr>
        <w:t>3</w:t>
      </w:r>
      <w:r>
        <w:rPr>
          <w:rFonts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rPr>
        <w:t>第</w:t>
      </w:r>
      <w:r>
        <w:rPr>
          <w:rFonts w:hint="eastAsia" w:ascii="仿宋" w:hAnsi="仿宋" w:eastAsia="仿宋" w:cs="仿宋"/>
          <w:color w:val="000000"/>
          <w:sz w:val="28"/>
          <w:szCs w:val="28"/>
          <w:shd w:val="clear" w:color="auto" w:fill="FFFFFF"/>
          <w:lang w:val="en-US" w:eastAsia="zh-CN"/>
        </w:rPr>
        <w:t>040</w:t>
      </w:r>
      <w:r>
        <w:rPr>
          <w:rFonts w:hint="eastAsia" w:ascii="仿宋" w:hAnsi="仿宋" w:eastAsia="仿宋" w:cs="仿宋"/>
          <w:color w:val="000000"/>
          <w:sz w:val="28"/>
          <w:szCs w:val="28"/>
          <w:shd w:val="clear" w:color="auto" w:fill="FFFFFF"/>
        </w:rPr>
        <w:t>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32"/>
          <w:szCs w:val="32"/>
          <w:lang w:eastAsia="zh-CN"/>
        </w:rPr>
      </w:pPr>
    </w:p>
    <w:p>
      <w:pPr>
        <w:spacing w:line="348" w:lineRule="auto"/>
        <w:jc w:val="center"/>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lang w:val="en-US" w:eastAsia="zh-CN"/>
        </w:rPr>
        <w:t>北塔区学前教育建设项目</w:t>
      </w:r>
      <w:r>
        <w:rPr>
          <w:rFonts w:hint="eastAsia" w:ascii="宋体" w:hAnsi="宋体" w:eastAsia="宋体" w:cs="宋体"/>
          <w:b/>
          <w:bCs w:val="0"/>
          <w:sz w:val="36"/>
          <w:szCs w:val="36"/>
          <w:highlight w:val="none"/>
        </w:rPr>
        <w:t>专项债券</w:t>
      </w:r>
    </w:p>
    <w:p>
      <w:pPr>
        <w:spacing w:line="348" w:lineRule="auto"/>
        <w:jc w:val="center"/>
        <w:rPr>
          <w:rFonts w:hint="eastAsia" w:ascii="宋体" w:hAnsi="宋体" w:eastAsia="宋体" w:cs="宋体"/>
          <w:b/>
          <w:bCs w:val="0"/>
          <w:sz w:val="36"/>
          <w:szCs w:val="36"/>
          <w:highlight w:val="none"/>
          <w:lang w:val="en-US" w:eastAsia="zh-CN"/>
        </w:rPr>
      </w:pPr>
      <w:r>
        <w:rPr>
          <w:rFonts w:hint="eastAsia" w:ascii="宋体" w:hAnsi="宋体" w:eastAsia="宋体" w:cs="宋体"/>
          <w:b/>
          <w:bCs w:val="0"/>
          <w:sz w:val="36"/>
          <w:szCs w:val="36"/>
          <w:highlight w:val="none"/>
        </w:rPr>
        <w:t>绩效评价报告</w:t>
      </w:r>
    </w:p>
    <w:p>
      <w:pPr>
        <w:keepNext w:val="0"/>
        <w:keepLines w:val="0"/>
        <w:pageBreakBefore w:val="0"/>
        <w:widowControl w:val="0"/>
        <w:tabs>
          <w:tab w:val="left" w:pos="3856"/>
        </w:tabs>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pacing w:val="0"/>
          <w:sz w:val="28"/>
          <w:szCs w:val="28"/>
          <w:highlight w:val="none"/>
        </w:rPr>
      </w:pPr>
    </w:p>
    <w:p>
      <w:pPr>
        <w:keepNext w:val="0"/>
        <w:keepLines w:val="0"/>
        <w:pageBreakBefore w:val="0"/>
        <w:widowControl w:val="0"/>
        <w:tabs>
          <w:tab w:val="left" w:pos="3856"/>
        </w:tabs>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pacing w:val="0"/>
          <w:sz w:val="28"/>
          <w:szCs w:val="28"/>
          <w:highlight w:val="none"/>
        </w:rPr>
      </w:pPr>
      <w:r>
        <w:rPr>
          <w:rFonts w:hint="eastAsia" w:ascii="仿宋" w:hAnsi="仿宋" w:eastAsia="仿宋" w:cs="仿宋"/>
          <w:spacing w:val="0"/>
          <w:sz w:val="28"/>
          <w:szCs w:val="28"/>
          <w:highlight w:val="none"/>
        </w:rPr>
        <w:t>为加强财政支出管理，优化财政支出结构，提高财政资金使用效益，根据《中共中央国务院关于全面实施预算绩效管理的意见》（中发〔2018〕34号）、《中共湖南省委办公厅湖南省人民政府办公厅关于全面实施预算绩效管理的实施意见》（湘办发〔2019〕10号）、《湖南省财政厅关于印发湖南省预算支出绩效评价管理办法的通知》（湘财绩〔2020〕7号）等文件要求，</w:t>
      </w:r>
      <w:r>
        <w:rPr>
          <w:rFonts w:hint="eastAsia" w:ascii="仿宋" w:hAnsi="仿宋" w:eastAsia="仿宋" w:cs="仿宋"/>
          <w:spacing w:val="0"/>
          <w:sz w:val="28"/>
          <w:szCs w:val="28"/>
          <w:highlight w:val="none"/>
          <w:lang w:val="en-US" w:eastAsia="zh-CN"/>
        </w:rPr>
        <w:t>邵阳市北塔区</w:t>
      </w:r>
      <w:r>
        <w:rPr>
          <w:rFonts w:hint="eastAsia" w:ascii="仿宋" w:hAnsi="仿宋" w:eastAsia="仿宋" w:cs="仿宋"/>
          <w:spacing w:val="0"/>
          <w:sz w:val="28"/>
          <w:szCs w:val="28"/>
          <w:highlight w:val="none"/>
        </w:rPr>
        <w:t>财政局委托湖南</w:t>
      </w:r>
      <w:r>
        <w:rPr>
          <w:rFonts w:hint="eastAsia" w:ascii="仿宋" w:hAnsi="仿宋" w:eastAsia="仿宋" w:cs="仿宋"/>
          <w:spacing w:val="0"/>
          <w:sz w:val="28"/>
          <w:szCs w:val="28"/>
          <w:highlight w:val="none"/>
          <w:lang w:val="en-US" w:eastAsia="zh-CN"/>
        </w:rPr>
        <w:t>骏新联合</w:t>
      </w:r>
      <w:r>
        <w:rPr>
          <w:rFonts w:hint="eastAsia" w:ascii="仿宋" w:hAnsi="仿宋" w:eastAsia="仿宋" w:cs="仿宋"/>
          <w:spacing w:val="0"/>
          <w:sz w:val="28"/>
          <w:szCs w:val="28"/>
          <w:highlight w:val="none"/>
        </w:rPr>
        <w:t>会计师事务所（普通合伙）对</w:t>
      </w:r>
      <w:r>
        <w:rPr>
          <w:rFonts w:hint="eastAsia" w:ascii="仿宋" w:hAnsi="仿宋" w:eastAsia="仿宋" w:cs="仿宋"/>
          <w:spacing w:val="0"/>
          <w:sz w:val="28"/>
          <w:szCs w:val="28"/>
          <w:highlight w:val="none"/>
          <w:lang w:val="en-US" w:eastAsia="zh-CN"/>
        </w:rPr>
        <w:t>湖南省邵阳市2022年社会事业专项债券项目——北塔区学前教育建设项目</w:t>
      </w:r>
      <w:r>
        <w:rPr>
          <w:rFonts w:hint="eastAsia" w:ascii="仿宋" w:hAnsi="仿宋" w:eastAsia="仿宋" w:cs="仿宋"/>
          <w:spacing w:val="0"/>
          <w:sz w:val="28"/>
          <w:szCs w:val="28"/>
          <w:highlight w:val="none"/>
        </w:rPr>
        <w:t>（以下简称项目）实施绩效评价。评价采用定量分析和定性分析相结合的方法，从项目决策、项目过程、</w:t>
      </w:r>
      <w:r>
        <w:rPr>
          <w:rFonts w:hint="eastAsia" w:ascii="仿宋" w:hAnsi="仿宋" w:eastAsia="仿宋" w:cs="仿宋"/>
          <w:spacing w:val="0"/>
          <w:sz w:val="28"/>
          <w:szCs w:val="28"/>
          <w:highlight w:val="none"/>
          <w:lang w:val="en-US" w:eastAsia="zh-CN"/>
        </w:rPr>
        <w:t>项目产出、</w:t>
      </w:r>
      <w:r>
        <w:rPr>
          <w:rFonts w:hint="eastAsia" w:ascii="仿宋" w:hAnsi="仿宋" w:eastAsia="仿宋" w:cs="仿宋"/>
          <w:spacing w:val="0"/>
          <w:sz w:val="28"/>
          <w:szCs w:val="28"/>
          <w:highlight w:val="none"/>
        </w:rPr>
        <w:t>项目</w:t>
      </w:r>
      <w:r>
        <w:rPr>
          <w:rFonts w:hint="eastAsia" w:ascii="仿宋" w:hAnsi="仿宋" w:eastAsia="仿宋" w:cs="仿宋"/>
          <w:spacing w:val="0"/>
          <w:sz w:val="28"/>
          <w:szCs w:val="28"/>
          <w:highlight w:val="none"/>
          <w:lang w:val="en-US" w:eastAsia="zh-CN"/>
        </w:rPr>
        <w:t>效益</w:t>
      </w:r>
      <w:r>
        <w:rPr>
          <w:rFonts w:hint="eastAsia" w:ascii="仿宋" w:hAnsi="仿宋" w:eastAsia="仿宋" w:cs="仿宋"/>
          <w:spacing w:val="0"/>
          <w:sz w:val="28"/>
          <w:szCs w:val="28"/>
          <w:highlight w:val="none"/>
        </w:rPr>
        <w:t>等方面对项目进行了综合评价。现将绩效评价情况汇报如下：</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hint="eastAsia" w:ascii="宋体" w:hAnsi="宋体" w:eastAsia="宋体" w:cs="宋体"/>
          <w:b/>
          <w:bCs/>
          <w:spacing w:val="0"/>
          <w:sz w:val="28"/>
          <w:szCs w:val="28"/>
          <w:highlight w:val="none"/>
        </w:rPr>
      </w:pPr>
      <w:r>
        <w:rPr>
          <w:rFonts w:hint="eastAsia" w:ascii="宋体" w:hAnsi="宋体" w:eastAsia="宋体" w:cs="宋体"/>
          <w:b/>
          <w:bCs/>
          <w:spacing w:val="0"/>
          <w:sz w:val="28"/>
          <w:szCs w:val="28"/>
          <w:highlight w:val="none"/>
        </w:rPr>
        <w:t>一、项目资金概况</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pacing w:val="0"/>
          <w:sz w:val="28"/>
          <w:szCs w:val="28"/>
          <w:highlight w:val="none"/>
          <w:lang w:eastAsia="zh-CN"/>
        </w:rPr>
        <w:t>（</w:t>
      </w:r>
      <w:r>
        <w:rPr>
          <w:rFonts w:hint="eastAsia" w:ascii="仿宋" w:hAnsi="仿宋" w:eastAsia="仿宋" w:cs="仿宋"/>
          <w:b/>
          <w:bCs/>
          <w:spacing w:val="0"/>
          <w:sz w:val="28"/>
          <w:szCs w:val="28"/>
          <w:highlight w:val="none"/>
          <w:lang w:val="en-US" w:eastAsia="zh-CN"/>
        </w:rPr>
        <w:t>一）项目单位基本情况</w:t>
      </w:r>
    </w:p>
    <w:p>
      <w:pPr>
        <w:keepNext w:val="0"/>
        <w:keepLines w:val="0"/>
        <w:pageBreakBefore w:val="0"/>
        <w:widowControl w:val="0"/>
        <w:tabs>
          <w:tab w:val="left" w:pos="3856"/>
        </w:tabs>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本项目主管单位为邵阳市北塔区教育局，主要负责项目的建设管理工作，包括建立发行专项债券项目库；做好项目的规划期限、投资计划、收益和融资平衡方案、预期收入等测算；做好专项债券年度项目库与政府债务管理系统的衔接；专项债券发行的准备工作和项目实施、进度保障以及收入实现等后续工作。项目实施单位为湖南红兴建设工程有限公司、邵阳市规划建筑设计（集团）有限公司，主要负责项目的具体建设，包括设计、采购、施工等。</w:t>
      </w:r>
    </w:p>
    <w:p>
      <w:pPr>
        <w:keepNext w:val="0"/>
        <w:keepLines w:val="0"/>
        <w:pageBreakBefore w:val="0"/>
        <w:widowControl w:val="0"/>
        <w:tabs>
          <w:tab w:val="left" w:pos="3856"/>
        </w:tabs>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湖南红兴建设工程有限公司成立于2018年07月26日，公司注册资本壹零佰万元整，法定代表人为张新超。经营范围包括:许可项目：建设工程施工；电气安装服务；文物保护工程工；建设住工程设计；建筑物拆除作业（爆破作业除外)。一般项目:园林绿化工程施工；普通机械设备安装服务；土地整治服务；土石方工程施工；建筑材料销；机械设备租赁；工程管理服务；工程造价咨询业务。</w:t>
      </w:r>
    </w:p>
    <w:p>
      <w:pPr>
        <w:keepNext w:val="0"/>
        <w:keepLines w:val="0"/>
        <w:pageBreakBefore w:val="0"/>
        <w:widowControl w:val="0"/>
        <w:tabs>
          <w:tab w:val="left" w:pos="3856"/>
        </w:tabs>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spacing w:val="0"/>
          <w:kern w:val="2"/>
          <w:sz w:val="28"/>
          <w:szCs w:val="28"/>
          <w:highlight w:val="none"/>
          <w:lang w:val="en-US" w:eastAsia="zh-CN" w:bidi="ar-SA"/>
        </w:rPr>
      </w:pPr>
      <w:r>
        <w:rPr>
          <w:rFonts w:hint="eastAsia" w:ascii="仿宋" w:hAnsi="仿宋" w:eastAsia="仿宋" w:cs="仿宋"/>
          <w:spacing w:val="0"/>
          <w:sz w:val="28"/>
          <w:szCs w:val="28"/>
          <w:highlight w:val="none"/>
          <w:lang w:val="en-US" w:eastAsia="zh-CN"/>
        </w:rPr>
        <w:t>邵阳市规划建筑设计（集团）有限公司成立于2019年04月26日，公司注册资本叁亿陆仟叁佰玖抬万元整，法定代表人为李荣仁。经营范围包括：城乡规划编制设计；建筑行业(建筑工程，建筑装饰)设计；市政行业（道路工程，给水，排水，桥梁）设计；风景</w:t>
      </w:r>
      <w:r>
        <w:rPr>
          <w:rFonts w:hint="eastAsia" w:ascii="仿宋" w:hAnsi="仿宋" w:eastAsia="仿宋" w:cs="仿宋"/>
          <w:b w:val="0"/>
          <w:bCs w:val="0"/>
          <w:spacing w:val="0"/>
          <w:kern w:val="2"/>
          <w:sz w:val="28"/>
          <w:szCs w:val="28"/>
          <w:highlight w:val="none"/>
          <w:lang w:val="en-US" w:eastAsia="zh-CN" w:bidi="ar-SA"/>
        </w:rPr>
        <w:t>园林工程设计专项设计；工程监理；工程勘察专业类（岩土工程（勘察）、工程测量、岩土试验）；劳务类(工程钻探) ；工程建设总承包；工程咨询服务；工程检测、地理信息；房地产开发经营；新材料、新产品开发。</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pacing w:val="0"/>
          <w:sz w:val="28"/>
          <w:szCs w:val="28"/>
          <w:highlight w:val="none"/>
        </w:rPr>
      </w:pPr>
      <w:r>
        <w:rPr>
          <w:rFonts w:hint="eastAsia" w:ascii="仿宋" w:hAnsi="仿宋" w:eastAsia="仿宋" w:cs="仿宋"/>
          <w:b/>
          <w:bCs/>
          <w:spacing w:val="0"/>
          <w:sz w:val="28"/>
          <w:szCs w:val="28"/>
          <w:highlight w:val="none"/>
        </w:rPr>
        <w:t>（</w:t>
      </w:r>
      <w:r>
        <w:rPr>
          <w:rFonts w:hint="eastAsia" w:ascii="仿宋" w:hAnsi="仿宋" w:eastAsia="仿宋" w:cs="仿宋"/>
          <w:b/>
          <w:bCs/>
          <w:spacing w:val="0"/>
          <w:sz w:val="28"/>
          <w:szCs w:val="28"/>
          <w:highlight w:val="none"/>
          <w:lang w:val="en-US" w:eastAsia="zh-CN"/>
        </w:rPr>
        <w:t>二</w:t>
      </w:r>
      <w:r>
        <w:rPr>
          <w:rFonts w:hint="eastAsia" w:ascii="仿宋" w:hAnsi="仿宋" w:eastAsia="仿宋" w:cs="仿宋"/>
          <w:b/>
          <w:bCs/>
          <w:spacing w:val="0"/>
          <w:sz w:val="28"/>
          <w:szCs w:val="28"/>
          <w:highlight w:val="none"/>
        </w:rPr>
        <w:t>）项目基本情况</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建设项目属于教育设施项目，旨在完善教育基础设施，高效整合土地资源，进一步提高办学质量，解决适龄儿童入学难的问题，同时增强北塔区教育竞争力和影响力。项目位于北塔区，规划新增学位360个，总用地面积约8500㎡（合12.75亩），总建筑面积约8200㎡。本项目建设期间为2022年10月至2023年8月，共10个月，总投资为6050.49万元，项目主要建设内容包括2栋教学楼（含活动室、卫生间、衣帽及教具储藏室、音体活动室、办公室、会议室、教室、值班室、厨房、开水及消毒间等）和门卫室的新建装修，以及园内配套道路及场地硬化，消防、给排水、供配电等的建设。</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项目根据邵阳市北塔区发展和改革局印发的关于《北塔区学前教育建设项目可行性研究报告》的批复（邵北发改字[2022]11）要求，严格按照省政府有关代建制的规定实行代建制管理。代建单位为天鉴国际工程管理有限公司，项目从初步设计批复后、代建合同生效开始至工程实体移交为止，由天鉴国际工程管理有限公司对项目的前期工作、建安工程、材料设备采购、室外工程及相关事项等进行全过程管理。该工程采用设计、采购、施工总承包模式（EPC模式），总承包商为湖南红兴建设工程有限公司、邵阳市规划建筑设计（集团）有限公司，由邵阳市北塔区教育局组织实施。项目建成后，将移交给北塔区教育局，由北塔区教育局负责后期运营工作。</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pacing w:val="0"/>
          <w:sz w:val="28"/>
          <w:szCs w:val="28"/>
          <w:highlight w:val="none"/>
        </w:rPr>
      </w:pPr>
      <w:r>
        <w:rPr>
          <w:rFonts w:hint="eastAsia" w:ascii="仿宋" w:hAnsi="仿宋" w:eastAsia="仿宋" w:cs="仿宋"/>
          <w:b/>
          <w:bCs/>
          <w:spacing w:val="0"/>
          <w:sz w:val="28"/>
          <w:szCs w:val="28"/>
          <w:highlight w:val="none"/>
        </w:rPr>
        <w:t>（</w:t>
      </w:r>
      <w:r>
        <w:rPr>
          <w:rFonts w:hint="eastAsia" w:ascii="仿宋" w:hAnsi="仿宋" w:eastAsia="仿宋" w:cs="仿宋"/>
          <w:b/>
          <w:bCs/>
          <w:spacing w:val="0"/>
          <w:sz w:val="28"/>
          <w:szCs w:val="28"/>
          <w:highlight w:val="none"/>
          <w:lang w:val="en-US" w:eastAsia="zh-CN"/>
        </w:rPr>
        <w:t>三</w:t>
      </w:r>
      <w:r>
        <w:rPr>
          <w:rFonts w:hint="eastAsia" w:ascii="仿宋" w:hAnsi="仿宋" w:eastAsia="仿宋" w:cs="仿宋"/>
          <w:b/>
          <w:bCs/>
          <w:spacing w:val="0"/>
          <w:sz w:val="28"/>
          <w:szCs w:val="28"/>
          <w:highlight w:val="none"/>
        </w:rPr>
        <w:t>）项目资金基本情况</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项目资金来源全部为北塔区财政资金和发行政府专项债券。项目总投资6050.49万元，其中：用于项目支出的自有资本金4050.49.00万元，拟申请发行政府专项债券资金2000.00万元。截至2022年12月31日，本项目已发行政府专项债券2000.00万元。</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政府专项债发行情况，截止2022年12月31日已发行2000.00万元，具体如下：                     </w:t>
      </w:r>
    </w:p>
    <w:p>
      <w:pPr>
        <w:keepNext w:val="0"/>
        <w:keepLines w:val="0"/>
        <w:pageBreakBefore w:val="0"/>
        <w:widowControl w:val="0"/>
        <w:kinsoku/>
        <w:wordWrap/>
        <w:overflowPunct/>
        <w:topLinePunct w:val="0"/>
        <w:autoSpaceDE/>
        <w:autoSpaceDN/>
        <w:bidi w:val="0"/>
        <w:adjustRightInd w:val="0"/>
        <w:snapToGrid w:val="0"/>
        <w:spacing w:line="540" w:lineRule="exact"/>
        <w:ind w:firstLine="5341" w:firstLineChars="1900"/>
        <w:jc w:val="right"/>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单位：万元</w:t>
      </w:r>
    </w:p>
    <w:tbl>
      <w:tblPr>
        <w:tblStyle w:val="10"/>
        <w:tblW w:w="4998" w:type="pct"/>
        <w:tblInd w:w="0" w:type="dxa"/>
        <w:shd w:val="clear" w:color="auto" w:fill="FFFFFF"/>
        <w:tblLayout w:type="fixed"/>
        <w:tblCellMar>
          <w:top w:w="15" w:type="dxa"/>
          <w:left w:w="15" w:type="dxa"/>
          <w:bottom w:w="15" w:type="dxa"/>
          <w:right w:w="15" w:type="dxa"/>
        </w:tblCellMar>
      </w:tblPr>
      <w:tblGrid>
        <w:gridCol w:w="1516"/>
        <w:gridCol w:w="1916"/>
        <w:gridCol w:w="1036"/>
        <w:gridCol w:w="1464"/>
        <w:gridCol w:w="912"/>
        <w:gridCol w:w="1669"/>
      </w:tblGrid>
      <w:tr>
        <w:tblPrEx>
          <w:shd w:val="clear" w:color="auto" w:fill="FFFFFF"/>
          <w:tblCellMar>
            <w:top w:w="15" w:type="dxa"/>
            <w:left w:w="15" w:type="dxa"/>
            <w:bottom w:w="15" w:type="dxa"/>
            <w:right w:w="15" w:type="dxa"/>
          </w:tblCellMar>
        </w:tblPrEx>
        <w:trPr>
          <w:trHeight w:val="540" w:hRule="atLeast"/>
        </w:trPr>
        <w:tc>
          <w:tcPr>
            <w:tcW w:w="890" w:type="pct"/>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债券名称</w:t>
            </w:r>
          </w:p>
        </w:tc>
        <w:tc>
          <w:tcPr>
            <w:tcW w:w="1125" w:type="pct"/>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债券项目名称</w:t>
            </w:r>
          </w:p>
        </w:tc>
        <w:tc>
          <w:tcPr>
            <w:tcW w:w="608" w:type="pct"/>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金额</w:t>
            </w:r>
          </w:p>
        </w:tc>
        <w:tc>
          <w:tcPr>
            <w:tcW w:w="859" w:type="pct"/>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期限（年）</w:t>
            </w:r>
          </w:p>
        </w:tc>
        <w:tc>
          <w:tcPr>
            <w:tcW w:w="535" w:type="pct"/>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利率%</w:t>
            </w:r>
          </w:p>
        </w:tc>
        <w:tc>
          <w:tcPr>
            <w:tcW w:w="980" w:type="pct"/>
            <w:tcBorders>
              <w:top w:val="single" w:color="000000" w:sz="6" w:space="0"/>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发行日期</w:t>
            </w:r>
          </w:p>
        </w:tc>
      </w:tr>
      <w:tr>
        <w:tblPrEx>
          <w:shd w:val="clear" w:color="auto" w:fill="FFFFFF"/>
          <w:tblCellMar>
            <w:top w:w="15" w:type="dxa"/>
            <w:left w:w="15" w:type="dxa"/>
            <w:bottom w:w="15" w:type="dxa"/>
            <w:right w:w="15" w:type="dxa"/>
          </w:tblCellMar>
        </w:tblPrEx>
        <w:trPr>
          <w:trHeight w:val="1391" w:hRule="atLeast"/>
        </w:trPr>
        <w:tc>
          <w:tcPr>
            <w:tcW w:w="890" w:type="pct"/>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2022年湖南省专项债券一百一十八期（社会事业专项债）</w:t>
            </w:r>
          </w:p>
        </w:tc>
        <w:tc>
          <w:tcPr>
            <w:tcW w:w="1125" w:type="pct"/>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北塔区学前教育建设项目</w:t>
            </w:r>
          </w:p>
        </w:tc>
        <w:tc>
          <w:tcPr>
            <w:tcW w:w="608" w:type="pct"/>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2000.00</w:t>
            </w:r>
          </w:p>
        </w:tc>
        <w:tc>
          <w:tcPr>
            <w:tcW w:w="859" w:type="pct"/>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15年</w:t>
            </w:r>
          </w:p>
        </w:tc>
        <w:tc>
          <w:tcPr>
            <w:tcW w:w="535" w:type="pct"/>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3.21</w:t>
            </w:r>
          </w:p>
        </w:tc>
        <w:tc>
          <w:tcPr>
            <w:tcW w:w="980" w:type="pct"/>
            <w:tcBorders>
              <w:top w:val="nil"/>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2022-06-29</w:t>
            </w:r>
          </w:p>
        </w:tc>
      </w:tr>
      <w:tr>
        <w:tblPrEx>
          <w:shd w:val="clear" w:color="auto" w:fill="FFFFFF"/>
          <w:tblCellMar>
            <w:top w:w="15" w:type="dxa"/>
            <w:left w:w="15" w:type="dxa"/>
            <w:bottom w:w="15" w:type="dxa"/>
            <w:right w:w="15" w:type="dxa"/>
          </w:tblCellMar>
        </w:tblPrEx>
        <w:trPr>
          <w:trHeight w:val="285" w:hRule="atLeast"/>
        </w:trPr>
        <w:tc>
          <w:tcPr>
            <w:tcW w:w="890" w:type="pc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合计</w:t>
            </w:r>
          </w:p>
        </w:tc>
        <w:tc>
          <w:tcPr>
            <w:tcW w:w="1125" w:type="pc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jc w:val="center"/>
              <w:textAlignment w:val="auto"/>
              <w:rPr>
                <w:rFonts w:hint="eastAsia" w:ascii="仿宋" w:hAnsi="仿宋" w:eastAsia="仿宋" w:cs="仿宋"/>
                <w:spacing w:val="0"/>
                <w:kern w:val="2"/>
                <w:sz w:val="28"/>
                <w:szCs w:val="28"/>
                <w:highlight w:val="none"/>
                <w:lang w:val="en-US" w:eastAsia="zh-CN" w:bidi="ar-SA"/>
              </w:rPr>
            </w:pPr>
          </w:p>
        </w:tc>
        <w:tc>
          <w:tcPr>
            <w:tcW w:w="608" w:type="pct"/>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2000.00</w:t>
            </w:r>
          </w:p>
        </w:tc>
        <w:tc>
          <w:tcPr>
            <w:tcW w:w="859" w:type="pc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jc w:val="center"/>
              <w:textAlignment w:val="auto"/>
              <w:rPr>
                <w:rFonts w:hint="eastAsia" w:ascii="仿宋" w:hAnsi="仿宋" w:eastAsia="仿宋" w:cs="仿宋"/>
                <w:spacing w:val="0"/>
                <w:kern w:val="2"/>
                <w:sz w:val="28"/>
                <w:szCs w:val="28"/>
                <w:highlight w:val="none"/>
                <w:lang w:val="en-US" w:eastAsia="zh-CN" w:bidi="ar-SA"/>
              </w:rPr>
            </w:pPr>
          </w:p>
        </w:tc>
        <w:tc>
          <w:tcPr>
            <w:tcW w:w="535" w:type="pc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jc w:val="center"/>
              <w:textAlignment w:val="auto"/>
              <w:rPr>
                <w:rFonts w:hint="eastAsia" w:ascii="仿宋" w:hAnsi="仿宋" w:eastAsia="仿宋" w:cs="仿宋"/>
                <w:spacing w:val="0"/>
                <w:kern w:val="2"/>
                <w:sz w:val="28"/>
                <w:szCs w:val="28"/>
                <w:highlight w:val="none"/>
                <w:lang w:val="en-US" w:eastAsia="zh-CN" w:bidi="ar-SA"/>
              </w:rPr>
            </w:pPr>
          </w:p>
        </w:tc>
        <w:tc>
          <w:tcPr>
            <w:tcW w:w="980" w:type="pct"/>
            <w:tcBorders>
              <w:top w:val="nil"/>
              <w:left w:val="nil"/>
              <w:bottom w:val="single" w:color="000000" w:sz="6" w:space="0"/>
              <w:right w:val="nil"/>
            </w:tcBorders>
            <w:shd w:val="clear" w:color="auto" w:fill="auto"/>
            <w:noWrap/>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jc w:val="center"/>
              <w:textAlignment w:val="auto"/>
              <w:rPr>
                <w:rFonts w:hint="eastAsia" w:ascii="仿宋" w:hAnsi="仿宋" w:eastAsia="仿宋" w:cs="仿宋"/>
                <w:spacing w:val="0"/>
                <w:kern w:val="2"/>
                <w:sz w:val="28"/>
                <w:szCs w:val="28"/>
                <w:highlight w:val="none"/>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项目估算总投资6050.49万元，包括工程费、预备费、建设期利息。明细具体如下：</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项目投资估算表</w:t>
      </w:r>
    </w:p>
    <w:p>
      <w:pPr>
        <w:keepNext w:val="0"/>
        <w:keepLines w:val="0"/>
        <w:pageBreakBefore w:val="0"/>
        <w:widowControl w:val="0"/>
        <w:kinsoku/>
        <w:wordWrap/>
        <w:overflowPunct/>
        <w:topLinePunct w:val="0"/>
        <w:autoSpaceDE/>
        <w:autoSpaceDN/>
        <w:bidi w:val="0"/>
        <w:adjustRightInd w:val="0"/>
        <w:snapToGrid w:val="0"/>
        <w:spacing w:line="540" w:lineRule="exact"/>
        <w:ind w:firstLine="843" w:firstLineChars="300"/>
        <w:jc w:val="right"/>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单位：万元</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2"/>
        <w:gridCol w:w="1502"/>
        <w:gridCol w:w="1166"/>
        <w:gridCol w:w="1524"/>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项目名称</w:t>
            </w:r>
          </w:p>
        </w:tc>
        <w:tc>
          <w:tcPr>
            <w:tcW w:w="8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工程费用</w:t>
            </w:r>
          </w:p>
        </w:tc>
        <w:tc>
          <w:tcPr>
            <w:tcW w:w="6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预备费</w:t>
            </w:r>
          </w:p>
        </w:tc>
        <w:tc>
          <w:tcPr>
            <w:tcW w:w="8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建设期利息</w:t>
            </w:r>
          </w:p>
        </w:tc>
        <w:tc>
          <w:tcPr>
            <w:tcW w:w="789"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北塔区学前教育建设项目</w:t>
            </w:r>
          </w:p>
        </w:tc>
        <w:tc>
          <w:tcPr>
            <w:tcW w:w="8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5445.09</w:t>
            </w:r>
          </w:p>
        </w:tc>
        <w:tc>
          <w:tcPr>
            <w:tcW w:w="6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544.51</w:t>
            </w:r>
          </w:p>
        </w:tc>
        <w:tc>
          <w:tcPr>
            <w:tcW w:w="8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60.89</w:t>
            </w:r>
          </w:p>
        </w:tc>
        <w:tc>
          <w:tcPr>
            <w:tcW w:w="789"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6050.49</w:t>
            </w: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（四）项目预期收益、偿债资金来源</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根据《湖南省邵阳市2022年社会事业专项债券项目预期收益与融资平衡方案》，项目收入来源为保教费收入、伙食费收入、托管服务收入。债券存续期内，项目预期总收入5,618.41元，预期运营成本合计1,457.67万元，运营期内经营性净现金流4,160.74万元，融资还款本息合计3,424.30万元，项目收益与融资能实现自求平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pacing w:val="0"/>
          <w:sz w:val="28"/>
          <w:szCs w:val="28"/>
          <w:highlight w:val="none"/>
        </w:rPr>
      </w:pPr>
      <w:r>
        <w:rPr>
          <w:rFonts w:hint="eastAsia" w:ascii="仿宋" w:hAnsi="仿宋" w:eastAsia="仿宋" w:cs="仿宋"/>
          <w:b/>
          <w:bCs/>
          <w:spacing w:val="0"/>
          <w:sz w:val="28"/>
          <w:szCs w:val="28"/>
          <w:highlight w:val="none"/>
          <w:lang w:eastAsia="zh-CN"/>
        </w:rPr>
        <w:t>（</w:t>
      </w:r>
      <w:r>
        <w:rPr>
          <w:rFonts w:hint="eastAsia" w:ascii="仿宋" w:hAnsi="仿宋" w:eastAsia="仿宋" w:cs="仿宋"/>
          <w:b/>
          <w:bCs/>
          <w:spacing w:val="0"/>
          <w:sz w:val="28"/>
          <w:szCs w:val="28"/>
          <w:highlight w:val="none"/>
          <w:lang w:val="en-US" w:eastAsia="zh-CN"/>
        </w:rPr>
        <w:t>五）</w:t>
      </w:r>
      <w:r>
        <w:rPr>
          <w:rFonts w:hint="eastAsia" w:ascii="仿宋" w:hAnsi="仿宋" w:eastAsia="仿宋" w:cs="仿宋"/>
          <w:b/>
          <w:bCs/>
          <w:spacing w:val="0"/>
          <w:sz w:val="28"/>
          <w:szCs w:val="28"/>
          <w:highlight w:val="none"/>
        </w:rPr>
        <w:t>项目资金绩效目标总目标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邵阳市北塔区学前教育建设项目位于邵阳市北塔区芙蓉学校二期，选用北塔新城二期02-03/A33号地块，依据邵阳市北塔区发展和改革局印发的关于《北塔区学前教育建设项目可行性研究报告》的批复（邵北发改字[2022]11号）相关规定实施。具体绩效目标包括两栋学前教育教学楼（幼儿园、学前中心）、门卫室的新建和装修，以及园内配套道路及场地硬化，绿化、消防、给排水、供配电等；占地面积约12.75亩，总建筑面积8932.62㎡，总投资约6050.49万元。项目建成后，拟开设12个学前教育班，新增学位360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年度目标：2022年按工期计划完成规划、立项招投标等所有前期工作，及时开工并支付项目进度款。</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二、项目资金使用及管理情况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pacing w:val="0"/>
          <w:sz w:val="28"/>
          <w:szCs w:val="28"/>
          <w:highlight w:val="none"/>
          <w:lang w:val="en-US" w:eastAsia="zh-CN"/>
        </w:rPr>
      </w:pPr>
      <w:r>
        <w:rPr>
          <w:rFonts w:hint="eastAsia" w:ascii="仿宋" w:hAnsi="仿宋" w:eastAsia="仿宋" w:cs="仿宋"/>
          <w:b/>
          <w:bCs/>
          <w:spacing w:val="0"/>
          <w:sz w:val="28"/>
          <w:szCs w:val="28"/>
          <w:highlight w:val="none"/>
          <w:lang w:val="en-US" w:eastAsia="zh-CN"/>
        </w:rPr>
        <w:t>（一）资金应到位及实际到位情况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根据《湖南省邵阳市2022年社会事业专项债券项目预期收益与融资平衡方案》中</w:t>
      </w:r>
      <w:r>
        <w:rPr>
          <w:rFonts w:hint="eastAsia" w:ascii="仿宋" w:hAnsi="仿宋" w:eastAsia="仿宋" w:cs="仿宋"/>
          <w:spacing w:val="0"/>
          <w:sz w:val="28"/>
          <w:szCs w:val="28"/>
          <w:highlight w:val="none"/>
          <w:lang w:eastAsia="zh-CN"/>
        </w:rPr>
        <w:t>2022年度</w:t>
      </w:r>
      <w:r>
        <w:rPr>
          <w:rFonts w:hint="eastAsia" w:ascii="仿宋" w:hAnsi="仿宋" w:eastAsia="仿宋" w:cs="仿宋"/>
          <w:spacing w:val="0"/>
          <w:sz w:val="28"/>
          <w:szCs w:val="28"/>
          <w:highlight w:val="none"/>
          <w:lang w:val="en-US" w:eastAsia="zh-CN"/>
        </w:rPr>
        <w:t>项目投资分</w:t>
      </w:r>
      <w:r>
        <w:rPr>
          <w:rFonts w:hint="eastAsia" w:ascii="仿宋" w:hAnsi="仿宋" w:eastAsia="仿宋" w:cs="仿宋"/>
          <w:spacing w:val="0"/>
          <w:sz w:val="28"/>
          <w:szCs w:val="28"/>
          <w:highlight w:val="none"/>
          <w:lang w:eastAsia="zh-CN"/>
        </w:rPr>
        <w:t>月</w:t>
      </w:r>
      <w:r>
        <w:rPr>
          <w:rFonts w:hint="eastAsia" w:ascii="仿宋" w:hAnsi="仿宋" w:eastAsia="仿宋" w:cs="仿宋"/>
          <w:spacing w:val="0"/>
          <w:sz w:val="28"/>
          <w:szCs w:val="28"/>
          <w:highlight w:val="none"/>
          <w:lang w:val="en-US" w:eastAsia="zh-CN"/>
        </w:rPr>
        <w:t>计划表，2022年应到位资金6050.49万元，其中政府专项债券2,000万元，财政统筹4,050.49万元。2022年政府专项债实际发行2,000万元，实际到位2,000万元。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pacing w:val="0"/>
          <w:sz w:val="28"/>
          <w:szCs w:val="28"/>
          <w:highlight w:val="none"/>
          <w:lang w:val="en-US" w:eastAsia="zh-CN"/>
        </w:rPr>
      </w:pPr>
      <w:r>
        <w:rPr>
          <w:rFonts w:hint="eastAsia" w:ascii="仿宋" w:hAnsi="仿宋" w:eastAsia="仿宋" w:cs="仿宋"/>
          <w:b/>
          <w:bCs/>
          <w:spacing w:val="0"/>
          <w:sz w:val="28"/>
          <w:szCs w:val="28"/>
          <w:highlight w:val="none"/>
          <w:lang w:val="en-US" w:eastAsia="zh-CN"/>
        </w:rPr>
        <w:t>（二）资金实际使用情况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2022年项目使用政府专项债资金共641.0083万元。具体使用情况如下：</w:t>
      </w:r>
    </w:p>
    <w:p>
      <w:pPr>
        <w:keepNext w:val="0"/>
        <w:keepLines w:val="0"/>
        <w:pageBreakBefore w:val="0"/>
        <w:kinsoku/>
        <w:wordWrap/>
        <w:overflowPunct/>
        <w:topLinePunct w:val="0"/>
        <w:autoSpaceDE/>
        <w:autoSpaceDN/>
        <w:bidi w:val="0"/>
        <w:spacing w:line="540" w:lineRule="exact"/>
        <w:jc w:val="center"/>
        <w:rPr>
          <w:rFonts w:hint="eastAsia" w:ascii="仿宋" w:hAnsi="仿宋" w:eastAsia="仿宋" w:cs="仿宋"/>
          <w:b/>
          <w:bCs/>
          <w:spacing w:val="0"/>
          <w:sz w:val="28"/>
          <w:szCs w:val="28"/>
          <w:highlight w:val="none"/>
        </w:rPr>
      </w:pPr>
      <w:r>
        <w:rPr>
          <w:rFonts w:hint="eastAsia" w:ascii="仿宋" w:hAnsi="仿宋" w:eastAsia="仿宋" w:cs="仿宋"/>
          <w:b/>
          <w:bCs/>
          <w:spacing w:val="0"/>
          <w:sz w:val="28"/>
          <w:szCs w:val="28"/>
          <w:highlight w:val="none"/>
        </w:rPr>
        <w:t>202</w:t>
      </w:r>
      <w:r>
        <w:rPr>
          <w:rFonts w:hint="eastAsia" w:ascii="仿宋" w:hAnsi="仿宋" w:eastAsia="仿宋" w:cs="仿宋"/>
          <w:b/>
          <w:bCs/>
          <w:spacing w:val="0"/>
          <w:sz w:val="28"/>
          <w:szCs w:val="28"/>
          <w:highlight w:val="none"/>
          <w:lang w:val="en-US" w:eastAsia="zh-CN"/>
        </w:rPr>
        <w:t>2</w:t>
      </w:r>
      <w:r>
        <w:rPr>
          <w:rFonts w:hint="eastAsia" w:ascii="仿宋" w:hAnsi="仿宋" w:eastAsia="仿宋" w:cs="仿宋"/>
          <w:b/>
          <w:bCs/>
          <w:spacing w:val="0"/>
          <w:sz w:val="28"/>
          <w:szCs w:val="28"/>
          <w:highlight w:val="none"/>
        </w:rPr>
        <w:t>年项目专项债使用情况表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843" w:firstLineChars="300"/>
        <w:jc w:val="right"/>
        <w:textAlignment w:val="auto"/>
        <w:rPr>
          <w:rFonts w:hint="eastAsia" w:ascii="仿宋" w:hAnsi="仿宋" w:eastAsia="仿宋" w:cs="仿宋"/>
          <w:b/>
          <w:bCs/>
          <w:spacing w:val="0"/>
          <w:sz w:val="28"/>
          <w:szCs w:val="28"/>
          <w:highlight w:val="none"/>
        </w:rPr>
      </w:pPr>
      <w:r>
        <w:rPr>
          <w:rFonts w:hint="eastAsia" w:ascii="仿宋" w:hAnsi="仿宋" w:eastAsia="仿宋" w:cs="仿宋"/>
          <w:b/>
          <w:bCs/>
          <w:spacing w:val="0"/>
          <w:kern w:val="2"/>
          <w:sz w:val="28"/>
          <w:szCs w:val="28"/>
          <w:highlight w:val="none"/>
          <w:lang w:val="en-US" w:eastAsia="zh-CN" w:bidi="ar-SA"/>
        </w:rPr>
        <w:t>单位：万元</w:t>
      </w:r>
    </w:p>
    <w:tbl>
      <w:tblPr>
        <w:tblStyle w:val="10"/>
        <w:tblW w:w="4999" w:type="pct"/>
        <w:tblInd w:w="0" w:type="dxa"/>
        <w:shd w:val="clear" w:color="auto" w:fill="FFFFFF"/>
        <w:tblLayout w:type="autofit"/>
        <w:tblCellMar>
          <w:top w:w="15" w:type="dxa"/>
          <w:left w:w="15" w:type="dxa"/>
          <w:bottom w:w="15" w:type="dxa"/>
          <w:right w:w="15" w:type="dxa"/>
        </w:tblCellMar>
      </w:tblPr>
      <w:tblGrid>
        <w:gridCol w:w="1914"/>
        <w:gridCol w:w="1458"/>
        <w:gridCol w:w="5142"/>
      </w:tblGrid>
      <w:tr>
        <w:tblPrEx>
          <w:shd w:val="clear" w:color="auto" w:fill="FFFFFF"/>
          <w:tblCellMar>
            <w:top w:w="15" w:type="dxa"/>
            <w:left w:w="15" w:type="dxa"/>
            <w:bottom w:w="15" w:type="dxa"/>
            <w:right w:w="15" w:type="dxa"/>
          </w:tblCellMar>
        </w:tblPrEx>
        <w:trPr>
          <w:trHeight w:val="540" w:hRule="atLeast"/>
        </w:trPr>
        <w:tc>
          <w:tcPr>
            <w:tcW w:w="1124" w:type="pct"/>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40" w:lineRule="exact"/>
              <w:ind w:firstLine="48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项目名称</w:t>
            </w:r>
          </w:p>
        </w:tc>
        <w:tc>
          <w:tcPr>
            <w:tcW w:w="856" w:type="pct"/>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40" w:lineRule="exact"/>
              <w:ind w:firstLine="48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金额</w:t>
            </w:r>
          </w:p>
        </w:tc>
        <w:tc>
          <w:tcPr>
            <w:tcW w:w="3019" w:type="pct"/>
            <w:tcBorders>
              <w:top w:val="single" w:color="000000" w:sz="6" w:space="0"/>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支付内容</w:t>
            </w:r>
          </w:p>
        </w:tc>
      </w:tr>
      <w:tr>
        <w:tblPrEx>
          <w:shd w:val="clear" w:color="auto" w:fill="FFFFFF"/>
          <w:tblCellMar>
            <w:top w:w="15" w:type="dxa"/>
            <w:left w:w="15" w:type="dxa"/>
            <w:bottom w:w="15" w:type="dxa"/>
            <w:right w:w="15" w:type="dxa"/>
          </w:tblCellMar>
        </w:tblPrEx>
        <w:trPr>
          <w:trHeight w:val="698" w:hRule="atLeast"/>
        </w:trPr>
        <w:tc>
          <w:tcPr>
            <w:tcW w:w="1124" w:type="pct"/>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4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支付工程进度款</w:t>
            </w:r>
          </w:p>
        </w:tc>
        <w:tc>
          <w:tcPr>
            <w:tcW w:w="856" w:type="pct"/>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582.5183</w:t>
            </w:r>
          </w:p>
        </w:tc>
        <w:tc>
          <w:tcPr>
            <w:tcW w:w="3019" w:type="pct"/>
            <w:tcBorders>
              <w:top w:val="nil"/>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工程进度款</w:t>
            </w:r>
          </w:p>
        </w:tc>
      </w:tr>
      <w:tr>
        <w:tblPrEx>
          <w:shd w:val="clear" w:color="auto" w:fill="FFFFFF"/>
          <w:tblCellMar>
            <w:top w:w="15" w:type="dxa"/>
            <w:left w:w="15" w:type="dxa"/>
            <w:bottom w:w="15" w:type="dxa"/>
            <w:right w:w="15" w:type="dxa"/>
          </w:tblCellMar>
        </w:tblPrEx>
        <w:trPr>
          <w:trHeight w:val="960" w:hRule="atLeast"/>
        </w:trPr>
        <w:tc>
          <w:tcPr>
            <w:tcW w:w="1124" w:type="pct"/>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4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支付工程其他款</w:t>
            </w:r>
          </w:p>
        </w:tc>
        <w:tc>
          <w:tcPr>
            <w:tcW w:w="856" w:type="pct"/>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58.48</w:t>
            </w:r>
          </w:p>
        </w:tc>
        <w:tc>
          <w:tcPr>
            <w:tcW w:w="3019" w:type="pct"/>
            <w:tcBorders>
              <w:top w:val="nil"/>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地质勘察费用29.8万元、初设费用28.68万元</w:t>
            </w:r>
          </w:p>
        </w:tc>
      </w:tr>
      <w:tr>
        <w:tblPrEx>
          <w:shd w:val="clear" w:color="auto" w:fill="FFFFFF"/>
          <w:tblCellMar>
            <w:top w:w="15" w:type="dxa"/>
            <w:left w:w="15" w:type="dxa"/>
            <w:bottom w:w="15" w:type="dxa"/>
            <w:right w:w="15" w:type="dxa"/>
          </w:tblCellMar>
        </w:tblPrEx>
        <w:trPr>
          <w:trHeight w:val="702" w:hRule="atLeast"/>
        </w:trPr>
        <w:tc>
          <w:tcPr>
            <w:tcW w:w="1124" w:type="pct"/>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4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合计</w:t>
            </w:r>
          </w:p>
        </w:tc>
        <w:tc>
          <w:tcPr>
            <w:tcW w:w="856" w:type="pct"/>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641.0083</w:t>
            </w:r>
          </w:p>
        </w:tc>
        <w:tc>
          <w:tcPr>
            <w:tcW w:w="3019" w:type="pct"/>
            <w:tcBorders>
              <w:top w:val="nil"/>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28"/>
                <w:szCs w:val="28"/>
                <w:highlight w:val="none"/>
              </w:rPr>
            </w:pPr>
          </w:p>
        </w:tc>
      </w:tr>
    </w:tbl>
    <w:p>
      <w:pPr>
        <w:keepNext w:val="0"/>
        <w:keepLines w:val="0"/>
        <w:pageBreakBefore w:val="0"/>
        <w:numPr>
          <w:ilvl w:val="0"/>
          <w:numId w:val="0"/>
        </w:numPr>
        <w:kinsoku/>
        <w:wordWrap/>
        <w:overflowPunct/>
        <w:topLinePunct w:val="0"/>
        <w:autoSpaceDE/>
        <w:autoSpaceDN/>
        <w:bidi w:val="0"/>
        <w:spacing w:line="54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rPr>
        <w:t>资金管理情况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 w:val="0"/>
          <w:bCs w:val="0"/>
          <w:spacing w:val="0"/>
          <w:kern w:val="2"/>
          <w:sz w:val="28"/>
          <w:szCs w:val="28"/>
          <w:highlight w:val="none"/>
          <w:lang w:val="en-US" w:eastAsia="zh-CN" w:bidi="ar-SA"/>
        </w:rPr>
        <w:t>资金管理方面，项目主管单位严格按照《北塔区教育局基础教育发展专项资金管理办法》</w:t>
      </w:r>
      <w:r>
        <w:rPr>
          <w:rFonts w:hint="eastAsia" w:ascii="仿宋" w:hAnsi="仿宋" w:eastAsia="仿宋" w:cs="仿宋"/>
          <w:spacing w:val="0"/>
          <w:kern w:val="2"/>
          <w:sz w:val="28"/>
          <w:szCs w:val="28"/>
          <w:highlight w:val="none"/>
          <w:lang w:val="en-US" w:eastAsia="zh-CN" w:bidi="ar-SA"/>
        </w:rPr>
        <w:t>执行，设立专户专账，项目建设经费由业主单位（项目主管单位）统一管理、统一支付、统一记账，确保项目安排和资金使用规范、安全和高效。本项目主体建设工程由湖南红兴建设工程有限公司实施，为保证项目建设进度，经教育局研究并报区政府领导同意，将邵阳市北塔区学前教育建设项目资金专户中2,000万元专项债券资金支付至湖南红兴建设工程有限公司邵阳分公司（湖南红兴建设工程有限公司开立的双控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0"/>
        <w:jc w:val="left"/>
        <w:rPr>
          <w:rFonts w:hint="eastAsia" w:ascii="仿宋" w:hAnsi="仿宋" w:eastAsia="仿宋" w:cs="仿宋"/>
          <w:spacing w:val="0"/>
          <w:kern w:val="2"/>
          <w:sz w:val="28"/>
          <w:szCs w:val="28"/>
          <w:highlight w:val="none"/>
          <w:lang w:eastAsia="zh-CN" w:bidi="ar-SA"/>
        </w:rPr>
      </w:pPr>
      <w:r>
        <w:rPr>
          <w:rFonts w:hint="eastAsia" w:ascii="仿宋" w:hAnsi="仿宋" w:eastAsia="仿宋" w:cs="仿宋"/>
          <w:spacing w:val="0"/>
          <w:kern w:val="2"/>
          <w:sz w:val="28"/>
          <w:szCs w:val="28"/>
          <w:highlight w:val="none"/>
          <w:lang w:val="en-US" w:eastAsia="zh-CN" w:bidi="ar-SA"/>
        </w:rPr>
        <w:t>项目主管单位</w:t>
      </w:r>
      <w:r>
        <w:rPr>
          <w:rFonts w:hint="eastAsia" w:ascii="仿宋" w:hAnsi="仿宋" w:eastAsia="仿宋" w:cs="仿宋"/>
          <w:b w:val="0"/>
          <w:bCs w:val="0"/>
          <w:spacing w:val="0"/>
          <w:kern w:val="2"/>
          <w:sz w:val="28"/>
          <w:szCs w:val="28"/>
          <w:highlight w:val="none"/>
          <w:lang w:val="en-US" w:eastAsia="zh-CN" w:bidi="ar-SA"/>
        </w:rPr>
        <w:t>严格按照资金的预算用途</w:t>
      </w:r>
      <w:r>
        <w:rPr>
          <w:rFonts w:hint="eastAsia" w:ascii="仿宋" w:hAnsi="仿宋" w:eastAsia="仿宋" w:cs="仿宋"/>
          <w:b w:val="0"/>
          <w:bCs w:val="0"/>
          <w:spacing w:val="0"/>
          <w:kern w:val="2"/>
          <w:sz w:val="28"/>
          <w:szCs w:val="28"/>
          <w:highlight w:val="none"/>
          <w:lang w:eastAsia="zh-CN" w:bidi="ar-SA"/>
        </w:rPr>
        <w:t>管理</w:t>
      </w:r>
      <w:r>
        <w:rPr>
          <w:rFonts w:hint="eastAsia" w:ascii="仿宋" w:hAnsi="仿宋" w:eastAsia="仿宋" w:cs="仿宋"/>
          <w:b w:val="0"/>
          <w:bCs w:val="0"/>
          <w:spacing w:val="0"/>
          <w:kern w:val="2"/>
          <w:sz w:val="28"/>
          <w:szCs w:val="28"/>
          <w:highlight w:val="none"/>
          <w:lang w:val="en-US" w:eastAsia="zh-CN" w:bidi="ar-SA"/>
        </w:rPr>
        <w:t>使用专项债券资金，未使用专项债券资金用于经常性、一般性开支，未将资金外借或挪作他用。资金支出原始资料较为完善，审批程序规范</w:t>
      </w:r>
      <w:r>
        <w:rPr>
          <w:rFonts w:hint="eastAsia" w:ascii="仿宋" w:hAnsi="仿宋" w:eastAsia="仿宋" w:cs="仿宋"/>
          <w:b w:val="0"/>
          <w:bCs w:val="0"/>
          <w:spacing w:val="0"/>
          <w:kern w:val="2"/>
          <w:sz w:val="28"/>
          <w:szCs w:val="28"/>
          <w:highlight w:val="none"/>
          <w:lang w:eastAsia="zh-CN" w:bidi="ar-SA"/>
        </w:rPr>
        <w:t>，切实提高了专项债券资金使用的有效性和安全性。</w:t>
      </w:r>
    </w:p>
    <w:p>
      <w:pPr>
        <w:keepNext w:val="0"/>
        <w:keepLines w:val="0"/>
        <w:pageBreakBefore w:val="0"/>
        <w:kinsoku/>
        <w:wordWrap/>
        <w:overflowPunct/>
        <w:topLinePunct w:val="0"/>
        <w:autoSpaceDE/>
        <w:autoSpaceDN/>
        <w:bidi w:val="0"/>
        <w:spacing w:line="540" w:lineRule="exact"/>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三、项目管理情况</w:t>
      </w:r>
    </w:p>
    <w:p>
      <w:pPr>
        <w:keepNext w:val="0"/>
        <w:keepLines w:val="0"/>
        <w:pageBreakBefore w:val="0"/>
        <w:kinsoku/>
        <w:wordWrap/>
        <w:overflowPunct/>
        <w:topLinePunct w:val="0"/>
        <w:autoSpaceDE/>
        <w:autoSpaceDN/>
        <w:bidi w:val="0"/>
        <w:spacing w:line="540" w:lineRule="exact"/>
        <w:ind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（一）建设期项目施工组织管理</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为加强项目建设管理和保证项目顺利实施，本项目成立了专门的项目建设管理领导小组，具体负责项目的组织领导和各项管理，以确保项目的顺利实施。</w:t>
      </w:r>
    </w:p>
    <w:p>
      <w:pPr>
        <w:keepNext w:val="0"/>
        <w:keepLines w:val="0"/>
        <w:pageBreakBefore w:val="0"/>
        <w:kinsoku/>
        <w:wordWrap/>
        <w:overflowPunct/>
        <w:topLinePunct w:val="0"/>
        <w:autoSpaceDE/>
        <w:autoSpaceDN/>
        <w:bidi w:val="0"/>
        <w:spacing w:line="54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（二）项目管理措施</w:t>
      </w:r>
    </w:p>
    <w:p>
      <w:pPr>
        <w:pStyle w:val="4"/>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在项目建设管理中，严格执行代建制管理、国家建设资金管理、工程招投标制和工程监理制等规定，并接受国家、地方有关部门的监督、审计、稽查。项目实施严格根据《北塔区重点项目管理办法（试行）》（邵北办发〔2020〕29号）要求，国土、规划、环保、节能、安全生产等方面严格按照国家有关规定执行，保证项目工作规范化、正规化，顺利完成项目建设任务。</w:t>
      </w:r>
    </w:p>
    <w:p>
      <w:pPr>
        <w:keepNext w:val="0"/>
        <w:keepLines w:val="0"/>
        <w:pageBreakBefore w:val="0"/>
        <w:kinsoku/>
        <w:wordWrap/>
        <w:overflowPunct/>
        <w:topLinePunct w:val="0"/>
        <w:autoSpaceDE/>
        <w:autoSpaceDN/>
        <w:bidi w:val="0"/>
        <w:spacing w:line="540" w:lineRule="exact"/>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四、债务信息报送与公开情况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根据《地方政府债务信息公开办法 (试行)》(财预 (2018) 209号)文件第四条“预决算公开范围的地方政府债务限额、余额、使用安排及还本付息等信息应当在地方政府及财政部门门户网站公开。财政部门未设立门户网站的，应当在本级政府门户网站设立专栏公开。预决算范围之外的地方政府债券等信息应当在省级财政部门、发行场所门户网站公开。财政部设立地方政府债务信息公开平台或专栏，支持地方财政部门公开地方政府债务（券）相关信息”；第八条“新增专项债券发行公开”省级财政部门应当在新增专项债券发行前，提前5个以上工作日公开相关信息。本年度发行政府专项债券2,000.00万元</w:t>
      </w:r>
      <w:r>
        <w:rPr>
          <w:rFonts w:hint="eastAsia" w:ascii="仿宋" w:hAnsi="仿宋" w:eastAsia="仿宋" w:cs="仿宋"/>
          <w:spacing w:val="0"/>
          <w:kern w:val="2"/>
          <w:sz w:val="28"/>
          <w:szCs w:val="28"/>
          <w:highlight w:val="none"/>
          <w:lang w:eastAsia="zh-CN" w:bidi="ar-SA"/>
        </w:rPr>
        <w:t>，</w:t>
      </w:r>
      <w:r>
        <w:rPr>
          <w:rFonts w:hint="eastAsia" w:ascii="仿宋" w:hAnsi="仿宋" w:eastAsia="仿宋" w:cs="仿宋"/>
          <w:spacing w:val="0"/>
          <w:kern w:val="2"/>
          <w:sz w:val="28"/>
          <w:szCs w:val="28"/>
          <w:highlight w:val="none"/>
          <w:lang w:val="en-US" w:eastAsia="zh-CN" w:bidi="ar-SA"/>
        </w:rPr>
        <w:t>已严格按照国务院《地方政府债务信息公开办法》相关规定，在专项债券信息网上公开</w:t>
      </w:r>
      <w:r>
        <w:rPr>
          <w:rFonts w:hint="eastAsia" w:ascii="仿宋" w:hAnsi="仿宋" w:eastAsia="仿宋" w:cs="仿宋"/>
          <w:spacing w:val="0"/>
          <w:kern w:val="2"/>
          <w:sz w:val="28"/>
          <w:szCs w:val="28"/>
          <w:highlight w:val="none"/>
          <w:lang w:eastAsia="zh-CN" w:bidi="ar-SA"/>
        </w:rPr>
        <w:t>相关信息</w:t>
      </w:r>
      <w:r>
        <w:rPr>
          <w:rFonts w:hint="eastAsia" w:ascii="仿宋" w:hAnsi="仿宋" w:eastAsia="仿宋" w:cs="仿宋"/>
          <w:spacing w:val="0"/>
          <w:kern w:val="2"/>
          <w:sz w:val="28"/>
          <w:szCs w:val="28"/>
          <w:highlight w:val="none"/>
          <w:lang w:val="en-US" w:eastAsia="zh-CN" w:bidi="ar-SA"/>
        </w:rPr>
        <w:t>。</w:t>
      </w:r>
    </w:p>
    <w:p>
      <w:pPr>
        <w:keepNext w:val="0"/>
        <w:keepLines w:val="0"/>
        <w:pageBreakBefore w:val="0"/>
        <w:kinsoku/>
        <w:wordWrap/>
        <w:overflowPunct/>
        <w:topLinePunct w:val="0"/>
        <w:autoSpaceDE/>
        <w:autoSpaceDN/>
        <w:bidi w:val="0"/>
        <w:spacing w:line="540" w:lineRule="exact"/>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五、债务风险控制与还本付息情况</w:t>
      </w:r>
    </w:p>
    <w:p>
      <w:pPr>
        <w:keepNext w:val="0"/>
        <w:keepLines w:val="0"/>
        <w:pageBreakBefore w:val="0"/>
        <w:kinsoku/>
        <w:wordWrap/>
        <w:overflowPunct/>
        <w:topLinePunct w:val="0"/>
        <w:autoSpaceDE/>
        <w:autoSpaceDN/>
        <w:bidi w:val="0"/>
        <w:spacing w:line="540" w:lineRule="exact"/>
        <w:ind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(一)债务风险控制</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1、本项目严格按照项目建设内容和项目总投资要求实施，严格控制项目成本，确保不产生项目资金筹措计划以外的项目债务，从源头上控制债务风险。</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为确保按时还本付息，本项目根据《地方政府专项债务预算管理办法》(财预[2016]155号文）第三条规定“专项债务收入、安排的支出、还本付息、发行费用纳入政府性基金预算管理”，专项债务收支按照对应的政府性基金收入，专项收入实现收支平衡。本项目偿债资金来源为运营收入，收入来源主要为保教费收入和生活费收入，预计用于融资平衡的相关收益为4,160.74万元，项目收益与融资能实现自求平衡，不能还本付息的风险较小。</w:t>
      </w:r>
    </w:p>
    <w:p>
      <w:pPr>
        <w:keepNext w:val="0"/>
        <w:keepLines w:val="0"/>
        <w:pageBreakBefore w:val="0"/>
        <w:kinsoku/>
        <w:wordWrap/>
        <w:overflowPunct/>
        <w:topLinePunct w:val="0"/>
        <w:autoSpaceDE/>
        <w:autoSpaceDN/>
        <w:bidi w:val="0"/>
        <w:spacing w:line="540" w:lineRule="exact"/>
        <w:ind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(二)还本付息情况</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本项目政府专项债存续期15年，每半年付息一次，本金到期一次偿还。截至报告日，债券已累计支付利息64.2万元。经了解，由于本项目仍处于建设期，未产生收益，暂由财政局垫付利息。</w:t>
      </w:r>
    </w:p>
    <w:p>
      <w:pPr>
        <w:keepNext w:val="0"/>
        <w:keepLines w:val="0"/>
        <w:pageBreakBefore w:val="0"/>
        <w:kinsoku/>
        <w:wordWrap/>
        <w:overflowPunct/>
        <w:topLinePunct w:val="0"/>
        <w:autoSpaceDE/>
        <w:autoSpaceDN/>
        <w:bidi w:val="0"/>
        <w:spacing w:line="540" w:lineRule="exact"/>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六、项目资金绩效情况</w:t>
      </w:r>
    </w:p>
    <w:p>
      <w:pPr>
        <w:keepNext w:val="0"/>
        <w:keepLines w:val="0"/>
        <w:pageBreakBefore w:val="0"/>
        <w:kinsoku/>
        <w:wordWrap/>
        <w:overflowPunct/>
        <w:topLinePunct w:val="0"/>
        <w:autoSpaceDE/>
        <w:autoSpaceDN/>
        <w:bidi w:val="0"/>
        <w:spacing w:line="540" w:lineRule="exact"/>
        <w:ind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（一）项目决策情况</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加快地方政府专项债券发行使用有关工作的通知》（财预〔2020〕94号）中提到，专项债券资金重点用于国务院常务会议确定的交通基础设施、能源项目、农林水利、生态环保项目、民生服务、冷链物流设施、市政和产业园区基础设施等七大领域。本项目属于民生服务项目，属于专项债券支持的领域。</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北塔区学前教育建设项目已经永信和瑞工程咨询有限公司编制了可行性研究报告，并通过邵阳市北塔区发展和改革局立项批复（邵北发改字[2022]11号），项目属于民生服务项目，符合专项债券支持领域和方向情况，不属于专项债券项目负面清单的范围。已取得湖南金州律师事务所编制的《关于邵阳市2022年社会事业专项债券北塔区学前教育建设项目之法律意见书》、湖南和瑞会计师事务所(普通合伙)编制的《北塔区学前教育建设项目预期收益与融资平衡专项评价报告》、编制了预期收益与融资平衡方案，并设置了项目绩效目标，专项债券额度申请与实际需要匹配。</w:t>
      </w:r>
    </w:p>
    <w:p>
      <w:pPr>
        <w:keepNext w:val="0"/>
        <w:keepLines w:val="0"/>
        <w:pageBreakBefore w:val="0"/>
        <w:kinsoku/>
        <w:wordWrap/>
        <w:overflowPunct/>
        <w:topLinePunct w:val="0"/>
        <w:autoSpaceDE/>
        <w:autoSpaceDN/>
        <w:bidi w:val="0"/>
        <w:spacing w:line="540" w:lineRule="exact"/>
        <w:ind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（二）项目过程情况</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项目主管单位已制定北塔区教育局财务管理制度以及北塔区教育局基础教育发展专项资金管理办法；项目管理制度参照中共邵阳市北塔区委办公室文件《北塔区重点项目管理办法（试行）》</w:t>
      </w:r>
      <w:r>
        <w:rPr>
          <w:rFonts w:hint="eastAsia" w:ascii="仿宋" w:hAnsi="仿宋" w:eastAsia="仿宋" w:cs="仿宋"/>
          <w:spacing w:val="0"/>
          <w:kern w:val="2"/>
          <w:sz w:val="28"/>
          <w:szCs w:val="28"/>
          <w:highlight w:val="none"/>
          <w:lang w:eastAsia="zh-CN" w:bidi="ar-SA"/>
        </w:rPr>
        <w:t>（</w:t>
      </w:r>
      <w:r>
        <w:rPr>
          <w:rFonts w:hint="eastAsia" w:ascii="仿宋" w:hAnsi="仿宋" w:eastAsia="仿宋" w:cs="仿宋"/>
          <w:spacing w:val="0"/>
          <w:kern w:val="2"/>
          <w:sz w:val="28"/>
          <w:szCs w:val="28"/>
          <w:highlight w:val="none"/>
          <w:lang w:val="en-US" w:eastAsia="zh-CN" w:bidi="ar-SA"/>
        </w:rPr>
        <w:t>邵北办发</w:t>
      </w:r>
      <w:r>
        <w:rPr>
          <w:rFonts w:hint="eastAsia" w:ascii="仿宋" w:hAnsi="仿宋" w:eastAsia="仿宋" w:cs="仿宋"/>
          <w:spacing w:val="0"/>
          <w:kern w:val="2"/>
          <w:sz w:val="28"/>
          <w:szCs w:val="28"/>
          <w:highlight w:val="none"/>
          <w:lang w:eastAsia="zh-CN" w:bidi="ar-SA"/>
        </w:rPr>
        <w:t>[</w:t>
      </w:r>
      <w:r>
        <w:rPr>
          <w:rFonts w:hint="eastAsia" w:ascii="仿宋" w:hAnsi="仿宋" w:eastAsia="仿宋" w:cs="仿宋"/>
          <w:spacing w:val="0"/>
          <w:kern w:val="2"/>
          <w:sz w:val="28"/>
          <w:szCs w:val="28"/>
          <w:highlight w:val="none"/>
          <w:lang w:val="en-US" w:eastAsia="zh-CN" w:bidi="ar-SA"/>
        </w:rPr>
        <w:t>2020</w:t>
      </w:r>
      <w:r>
        <w:rPr>
          <w:rFonts w:hint="eastAsia" w:ascii="仿宋" w:hAnsi="仿宋" w:eastAsia="仿宋" w:cs="仿宋"/>
          <w:spacing w:val="0"/>
          <w:kern w:val="2"/>
          <w:sz w:val="28"/>
          <w:szCs w:val="28"/>
          <w:highlight w:val="none"/>
          <w:lang w:eastAsia="zh-CN" w:bidi="ar-SA"/>
        </w:rPr>
        <w:t>]</w:t>
      </w:r>
      <w:r>
        <w:rPr>
          <w:rFonts w:hint="eastAsia" w:ascii="仿宋" w:hAnsi="仿宋" w:eastAsia="仿宋" w:cs="仿宋"/>
          <w:spacing w:val="0"/>
          <w:kern w:val="2"/>
          <w:sz w:val="28"/>
          <w:szCs w:val="28"/>
          <w:highlight w:val="none"/>
          <w:lang w:val="en-US" w:eastAsia="zh-CN" w:bidi="ar-SA"/>
        </w:rPr>
        <w:t>29号</w:t>
      </w:r>
      <w:r>
        <w:rPr>
          <w:rFonts w:hint="eastAsia" w:ascii="仿宋" w:hAnsi="仿宋" w:eastAsia="仿宋" w:cs="仿宋"/>
          <w:spacing w:val="0"/>
          <w:kern w:val="2"/>
          <w:sz w:val="28"/>
          <w:szCs w:val="28"/>
          <w:highlight w:val="none"/>
          <w:lang w:eastAsia="zh-CN" w:bidi="ar-SA"/>
        </w:rPr>
        <w:t>）</w:t>
      </w:r>
      <w:r>
        <w:rPr>
          <w:rFonts w:hint="eastAsia" w:ascii="仿宋" w:hAnsi="仿宋" w:eastAsia="仿宋" w:cs="仿宋"/>
          <w:spacing w:val="0"/>
          <w:kern w:val="2"/>
          <w:sz w:val="28"/>
          <w:szCs w:val="28"/>
          <w:highlight w:val="none"/>
          <w:lang w:val="en-US" w:eastAsia="zh-CN" w:bidi="ar-SA"/>
        </w:rPr>
        <w:t>的通知执行。资金做到了专款专用，制定了专项债券资金使用计划；项目建设手续完备；一案两书、可行性研究报告、建设工程规划许可证、建筑工程施工许可证、施工图审查合格书等资料齐全；政府专项债券项目信息已经在专项债券信息网上公开；工程开工以来未发生重大质量问题及安全事故。</w:t>
      </w:r>
    </w:p>
    <w:p>
      <w:pPr>
        <w:keepNext w:val="0"/>
        <w:keepLines w:val="0"/>
        <w:pageBreakBefore w:val="0"/>
        <w:kinsoku/>
        <w:wordWrap/>
        <w:overflowPunct/>
        <w:topLinePunct w:val="0"/>
        <w:autoSpaceDE/>
        <w:autoSpaceDN/>
        <w:bidi w:val="0"/>
        <w:spacing w:line="540" w:lineRule="exact"/>
        <w:ind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（三）项目产出情况</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本项目总投资金额6050.49万元，项目主体工程于2022年9月20日完成邵阳市北塔区学前教育建设项目设计、采购、施工总承包（EPC）招标工作，9月30日开工建设。</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项目建设设定目标为2023年8月完工，截止2023年8月31日，学前教育中心栋已交付使用，幼儿栋处于园林及附属工程扫尾阶段，项目主体完工为进度100%。项目建设期无安全事故发生。</w:t>
      </w:r>
    </w:p>
    <w:p>
      <w:pPr>
        <w:keepNext w:val="0"/>
        <w:keepLines w:val="0"/>
        <w:pageBreakBefore w:val="0"/>
        <w:kinsoku/>
        <w:wordWrap/>
        <w:overflowPunct/>
        <w:topLinePunct w:val="0"/>
        <w:autoSpaceDE/>
        <w:autoSpaceDN/>
        <w:bidi w:val="0"/>
        <w:spacing w:line="540" w:lineRule="exact"/>
        <w:ind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（四）项目效益情况</w:t>
      </w:r>
    </w:p>
    <w:p>
      <w:pPr>
        <w:keepNext w:val="0"/>
        <w:keepLines w:val="0"/>
        <w:pageBreakBefore w:val="0"/>
        <w:kinsoku/>
        <w:wordWrap/>
        <w:overflowPunct/>
        <w:topLinePunct w:val="0"/>
        <w:autoSpaceDE/>
        <w:autoSpaceDN/>
        <w:bidi w:val="0"/>
        <w:spacing w:line="540" w:lineRule="exact"/>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spacing w:val="0"/>
          <w:kern w:val="2"/>
          <w:sz w:val="28"/>
          <w:szCs w:val="28"/>
          <w:highlight w:val="none"/>
          <w:lang w:val="en-US" w:eastAsia="zh-CN" w:bidi="ar-SA"/>
        </w:rPr>
        <w:t>1、社会效益</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项目的实施，有利于改善北塔区学前教育的基础设施现状，全面提高学前教育办学质量。项目建成后可解决学校学生数量过大与基础设施不足的矛盾，解决周边适龄学生就学难的问题，是提高区域教学设施和教学水平、完善城市功能和提升城市形象的重要举措，其社会效益十分显著。</w:t>
      </w:r>
    </w:p>
    <w:p>
      <w:pPr>
        <w:keepNext w:val="0"/>
        <w:keepLines w:val="0"/>
        <w:pageBreakBefore w:val="0"/>
        <w:kinsoku/>
        <w:wordWrap/>
        <w:overflowPunct/>
        <w:topLinePunct w:val="0"/>
        <w:autoSpaceDE/>
        <w:autoSpaceDN/>
        <w:bidi w:val="0"/>
        <w:spacing w:line="540" w:lineRule="exact"/>
        <w:ind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2、经济效益</w:t>
      </w:r>
    </w:p>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540" w:lineRule="exact"/>
        <w:ind w:left="0" w:right="0" w:firstLine="560" w:firstLineChars="20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本项目属教育基础设施建设项目</w:t>
      </w:r>
      <w:r>
        <w:rPr>
          <w:rFonts w:hint="eastAsia" w:ascii="仿宋" w:hAnsi="仿宋" w:eastAsia="仿宋" w:cs="仿宋"/>
          <w:spacing w:val="0"/>
          <w:kern w:val="2"/>
          <w:sz w:val="28"/>
          <w:szCs w:val="28"/>
          <w:highlight w:val="none"/>
          <w:lang w:eastAsia="zh-CN" w:bidi="ar-SA"/>
        </w:rPr>
        <w:t>，</w:t>
      </w:r>
      <w:r>
        <w:rPr>
          <w:rFonts w:hint="eastAsia" w:ascii="仿宋" w:hAnsi="仿宋" w:eastAsia="仿宋" w:cs="仿宋"/>
          <w:spacing w:val="0"/>
          <w:kern w:val="2"/>
          <w:sz w:val="28"/>
          <w:szCs w:val="28"/>
          <w:highlight w:val="none"/>
          <w:lang w:val="en-US" w:eastAsia="zh-CN" w:bidi="ar-SA"/>
        </w:rPr>
        <w:t>项目建成后，</w:t>
      </w:r>
      <w:r>
        <w:rPr>
          <w:rFonts w:hint="eastAsia" w:ascii="仿宋" w:hAnsi="仿宋" w:eastAsia="仿宋" w:cs="仿宋"/>
          <w:spacing w:val="0"/>
          <w:kern w:val="2"/>
          <w:sz w:val="28"/>
          <w:szCs w:val="28"/>
          <w:highlight w:val="none"/>
          <w:lang w:eastAsia="zh-CN" w:bidi="ar-SA"/>
        </w:rPr>
        <w:t>预期通过收取</w:t>
      </w:r>
      <w:r>
        <w:rPr>
          <w:rFonts w:hint="eastAsia" w:ascii="仿宋" w:hAnsi="仿宋" w:eastAsia="仿宋" w:cs="仿宋"/>
          <w:spacing w:val="0"/>
          <w:kern w:val="2"/>
          <w:sz w:val="28"/>
          <w:szCs w:val="28"/>
          <w:highlight w:val="none"/>
          <w:lang w:val="en-US" w:eastAsia="zh-CN" w:bidi="ar-SA"/>
        </w:rPr>
        <w:t>保教费、伙食费</w:t>
      </w:r>
      <w:r>
        <w:rPr>
          <w:rFonts w:hint="eastAsia" w:ascii="仿宋" w:hAnsi="仿宋" w:eastAsia="仿宋" w:cs="仿宋"/>
          <w:spacing w:val="0"/>
          <w:kern w:val="2"/>
          <w:sz w:val="28"/>
          <w:szCs w:val="28"/>
          <w:highlight w:val="none"/>
          <w:lang w:eastAsia="zh-CN" w:bidi="ar-SA"/>
        </w:rPr>
        <w:t>和</w:t>
      </w:r>
      <w:r>
        <w:rPr>
          <w:rFonts w:hint="eastAsia" w:ascii="仿宋" w:hAnsi="仿宋" w:eastAsia="仿宋" w:cs="仿宋"/>
          <w:spacing w:val="0"/>
          <w:kern w:val="2"/>
          <w:sz w:val="28"/>
          <w:szCs w:val="28"/>
          <w:highlight w:val="none"/>
          <w:lang w:val="en-US" w:eastAsia="zh-CN" w:bidi="ar-SA"/>
        </w:rPr>
        <w:t>托管服务</w:t>
      </w:r>
      <w:r>
        <w:rPr>
          <w:rFonts w:hint="eastAsia" w:ascii="仿宋" w:hAnsi="仿宋" w:eastAsia="仿宋" w:cs="仿宋"/>
          <w:spacing w:val="0"/>
          <w:kern w:val="2"/>
          <w:sz w:val="28"/>
          <w:szCs w:val="28"/>
          <w:highlight w:val="none"/>
          <w:lang w:eastAsia="zh-CN" w:bidi="ar-SA"/>
        </w:rPr>
        <w:t>费获得经济效益。项目的建立也</w:t>
      </w:r>
      <w:r>
        <w:rPr>
          <w:rFonts w:hint="eastAsia" w:ascii="仿宋" w:hAnsi="仿宋" w:eastAsia="仿宋" w:cs="仿宋"/>
          <w:spacing w:val="0"/>
          <w:kern w:val="2"/>
          <w:sz w:val="28"/>
          <w:szCs w:val="28"/>
          <w:highlight w:val="none"/>
          <w:lang w:val="en-US" w:eastAsia="zh-CN" w:bidi="ar-SA"/>
        </w:rPr>
        <w:t>将吸引更多的人和企业选择该区域作为生活、工作的地点，也必将带动周边经济的发展，增加周边居民的收入水平和来源。</w:t>
      </w:r>
    </w:p>
    <w:p>
      <w:pPr>
        <w:keepNext w:val="0"/>
        <w:keepLines w:val="0"/>
        <w:pageBreakBefore w:val="0"/>
        <w:kinsoku/>
        <w:wordWrap/>
        <w:overflowPunct/>
        <w:topLinePunct w:val="0"/>
        <w:autoSpaceDE/>
        <w:autoSpaceDN/>
        <w:bidi w:val="0"/>
        <w:spacing w:line="540" w:lineRule="exact"/>
        <w:ind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3、可持续影响</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项目为教育基础设施项目，是以培养和提高受教育者的知识技能、文化修养和道德水平为目的的社会事业项目；是为社会生产和公共生活服务的，是以创造社会效益为主的非生产性建设项目。发展学前教育是为适龄儿童的近期和终身发展奠定良好的素质基础，促进学前儿童身心健康发展，普及学前教育，提高国民素质，对实现全面建设小康社会的奋斗目标具有重要意义。</w:t>
      </w:r>
    </w:p>
    <w:p>
      <w:pPr>
        <w:keepNext w:val="0"/>
        <w:keepLines w:val="0"/>
        <w:pageBreakBefore w:val="0"/>
        <w:kinsoku/>
        <w:wordWrap/>
        <w:overflowPunct/>
        <w:topLinePunct w:val="0"/>
        <w:autoSpaceDE/>
        <w:autoSpaceDN/>
        <w:bidi w:val="0"/>
        <w:spacing w:line="540" w:lineRule="exact"/>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七、存在的问题及原因分析</w:t>
      </w:r>
    </w:p>
    <w:p>
      <w:pPr>
        <w:pStyle w:val="3"/>
        <w:keepNext w:val="0"/>
        <w:keepLines w:val="0"/>
        <w:pageBreakBefore w:val="0"/>
        <w:kinsoku/>
        <w:wordWrap/>
        <w:overflowPunct/>
        <w:topLinePunct w:val="0"/>
        <w:autoSpaceDE/>
        <w:autoSpaceDN/>
        <w:bidi w:val="0"/>
        <w:spacing w:line="540" w:lineRule="exact"/>
        <w:ind w:left="0" w:leftChars="0" w:firstLine="562" w:firstLineChars="200"/>
        <w:rPr>
          <w:rFonts w:hint="eastAsia" w:ascii="仿宋" w:hAnsi="仿宋" w:eastAsia="仿宋" w:cs="仿宋"/>
          <w:b/>
          <w:bCs/>
          <w:spacing w:val="0"/>
          <w:kern w:val="2"/>
          <w:sz w:val="28"/>
          <w:szCs w:val="28"/>
          <w:highlight w:val="none"/>
          <w:lang w:eastAsia="zh-CN" w:bidi="ar-SA"/>
        </w:rPr>
      </w:pPr>
      <w:r>
        <w:rPr>
          <w:rFonts w:hint="eastAsia" w:ascii="仿宋" w:hAnsi="仿宋" w:eastAsia="仿宋" w:cs="仿宋"/>
          <w:b/>
          <w:bCs/>
          <w:spacing w:val="0"/>
          <w:kern w:val="2"/>
          <w:sz w:val="28"/>
          <w:szCs w:val="28"/>
          <w:highlight w:val="none"/>
          <w:lang w:eastAsia="zh-CN" w:bidi="ar-SA"/>
        </w:rPr>
        <w:t>（一）投资规模与实际投资存在差距</w:t>
      </w:r>
    </w:p>
    <w:p>
      <w:pPr>
        <w:pStyle w:val="3"/>
        <w:keepNext w:val="0"/>
        <w:keepLines w:val="0"/>
        <w:pageBreakBefore w:val="0"/>
        <w:kinsoku/>
        <w:wordWrap/>
        <w:overflowPunct/>
        <w:topLinePunct w:val="0"/>
        <w:autoSpaceDE/>
        <w:autoSpaceDN/>
        <w:bidi w:val="0"/>
        <w:spacing w:line="540" w:lineRule="exact"/>
        <w:ind w:left="0" w:leftChars="0" w:firstLine="560" w:firstLineChars="200"/>
        <w:rPr>
          <w:rFonts w:hint="eastAsia" w:ascii="仿宋" w:hAnsi="仿宋" w:eastAsia="仿宋" w:cs="仿宋"/>
          <w:spacing w:val="0"/>
          <w:kern w:val="2"/>
          <w:sz w:val="28"/>
          <w:szCs w:val="28"/>
          <w:highlight w:val="none"/>
          <w:lang w:eastAsia="zh-CN" w:bidi="ar-SA"/>
        </w:rPr>
      </w:pPr>
      <w:r>
        <w:rPr>
          <w:rFonts w:hint="eastAsia" w:ascii="仿宋" w:hAnsi="仿宋" w:eastAsia="仿宋" w:cs="仿宋"/>
          <w:spacing w:val="0"/>
          <w:kern w:val="2"/>
          <w:sz w:val="28"/>
          <w:szCs w:val="28"/>
          <w:highlight w:val="none"/>
          <w:lang w:eastAsia="zh-CN" w:bidi="ar-SA"/>
        </w:rPr>
        <w:t>根据《湖南省邵阳市2022年社会事业专项债券项目预期收益与融资平衡方案》中北塔区学前教育建设项目投资估算表显示，本项目投资总额为6050.49万元，截至2023年8月31日，学前教育中心栋已交付使用，幼儿栋处于园林及附属工程扫尾阶段，资金支出2,053.00万元，缩减了投资规模。总投资额变小，未来产生的收益变小，而专项债已经按方案发行了，故造成未来偿债能力不足，风险增加。</w:t>
      </w:r>
    </w:p>
    <w:p>
      <w:pPr>
        <w:pStyle w:val="3"/>
        <w:keepNext w:val="0"/>
        <w:keepLines w:val="0"/>
        <w:pageBreakBefore w:val="0"/>
        <w:kinsoku/>
        <w:wordWrap/>
        <w:overflowPunct/>
        <w:topLinePunct w:val="0"/>
        <w:autoSpaceDE/>
        <w:autoSpaceDN/>
        <w:bidi w:val="0"/>
        <w:spacing w:line="540" w:lineRule="exact"/>
        <w:ind w:left="0" w:leftChars="0"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eastAsia="zh-CN" w:bidi="ar-SA"/>
        </w:rPr>
        <w:t>二</w:t>
      </w:r>
      <w:r>
        <w:rPr>
          <w:rFonts w:hint="eastAsia" w:ascii="仿宋" w:hAnsi="仿宋" w:eastAsia="仿宋" w:cs="仿宋"/>
          <w:b/>
          <w:bCs/>
          <w:spacing w:val="0"/>
          <w:kern w:val="2"/>
          <w:sz w:val="28"/>
          <w:szCs w:val="28"/>
          <w:highlight w:val="none"/>
          <w:lang w:val="en-US" w:eastAsia="zh-CN" w:bidi="ar-SA"/>
        </w:rPr>
        <w:t>）项目预算执行率较低</w:t>
      </w:r>
    </w:p>
    <w:p>
      <w:pPr>
        <w:pStyle w:val="3"/>
        <w:keepNext w:val="0"/>
        <w:keepLines w:val="0"/>
        <w:pageBreakBefore w:val="0"/>
        <w:kinsoku/>
        <w:wordWrap/>
        <w:overflowPunct/>
        <w:topLinePunct w:val="0"/>
        <w:autoSpaceDE/>
        <w:autoSpaceDN/>
        <w:bidi w:val="0"/>
        <w:spacing w:line="540" w:lineRule="exact"/>
        <w:ind w:left="0" w:leftChars="0"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该专项债发行时间为2022年6月29日，发行金额2000万元，于2022年9月资金全部拨付到位。截至2022年12月31日，实际使用641.01万元，预算执行率为32.05%。截至2023年6月30日实际使用1677.99万元，预算执行率为83.9%。</w:t>
      </w:r>
    </w:p>
    <w:p>
      <w:pPr>
        <w:pStyle w:val="3"/>
        <w:keepNext w:val="0"/>
        <w:keepLines w:val="0"/>
        <w:pageBreakBefore w:val="0"/>
        <w:kinsoku/>
        <w:wordWrap/>
        <w:overflowPunct/>
        <w:topLinePunct w:val="0"/>
        <w:autoSpaceDE/>
        <w:autoSpaceDN/>
        <w:bidi w:val="0"/>
        <w:spacing w:line="540" w:lineRule="exact"/>
        <w:ind w:left="0" w:leftChars="0"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（三）项目建设任务存在滞后现象</w:t>
      </w:r>
    </w:p>
    <w:p>
      <w:pPr>
        <w:pStyle w:val="3"/>
        <w:keepNext w:val="0"/>
        <w:keepLines w:val="0"/>
        <w:pageBreakBefore w:val="0"/>
        <w:kinsoku/>
        <w:wordWrap/>
        <w:overflowPunct/>
        <w:topLinePunct w:val="0"/>
        <w:autoSpaceDE/>
        <w:autoSpaceDN/>
        <w:bidi w:val="0"/>
        <w:spacing w:line="540" w:lineRule="exact"/>
        <w:ind w:left="0" w:leftChars="0"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项目建设内容为：两栋学前教育教学楼（幼儿园、学前中心）和门卫室的新建装修，以及园内配套道路及场地硬化，消防、给排水、供配电等的建设，其中专项债券资金主要用于两栋学前教育教学楼的主体建设工程。项目合同约定施工时间为：2022年10月10日-2023年8月1日；学前中心栋于2023年8月31日交付使用；截至评价日幼儿园栋及附属工程尚未完工。</w:t>
      </w:r>
    </w:p>
    <w:p>
      <w:pPr>
        <w:pStyle w:val="3"/>
        <w:keepNext w:val="0"/>
        <w:keepLines w:val="0"/>
        <w:pageBreakBefore w:val="0"/>
        <w:kinsoku/>
        <w:wordWrap/>
        <w:overflowPunct/>
        <w:topLinePunct w:val="0"/>
        <w:autoSpaceDE/>
        <w:autoSpaceDN/>
        <w:bidi w:val="0"/>
        <w:spacing w:line="540" w:lineRule="exact"/>
        <w:ind w:left="0" w:leftChars="0"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（四）绩效目标设置不合理，绩效指标不够明晰</w:t>
      </w:r>
    </w:p>
    <w:p>
      <w:pPr>
        <w:pStyle w:val="3"/>
        <w:keepNext w:val="0"/>
        <w:keepLines w:val="0"/>
        <w:pageBreakBefore w:val="0"/>
        <w:kinsoku/>
        <w:wordWrap/>
        <w:overflowPunct/>
        <w:topLinePunct w:val="0"/>
        <w:autoSpaceDE/>
        <w:autoSpaceDN/>
        <w:bidi w:val="0"/>
        <w:spacing w:line="540" w:lineRule="exact"/>
        <w:ind w:left="0" w:leftChars="0"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评价过程中发现，单位对绩效目标设置未全面反映项目应达到的数量、质量、时效、成本及预期效益。如数量指标设置为增加公办幼儿园学位数量与项目的年度绩效指标不匹配，应根据计划建设内容或者建筑面积设置；时效指标设置为项目开工率不合理，应反映按工程进度拨款情况。</w:t>
      </w:r>
    </w:p>
    <w:p>
      <w:pPr>
        <w:pStyle w:val="3"/>
        <w:keepNext w:val="0"/>
        <w:keepLines w:val="0"/>
        <w:pageBreakBefore w:val="0"/>
        <w:kinsoku/>
        <w:wordWrap/>
        <w:overflowPunct/>
        <w:topLinePunct w:val="0"/>
        <w:autoSpaceDE/>
        <w:autoSpaceDN/>
        <w:bidi w:val="0"/>
        <w:spacing w:line="540" w:lineRule="exact"/>
        <w:ind w:left="0" w:leftChars="0"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部分指标设置未通过清晰、可衡量的指标值予以体现。</w:t>
      </w:r>
    </w:p>
    <w:p>
      <w:pPr>
        <w:pStyle w:val="3"/>
        <w:keepNext w:val="0"/>
        <w:keepLines w:val="0"/>
        <w:pageBreakBefore w:val="0"/>
        <w:kinsoku/>
        <w:wordWrap/>
        <w:overflowPunct/>
        <w:topLinePunct w:val="0"/>
        <w:autoSpaceDE/>
        <w:autoSpaceDN/>
        <w:bidi w:val="0"/>
        <w:spacing w:line="540" w:lineRule="exact"/>
        <w:ind w:left="0" w:leftChars="0"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（五）自评报告质量有待提高</w:t>
      </w:r>
    </w:p>
    <w:p>
      <w:pPr>
        <w:keepNext w:val="0"/>
        <w:keepLines w:val="0"/>
        <w:pageBreakBefore w:val="0"/>
        <w:kinsoku/>
        <w:wordWrap/>
        <w:overflowPunct/>
        <w:topLinePunct w:val="0"/>
        <w:autoSpaceDE/>
        <w:autoSpaceDN/>
        <w:bidi w:val="0"/>
        <w:spacing w:line="540" w:lineRule="exact"/>
        <w:ind w:left="0" w:leftChars="0"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单位对项目的自评报告不够细化，未深刻剖析项目在实施过程中存在的问题，也未提出具体可行的意见和建议。自评报告对项目开展情况、相关资金使用情况等方面描述过于简单，缺乏较为深入、详细的分析。</w:t>
      </w:r>
    </w:p>
    <w:p>
      <w:pPr>
        <w:keepNext w:val="0"/>
        <w:keepLines w:val="0"/>
        <w:pageBreakBefore w:val="0"/>
        <w:numPr>
          <w:ilvl w:val="0"/>
          <w:numId w:val="1"/>
        </w:numPr>
        <w:kinsoku/>
        <w:wordWrap/>
        <w:overflowPunct/>
        <w:topLinePunct w:val="0"/>
        <w:autoSpaceDE/>
        <w:autoSpaceDN/>
        <w:bidi w:val="0"/>
        <w:spacing w:line="540" w:lineRule="exact"/>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有关建议</w:t>
      </w:r>
    </w:p>
    <w:p>
      <w:pPr>
        <w:pStyle w:val="3"/>
        <w:keepNext w:val="0"/>
        <w:keepLines w:val="0"/>
        <w:pageBreakBefore w:val="0"/>
        <w:numPr>
          <w:ilvl w:val="0"/>
          <w:numId w:val="2"/>
        </w:numPr>
        <w:kinsoku/>
        <w:wordWrap/>
        <w:overflowPunct/>
        <w:topLinePunct w:val="0"/>
        <w:autoSpaceDE/>
        <w:autoSpaceDN/>
        <w:bidi w:val="0"/>
        <w:spacing w:line="540" w:lineRule="exact"/>
        <w:ind w:left="0" w:leftChars="0" w:firstLine="562" w:firstLineChars="200"/>
        <w:rPr>
          <w:rFonts w:hint="eastAsia" w:ascii="仿宋" w:hAnsi="仿宋" w:eastAsia="仿宋" w:cs="仿宋"/>
          <w:b/>
          <w:bCs/>
          <w:spacing w:val="0"/>
          <w:kern w:val="2"/>
          <w:sz w:val="28"/>
          <w:szCs w:val="28"/>
          <w:highlight w:val="none"/>
          <w:lang w:eastAsia="zh-CN" w:bidi="ar-SA"/>
        </w:rPr>
      </w:pPr>
      <w:r>
        <w:rPr>
          <w:rFonts w:hint="eastAsia" w:ascii="仿宋" w:hAnsi="仿宋" w:eastAsia="仿宋" w:cs="仿宋"/>
          <w:b/>
          <w:bCs/>
          <w:spacing w:val="0"/>
          <w:kern w:val="2"/>
          <w:sz w:val="28"/>
          <w:szCs w:val="28"/>
          <w:highlight w:val="none"/>
          <w:lang w:eastAsia="zh-CN" w:bidi="ar-SA"/>
        </w:rPr>
        <w:t>细化深化项目前期谋划</w:t>
      </w:r>
    </w:p>
    <w:p>
      <w:pPr>
        <w:pStyle w:val="3"/>
        <w:keepNext w:val="0"/>
        <w:keepLines w:val="0"/>
        <w:pageBreakBefore w:val="0"/>
        <w:numPr>
          <w:ilvl w:val="0"/>
          <w:numId w:val="0"/>
        </w:numPr>
        <w:kinsoku/>
        <w:wordWrap/>
        <w:overflowPunct/>
        <w:topLinePunct w:val="0"/>
        <w:autoSpaceDE/>
        <w:autoSpaceDN/>
        <w:bidi w:val="0"/>
        <w:spacing w:line="540" w:lineRule="exact"/>
        <w:ind w:left="0" w:leftChars="0" w:firstLine="560" w:firstLineChars="200"/>
        <w:rPr>
          <w:rFonts w:hint="eastAsia" w:ascii="仿宋" w:hAnsi="仿宋" w:eastAsia="仿宋" w:cs="仿宋"/>
          <w:spacing w:val="0"/>
          <w:kern w:val="2"/>
          <w:sz w:val="28"/>
          <w:szCs w:val="28"/>
          <w:highlight w:val="none"/>
          <w:lang w:eastAsia="zh-CN" w:bidi="ar-SA"/>
        </w:rPr>
      </w:pPr>
      <w:r>
        <w:rPr>
          <w:rFonts w:hint="eastAsia" w:ascii="仿宋" w:hAnsi="仿宋" w:eastAsia="仿宋" w:cs="仿宋"/>
          <w:spacing w:val="0"/>
          <w:kern w:val="2"/>
          <w:sz w:val="28"/>
          <w:szCs w:val="28"/>
          <w:highlight w:val="none"/>
          <w:lang w:eastAsia="zh-CN" w:bidi="ar-SA"/>
        </w:rPr>
        <w:t>建议项目主管部门重点关注项目的前期谋划和细化落实，在项目投向、实施主体、项目平衡上精准深入论证分析，并加大与项目有关的立项、选址、初步设计等协调。合理编制项目预期收益与融资平衡方案，合理申报专项债券项目。要加强对专项债项目的动态绩效跟踪，实时关注专项债券项目的融资收益平衡情况，掌握专项债券各生命周期的兑付风险，确保不发生专项债券偿债风险，按计划及时偿还利息。</w:t>
      </w:r>
    </w:p>
    <w:p>
      <w:pPr>
        <w:pStyle w:val="3"/>
        <w:keepNext w:val="0"/>
        <w:keepLines w:val="0"/>
        <w:pageBreakBefore w:val="0"/>
        <w:kinsoku/>
        <w:wordWrap/>
        <w:overflowPunct/>
        <w:topLinePunct w:val="0"/>
        <w:autoSpaceDE/>
        <w:autoSpaceDN/>
        <w:bidi w:val="0"/>
        <w:spacing w:line="540" w:lineRule="exact"/>
        <w:ind w:left="0" w:leftChars="0"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eastAsia="zh-CN" w:bidi="ar-SA"/>
        </w:rPr>
        <w:t>（二）</w:t>
      </w:r>
      <w:r>
        <w:rPr>
          <w:rFonts w:hint="eastAsia" w:ascii="仿宋" w:hAnsi="仿宋" w:eastAsia="仿宋" w:cs="仿宋"/>
          <w:b/>
          <w:bCs/>
          <w:spacing w:val="0"/>
          <w:kern w:val="2"/>
          <w:sz w:val="28"/>
          <w:szCs w:val="28"/>
          <w:highlight w:val="none"/>
          <w:lang w:val="en-US" w:eastAsia="zh-CN" w:bidi="ar-SA"/>
        </w:rPr>
        <w:t>加强预算编制的管理，提高预算执行率</w:t>
      </w:r>
    </w:p>
    <w:p>
      <w:pPr>
        <w:pStyle w:val="3"/>
        <w:keepNext w:val="0"/>
        <w:keepLines w:val="0"/>
        <w:pageBreakBefore w:val="0"/>
        <w:kinsoku/>
        <w:wordWrap/>
        <w:overflowPunct/>
        <w:topLinePunct w:val="0"/>
        <w:autoSpaceDE/>
        <w:autoSpaceDN/>
        <w:bidi w:val="0"/>
        <w:spacing w:line="540" w:lineRule="exact"/>
        <w:ind w:left="0" w:leftChars="0"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建议</w:t>
      </w:r>
      <w:r>
        <w:rPr>
          <w:rFonts w:hint="eastAsia" w:ascii="仿宋" w:hAnsi="仿宋" w:eastAsia="仿宋" w:cs="仿宋"/>
          <w:spacing w:val="0"/>
          <w:kern w:val="2"/>
          <w:sz w:val="28"/>
          <w:szCs w:val="28"/>
          <w:highlight w:val="none"/>
          <w:lang w:eastAsia="zh-CN" w:bidi="ar-SA"/>
        </w:rPr>
        <w:t>教育局</w:t>
      </w:r>
      <w:r>
        <w:rPr>
          <w:rFonts w:hint="eastAsia" w:ascii="仿宋" w:hAnsi="仿宋" w:eastAsia="仿宋" w:cs="仿宋"/>
          <w:spacing w:val="0"/>
          <w:kern w:val="2"/>
          <w:sz w:val="28"/>
          <w:szCs w:val="28"/>
          <w:highlight w:val="none"/>
          <w:lang w:val="en-US" w:eastAsia="zh-CN" w:bidi="ar-SA"/>
        </w:rPr>
        <w:t>预算编制要经过科学论证，预算额度的测算依据要充分，以确保预算内容与项目内容相匹配、预算确定的项目投资额或资金量与工作任务相匹配，合理安排资金，增加部分绩效指标科学性、合理性，保障业务正常运转。从源头入手，狠抓预算编制工作。根据当年工作重点和工作计划，统筹安排预算指标，合理测算各项支出，努力提高预算编制的科学性、严谨性和可控性。强化预算执行，早准备早安排，做好预算执行各环节衔接工作，努力提高预算执行进度。</w:t>
      </w:r>
    </w:p>
    <w:p>
      <w:pPr>
        <w:pStyle w:val="3"/>
        <w:keepNext w:val="0"/>
        <w:keepLines w:val="0"/>
        <w:pageBreakBefore w:val="0"/>
        <w:kinsoku/>
        <w:wordWrap/>
        <w:overflowPunct/>
        <w:topLinePunct w:val="0"/>
        <w:autoSpaceDE/>
        <w:autoSpaceDN/>
        <w:bidi w:val="0"/>
        <w:spacing w:line="540" w:lineRule="exact"/>
        <w:ind w:left="0" w:leftChars="0"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eastAsia="zh-CN" w:bidi="ar-SA"/>
        </w:rPr>
        <w:t>三</w:t>
      </w:r>
      <w:r>
        <w:rPr>
          <w:rFonts w:hint="eastAsia" w:ascii="仿宋" w:hAnsi="仿宋" w:eastAsia="仿宋" w:cs="仿宋"/>
          <w:b/>
          <w:bCs/>
          <w:spacing w:val="0"/>
          <w:kern w:val="2"/>
          <w:sz w:val="28"/>
          <w:szCs w:val="28"/>
          <w:highlight w:val="none"/>
          <w:lang w:val="en-US" w:eastAsia="zh-CN" w:bidi="ar-SA"/>
        </w:rPr>
        <w:t>）完善业务管理制度，加强项目组织实施管理</w:t>
      </w:r>
    </w:p>
    <w:p>
      <w:pPr>
        <w:pStyle w:val="3"/>
        <w:keepNext w:val="0"/>
        <w:keepLines w:val="0"/>
        <w:pageBreakBefore w:val="0"/>
        <w:kinsoku/>
        <w:wordWrap/>
        <w:overflowPunct/>
        <w:topLinePunct w:val="0"/>
        <w:autoSpaceDE/>
        <w:autoSpaceDN/>
        <w:bidi w:val="0"/>
        <w:spacing w:line="540" w:lineRule="exact"/>
        <w:ind w:left="0" w:leftChars="0"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结合项目要求和实际情况，在整体层面制定有关业务制度或方案，规范项目实施流程，以确保项目能够持续、稳定运行，为全面提升资金效益提供坚实保障。同时加强对项目实施管理，保障相关管理制度的有效执行情况。促使项目主管单位重视专项资金的使用，强化项目主管单位的主体责任，明确项目主管单位在得到使用专项资金权利的同时，应当承担的责任和义务。</w:t>
      </w:r>
    </w:p>
    <w:p>
      <w:pPr>
        <w:pStyle w:val="3"/>
        <w:keepNext w:val="0"/>
        <w:keepLines w:val="0"/>
        <w:pageBreakBefore w:val="0"/>
        <w:kinsoku/>
        <w:wordWrap/>
        <w:overflowPunct/>
        <w:topLinePunct w:val="0"/>
        <w:autoSpaceDE/>
        <w:autoSpaceDN/>
        <w:bidi w:val="0"/>
        <w:spacing w:line="540" w:lineRule="exact"/>
        <w:ind w:left="0" w:leftChars="0"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各级业务主管部门</w:t>
      </w:r>
      <w:r>
        <w:rPr>
          <w:rFonts w:hint="eastAsia" w:ascii="仿宋" w:hAnsi="仿宋" w:eastAsia="仿宋" w:cs="仿宋"/>
          <w:spacing w:val="0"/>
          <w:kern w:val="2"/>
          <w:sz w:val="28"/>
          <w:szCs w:val="28"/>
          <w:highlight w:val="none"/>
          <w:lang w:eastAsia="zh-CN" w:bidi="ar-SA"/>
        </w:rPr>
        <w:t>还</w:t>
      </w:r>
      <w:r>
        <w:rPr>
          <w:rFonts w:hint="eastAsia" w:ascii="仿宋" w:hAnsi="仿宋" w:eastAsia="仿宋" w:cs="仿宋"/>
          <w:spacing w:val="0"/>
          <w:kern w:val="2"/>
          <w:sz w:val="28"/>
          <w:szCs w:val="28"/>
          <w:highlight w:val="none"/>
          <w:lang w:val="en-US" w:eastAsia="zh-CN" w:bidi="ar-SA"/>
        </w:rPr>
        <w:t>应加强对项目的监督管理，落实监管责任，及时发现和解决项目实施过程出现的问题，按规定做好对专项资金项目的检查、督导、整改、考核验收等，确保专项资金安全有效地使用，发挥专项资金的预期使用效果。对进度较慢的项目，采取督查、通报、约谈等方式，督促项目主管单位加快建设进度，完成目标任务。敦促项目单位，完善项目管理制度，强化对项目各个环节的管理，进一步规范项目管理，提高工作效率。</w:t>
      </w:r>
    </w:p>
    <w:p>
      <w:pPr>
        <w:pStyle w:val="3"/>
        <w:keepNext w:val="0"/>
        <w:keepLines w:val="0"/>
        <w:pageBreakBefore w:val="0"/>
        <w:kinsoku/>
        <w:wordWrap/>
        <w:overflowPunct/>
        <w:topLinePunct w:val="0"/>
        <w:autoSpaceDE/>
        <w:autoSpaceDN/>
        <w:bidi w:val="0"/>
        <w:spacing w:line="540" w:lineRule="exact"/>
        <w:ind w:left="0" w:leftChars="0"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eastAsia="zh-CN" w:bidi="ar-SA"/>
        </w:rPr>
        <w:t>四</w:t>
      </w:r>
      <w:r>
        <w:rPr>
          <w:rFonts w:hint="eastAsia" w:ascii="仿宋" w:hAnsi="仿宋" w:eastAsia="仿宋" w:cs="仿宋"/>
          <w:b/>
          <w:bCs/>
          <w:spacing w:val="0"/>
          <w:kern w:val="2"/>
          <w:sz w:val="28"/>
          <w:szCs w:val="28"/>
          <w:highlight w:val="none"/>
          <w:lang w:val="en-US" w:eastAsia="zh-CN" w:bidi="ar-SA"/>
        </w:rPr>
        <w:t>）强化绩效管理理念，加强绩效管理工作</w:t>
      </w:r>
    </w:p>
    <w:p>
      <w:pPr>
        <w:pStyle w:val="3"/>
        <w:keepNext w:val="0"/>
        <w:keepLines w:val="0"/>
        <w:pageBreakBefore w:val="0"/>
        <w:kinsoku/>
        <w:wordWrap/>
        <w:overflowPunct/>
        <w:topLinePunct w:val="0"/>
        <w:autoSpaceDE/>
        <w:autoSpaceDN/>
        <w:bidi w:val="0"/>
        <w:spacing w:line="540" w:lineRule="exact"/>
        <w:ind w:left="0" w:leftChars="0" w:firstLine="560" w:firstLineChars="200"/>
        <w:rPr>
          <w:rFonts w:hint="eastAsia" w:ascii="仿宋" w:hAnsi="仿宋" w:eastAsia="仿宋" w:cs="仿宋"/>
          <w:spacing w:val="0"/>
          <w:kern w:val="2"/>
          <w:sz w:val="28"/>
          <w:szCs w:val="28"/>
          <w:highlight w:val="none"/>
          <w:lang w:eastAsia="zh-CN" w:bidi="ar-SA"/>
        </w:rPr>
      </w:pPr>
      <w:r>
        <w:rPr>
          <w:rFonts w:hint="eastAsia" w:ascii="仿宋" w:hAnsi="仿宋" w:eastAsia="仿宋" w:cs="仿宋"/>
          <w:spacing w:val="0"/>
          <w:kern w:val="2"/>
          <w:sz w:val="28"/>
          <w:szCs w:val="28"/>
          <w:highlight w:val="none"/>
          <w:lang w:val="en-US" w:eastAsia="zh-CN" w:bidi="ar-SA"/>
        </w:rPr>
        <w:t>地方政府专项债券资金绩效管理是全面预算管理的重要内容，也是专项债全生命周期管理的重要手段。项目主管部门应提高对项目绩效目标申报工作的重视程度，按照资金预算情况全面分析并设置科学的绩效目标，落实好绩效管理要求，提高资金使用效率。加强对绩效执行全过程的监控，对资金使用的绩效情况要进行跟踪检查</w:t>
      </w:r>
      <w:r>
        <w:rPr>
          <w:rFonts w:hint="eastAsia" w:ascii="仿宋" w:hAnsi="仿宋" w:eastAsia="仿宋" w:cs="仿宋"/>
          <w:spacing w:val="0"/>
          <w:kern w:val="2"/>
          <w:sz w:val="28"/>
          <w:szCs w:val="28"/>
          <w:highlight w:val="none"/>
          <w:lang w:eastAsia="zh-CN" w:bidi="ar-SA"/>
        </w:rPr>
        <w:t>。</w:t>
      </w:r>
    </w:p>
    <w:p>
      <w:pPr>
        <w:pStyle w:val="3"/>
        <w:keepNext w:val="0"/>
        <w:keepLines w:val="0"/>
        <w:pageBreakBefore w:val="0"/>
        <w:kinsoku/>
        <w:wordWrap/>
        <w:overflowPunct/>
        <w:topLinePunct w:val="0"/>
        <w:autoSpaceDE/>
        <w:autoSpaceDN/>
        <w:bidi w:val="0"/>
        <w:spacing w:line="540" w:lineRule="exact"/>
        <w:ind w:left="0" w:leftChars="0" w:firstLine="562"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eastAsia="zh-CN" w:bidi="ar-SA"/>
        </w:rPr>
        <w:t>（五）</w:t>
      </w:r>
      <w:r>
        <w:rPr>
          <w:rFonts w:hint="eastAsia" w:ascii="仿宋" w:hAnsi="仿宋" w:eastAsia="仿宋" w:cs="仿宋"/>
          <w:b/>
          <w:bCs/>
          <w:spacing w:val="0"/>
          <w:kern w:val="2"/>
          <w:sz w:val="28"/>
          <w:szCs w:val="28"/>
          <w:highlight w:val="none"/>
          <w:lang w:val="en-US" w:eastAsia="zh-CN" w:bidi="ar-SA"/>
        </w:rPr>
        <w:t>提高绩效意识，提高自评报告质量</w:t>
      </w:r>
    </w:p>
    <w:p>
      <w:pPr>
        <w:pStyle w:val="3"/>
        <w:keepNext w:val="0"/>
        <w:keepLines w:val="0"/>
        <w:pageBreakBefore w:val="0"/>
        <w:kinsoku/>
        <w:wordWrap/>
        <w:overflowPunct/>
        <w:topLinePunct w:val="0"/>
        <w:autoSpaceDE/>
        <w:autoSpaceDN/>
        <w:bidi w:val="0"/>
        <w:spacing w:line="540" w:lineRule="exact"/>
        <w:ind w:left="0" w:leftChars="0"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重视绩效自评工作，对项目绩效目标的实现程度以及影响目标实现的因素进行全面分析，确保自评报告中数据全面、真实、准确，提高绩效自评的工作质量。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leftChars="0" w:right="0" w:firstLine="562" w:firstLineChars="200"/>
        <w:jc w:val="both"/>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九、其他需要说明的问题</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一）本项目为民生服务项目，项目的实施对于保障适龄儿童均能就近接受高质量的学前教育和带动周边经济的发展具有重要作用，因此在项目完工后需做好项目完工验收结算的监管，保障项目的顺利完成及投入使用。</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（二）项目建成后，由北塔区教育局负责项目后期运营，加强对项目实施情况的监控，并统筹协调相关部门做好项目完工后的运营情况，如期实现专项收入等后续工作。</w:t>
      </w:r>
    </w:p>
    <w:p>
      <w:pPr>
        <w:keepNext w:val="0"/>
        <w:keepLines w:val="0"/>
        <w:pageBreakBefore w:val="0"/>
        <w:kinsoku/>
        <w:wordWrap/>
        <w:overflowPunct/>
        <w:topLinePunct w:val="0"/>
        <w:autoSpaceDE/>
        <w:autoSpaceDN/>
        <w:bidi w:val="0"/>
        <w:spacing w:line="540" w:lineRule="exact"/>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十、评价结果</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绩效评价小组依据项目绩效评价指标体系，从决策、过程、产出、效益四个维度，通过数据采集、现场评价和问卷调查等方式，对北塔区学前教育建设项目政府专项债券项目进行了综合评价，项目最终评分结果为84.50分，评价等级为“良”。项目扣分情况分析具体如下：</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pacing w:val="0"/>
          <w:kern w:val="2"/>
          <w:sz w:val="28"/>
          <w:szCs w:val="28"/>
          <w:highlight w:val="none"/>
          <w:lang w:eastAsia="zh-CN" w:bidi="ar-SA"/>
        </w:rPr>
      </w:pPr>
      <w:r>
        <w:rPr>
          <w:rFonts w:hint="eastAsia" w:ascii="仿宋" w:hAnsi="仿宋" w:eastAsia="仿宋" w:cs="仿宋"/>
          <w:spacing w:val="0"/>
          <w:kern w:val="2"/>
          <w:sz w:val="28"/>
          <w:szCs w:val="28"/>
          <w:highlight w:val="none"/>
          <w:lang w:val="en-US" w:eastAsia="zh-CN" w:bidi="ar-SA"/>
        </w:rPr>
        <w:t>一是决策方面: 决策指标总分值为15.00分，实得14.00分，扣1.00分，主要扣分原因为：绩效目标设置未全面反映项目应达到的数量、质量、时效、成本及预期效益；部分指标设置未通过清晰、可衡量的指标值予以体现</w:t>
      </w:r>
      <w:r>
        <w:rPr>
          <w:rFonts w:hint="eastAsia" w:ascii="仿宋" w:hAnsi="仿宋" w:eastAsia="仿宋" w:cs="仿宋"/>
          <w:spacing w:val="0"/>
          <w:kern w:val="2"/>
          <w:sz w:val="28"/>
          <w:szCs w:val="28"/>
          <w:highlight w:val="none"/>
          <w:lang w:eastAsia="zh-CN" w:bidi="ar-SA"/>
        </w:rPr>
        <w:t>。</w:t>
      </w:r>
    </w:p>
    <w:p>
      <w:pPr>
        <w:pStyle w:val="3"/>
        <w:keepNext w:val="0"/>
        <w:keepLines w:val="0"/>
        <w:pageBreakBefore w:val="0"/>
        <w:kinsoku/>
        <w:wordWrap/>
        <w:overflowPunct/>
        <w:topLinePunct w:val="0"/>
        <w:autoSpaceDE/>
        <w:autoSpaceDN/>
        <w:bidi w:val="0"/>
        <w:spacing w:line="540" w:lineRule="exact"/>
        <w:ind w:left="0" w:leftChars="0"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二是过程方面: 过程指标总分值为36.00分，实得30.00分，扣6.50分，主要扣分原因为：资金拨付2000万元，截至2022年12月31日，实际使用641.01万元，预算执行率为32.05%；截至2023年6月30日实际使用1677.99万元，预算执行率为83.9%，项目预算执行率较低；投资规模与实际投资存在差距，增加偿债风险；项目自评报告不够细化，未具体说明项目在实行过程中存在的问题及相应意见。</w:t>
      </w:r>
    </w:p>
    <w:p>
      <w:pPr>
        <w:pStyle w:val="3"/>
        <w:keepNext w:val="0"/>
        <w:keepLines w:val="0"/>
        <w:pageBreakBefore w:val="0"/>
        <w:kinsoku/>
        <w:wordWrap/>
        <w:overflowPunct/>
        <w:topLinePunct w:val="0"/>
        <w:autoSpaceDE/>
        <w:autoSpaceDN/>
        <w:bidi w:val="0"/>
        <w:spacing w:line="540" w:lineRule="exact"/>
        <w:ind w:left="0" w:leftChars="0"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三是产出方面: 项目产出总分值为24.00分，实得22.00分，扣2.00分，主要扣分原因为：建设两栋学前教育教学楼(幼儿园、学前中心) 和门卫：合同约定施工时间为：2022年10月10日-2023年8月1日；学前中心栋于2023年8月31日交付使用；截至评价日幼儿栋及附属工程尚未完工。</w:t>
      </w:r>
    </w:p>
    <w:p>
      <w:pPr>
        <w:keepNext w:val="0"/>
        <w:keepLines w:val="0"/>
        <w:pageBreakBefore w:val="0"/>
        <w:kinsoku/>
        <w:wordWrap/>
        <w:overflowPunct/>
        <w:topLinePunct w:val="0"/>
        <w:autoSpaceDE/>
        <w:autoSpaceDN/>
        <w:bidi w:val="0"/>
        <w:spacing w:line="5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pacing w:val="0"/>
          <w:kern w:val="2"/>
          <w:sz w:val="28"/>
          <w:szCs w:val="28"/>
          <w:highlight w:val="none"/>
          <w:lang w:val="en-US" w:eastAsia="zh-CN" w:bidi="ar-SA"/>
        </w:rPr>
        <w:t>四是效益方面 :项目效益总分值为25.00分，实得19.00分，扣6.00分，主要扣分原因为：截至评价日，部分工程还未完工，该项目还未进入运营期，社会效益不明显、经济效益不明显且尚未满足基本办学条件。</w:t>
      </w:r>
    </w:p>
    <w:p>
      <w:pPr>
        <w:keepNext w:val="0"/>
        <w:keepLines w:val="0"/>
        <w:pageBreakBefore w:val="0"/>
        <w:kinsoku/>
        <w:wordWrap/>
        <w:overflowPunct/>
        <w:topLinePunct w:val="0"/>
        <w:bidi w:val="0"/>
        <w:spacing w:line="540" w:lineRule="exact"/>
        <w:rPr>
          <w:rFonts w:hint="eastAsia" w:ascii="仿宋" w:hAnsi="仿宋" w:eastAsia="仿宋" w:cs="仿宋"/>
          <w:spacing w:val="0"/>
          <w:kern w:val="2"/>
          <w:sz w:val="28"/>
          <w:szCs w:val="28"/>
          <w:highlight w:val="none"/>
          <w:lang w:val="en-US" w:eastAsia="zh-CN" w:bidi="ar-SA"/>
        </w:rPr>
      </w:pPr>
    </w:p>
    <w:p>
      <w:pPr>
        <w:keepNext w:val="0"/>
        <w:keepLines w:val="0"/>
        <w:pageBreakBefore w:val="0"/>
        <w:kinsoku/>
        <w:wordWrap/>
        <w:overflowPunct/>
        <w:topLinePunct w:val="0"/>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附件1：北塔区学前教育建设项目政府专项债券项目绩效评价指标评分表</w:t>
      </w:r>
    </w:p>
    <w:p>
      <w:pPr>
        <w:shd w:val="clear" w:color="auto" w:fill="auto"/>
        <w:spacing w:line="560" w:lineRule="exact"/>
        <w:jc w:val="right"/>
        <w:rPr>
          <w:rFonts w:hint="eastAsia" w:ascii="仿宋" w:hAnsi="仿宋" w:eastAsia="仿宋" w:cs="仿宋"/>
          <w:b/>
          <w:bCs/>
          <w:sz w:val="28"/>
          <w:szCs w:val="28"/>
        </w:rPr>
      </w:pPr>
      <w:r>
        <w:rPr>
          <w:rFonts w:hint="eastAsia" w:ascii="仿宋" w:hAnsi="仿宋" w:eastAsia="仿宋" w:cs="仿宋"/>
          <w:b/>
          <w:bCs/>
          <w:sz w:val="28"/>
          <w:szCs w:val="28"/>
          <w:lang w:eastAsia="zh-CN"/>
        </w:rPr>
        <w:t>湖南骏新联合会计师事务所</w:t>
      </w:r>
      <w:r>
        <w:rPr>
          <w:rFonts w:hint="eastAsia" w:ascii="仿宋" w:hAnsi="仿宋" w:eastAsia="仿宋" w:cs="仿宋"/>
          <w:b/>
          <w:bCs/>
          <w:sz w:val="28"/>
          <w:szCs w:val="28"/>
        </w:rPr>
        <w:t>（普通合伙）</w:t>
      </w:r>
    </w:p>
    <w:p>
      <w:pPr>
        <w:shd w:val="clear" w:color="auto" w:fill="auto"/>
        <w:spacing w:line="560" w:lineRule="exact"/>
        <w:rPr>
          <w:rFonts w:hint="eastAsia" w:ascii="宋体" w:hAnsi="宋体" w:cs="宋体"/>
          <w:sz w:val="28"/>
          <w:szCs w:val="28"/>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二〇二</w:t>
      </w:r>
      <w:r>
        <w:rPr>
          <w:rFonts w:hint="eastAsia" w:cs="仿宋"/>
          <w:b/>
          <w:bCs/>
          <w:color w:val="000000"/>
          <w:sz w:val="28"/>
          <w:szCs w:val="28"/>
          <w:lang w:eastAsia="zh-CN"/>
        </w:rPr>
        <w:t>三</w:t>
      </w:r>
      <w:r>
        <w:rPr>
          <w:rFonts w:hint="eastAsia" w:ascii="仿宋" w:hAnsi="仿宋" w:eastAsia="仿宋" w:cs="仿宋"/>
          <w:b/>
          <w:bCs/>
          <w:color w:val="000000"/>
          <w:sz w:val="28"/>
          <w:szCs w:val="28"/>
        </w:rPr>
        <w:t>年</w:t>
      </w:r>
      <w:r>
        <w:rPr>
          <w:rFonts w:hint="eastAsia" w:cs="仿宋"/>
          <w:b/>
          <w:bCs/>
          <w:color w:val="000000"/>
          <w:sz w:val="28"/>
          <w:szCs w:val="28"/>
          <w:lang w:val="en-US" w:eastAsia="zh-CN"/>
        </w:rPr>
        <w:t>十一</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eastAsia="zh-CN"/>
        </w:rPr>
        <w:t>二十</w:t>
      </w: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日</w:t>
      </w:r>
      <w:bookmarkStart w:id="0" w:name="_GoBack"/>
      <w:bookmarkEnd w:id="0"/>
    </w:p>
    <w:p>
      <w:pPr>
        <w:pStyle w:val="6"/>
        <w:ind w:left="0" w:leftChars="0" w:firstLine="0" w:firstLineChars="0"/>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附件1：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616"/>
        <w:gridCol w:w="980"/>
        <w:gridCol w:w="2511"/>
        <w:gridCol w:w="519"/>
        <w:gridCol w:w="5295"/>
        <w:gridCol w:w="2390"/>
        <w:gridCol w:w="621"/>
        <w:gridCol w:w="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北塔区学前教育建设项目绩效评价指标表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Style w:val="13"/>
                <w:lang w:val="en-US" w:eastAsia="zh-CN" w:bidi="ar"/>
              </w:rPr>
              <w:t>一级指标</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Style w:val="13"/>
                <w:lang w:val="en-US" w:eastAsia="zh-CN" w:bidi="ar"/>
              </w:rPr>
              <w:t>二级指标</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Style w:val="13"/>
                <w:lang w:val="en-US" w:eastAsia="zh-CN" w:bidi="ar"/>
              </w:rPr>
              <w:t>三级指标</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Style w:val="13"/>
                <w:lang w:val="en-US" w:eastAsia="zh-CN" w:bidi="ar"/>
              </w:rPr>
              <w:t>指标解释</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Style w:val="13"/>
                <w:lang w:val="en-US" w:eastAsia="zh-CN" w:bidi="ar"/>
              </w:rPr>
              <w:t>分数</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Style w:val="13"/>
                <w:lang w:val="en-US" w:eastAsia="zh-CN" w:bidi="ar"/>
              </w:rPr>
              <w:t>评价标准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评分依据</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扣分</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决策</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（15分）</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项目立项（6分）</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项目立项充分性</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项目立项是否符合法律法规、相关政策、发展规划以及部门职责</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①立项符合国家相关法律法规、国民经济发展规划和相关政策，得1分，否则不得分；</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邵阳市北塔区发展和改革局文件邵北发改字【2022】11号关于《北塔区学前教育建设项目可行性研究报告》的批复；邵阳市住房和城乡建设局文件邵建设【2022】31号关于北塔区学前教育建设项目初步设计审查的批复</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②立项符合行业发展规划和政策要求，得1分，否则不得分；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③立项与部门职责范围相符，属于部门履职所需，得1分，否则不得分。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立项程序规范性</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项目支出申请、设立过程是否符合相关要求</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①预算支出按照规定的程序申请设立，得1分，否则不得分；</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邵阳市北塔区教育局《关于请求支付北塔区学前教育建设项目专项债券资金的报告》；事前已经过必要的可行性研究、专家论证、集体决策等</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②审批文件、材料符合相关要求，得1分，否则不得分；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③事前已经过必要的可行性研究、专家论证、风险评估、绩效评估、集体决策，得1分，否则不得分。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绩效目标（7分）</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绩效目标合理性</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项目支出所设定的绩效目标是否依据充分，是否符合客观实际</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①预算支出有绩效目标，得1.5分，否则不得分；</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绩效目标设置未全面反映项目应达到的数量、质量、时效、成本及预期效益；</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②预算支出绩效目标与实际工作内容具有相关性，得1.5分，否则不得分。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绩效指标明确性</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依据绩效目标设定的绩效指标是否清晰、细化、可衡量等</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①将预算支出绩效目标细化分解为具体的绩效指标，得2分，否则不得分；</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部分指标设置未通过清晰、可衡量的指标值予以体现</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②通过清晰、可衡量的指标值体现，得2分，否则不得分。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资金投入（2分）</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预算编制科学性</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预算编制是否经过科学论证、有明确标准，资金额度与年度目标是否相适应</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①预算编制是否经过科学论证，是得1分，否则不得分；</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出具了一案两书</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②预算额度测算依据是否充分，是否按照标准编制，是得1分，否则不得分；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过程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(35分）</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资金管理（19分）</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资金到位率</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用以反映和考核资金落实情况对预算支出实施的总体保障程度=（实际到位数/预算数）×100%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资金到位率90%以上，得3分；资金到位率80%以上，得2分；资金到位率70%以上，得1分；低于70%不得分。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2022年9月资金拨付2000万元，资金到位率100%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预算执行率</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用以反映项目预算执行的进度预算执行率=（实际支出数/预算数）×100%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预算执行率100%，得6分；预算执行率90%以上，得4分；预算执行率85%以上，得3分；预算执行率80%以上，得2分；预算执行率75%以上，得1分，低于75%不得分。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资金拨付2000万元，截至2022年12月31日，实际使用641.01万元，预算执行率为32.05%；截至2023年6月30日实际使用1677.99万元，预算执行率为83.9%.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还本付息</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①是否准确编制了项目还本付息计划和落实还本付息资金情况；</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①准确编制了项目还本付息计划和落实还本付息资金情况得1分，否则不得分；</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还未进入运营期，利息暂由财政支付</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②按照转贷协议约定,及时缴纳项目应当承担的利息情况；</w:t>
            </w: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②按照转贷协议约定,及时缴纳项目应当承担的利息得1分，否则不得分；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③专项债券期限与项目建设运营期限是否匹配；④是否存在使用其他项目对应的项目收益错项偿还到期债券本息情况。</w:t>
            </w: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③专项债券期限与项目建设运营期限匹配得1分，否则不得分；④存在使用其他项目对应的项目收益款项偿还到期债券本息现象，本项4分全扣。</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资金使用合规性</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是否存在资金挤占、挪用情况，重复申报、虚报冒领的情况</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①未进行专项核算，扣2分；</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建立了双控账户，专账管理</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②存在截留、挤占、挪用、虚列支出等情况，扣2分；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③存在重复申报、虚报冒领的情况，扣2分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风险控制（6分）</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风控机制及措施</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①是否建立了债务风险动态监测机制；</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①建立了债务风险动态监测机制得1分，否则不得分；</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项目总投资额变小 ，未来产生的收益变小 ，而专项债已经按方案发行了 ，故造成未来偿债能力不足 ，风险增加</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②对识别到的风险是否建立了应对的防范措施；</w:t>
            </w: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②对识别到的风险建立了应对的防范措施得1分，否则不得分；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③是否建立了债务风险应对预案和社会稳定风险应对预案。</w:t>
            </w: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③是否建立了债务风险应对预案和社会稳定风险应对预案得1分，否则不得分。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④发生过重大风险事件（重大债务违约事件、重大安全事故、重大违法违规事件等）、因债务引起的重大群体性事件等情况3分全扣不得分。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信息公开</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是否对债券资金发行、存续、重大事项、调整用途等进行信息披露</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对债券资金发行、存续、重大事项、调整用途等进行信息披露得2分，否则不得分。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已公开</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组织实施（11分）</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管理制度健全性</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实施单位的财务和项目管理制度是否健全</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①制定相应的财务管理制度，得1分；</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①制定了北塔区教育局财务管理制度以及北塔区教育局基础教育发展专项资金管理办法；②项目管理制度参照中共邵阳市北塔区委办公室文件邵北办发【2020】29号关于印发《北塔区重点项目管理办法（试行）》的通知执行</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②制定相应的项目管理制度，得1分；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③财务和项目管理制度是否合法、合规、完整</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制度执行有效性</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预算支出实施是否符合相关业务管理规定</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①项目支出等资料齐全并及时归档，得1分；</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项目支出等资料齐全并及时</w:t>
            </w:r>
            <w:r>
              <w:rPr>
                <w:rStyle w:val="14"/>
                <w:rFonts w:hint="eastAsia" w:hAnsi="宋体"/>
                <w:lang w:val="en-US" w:eastAsia="zh-CN" w:bidi="ar"/>
              </w:rPr>
              <w:t>进行了</w:t>
            </w:r>
            <w:r>
              <w:rPr>
                <w:rStyle w:val="14"/>
                <w:rFonts w:hAnsi="宋体"/>
                <w:lang w:val="en-US" w:eastAsia="zh-CN" w:bidi="ar"/>
              </w:rPr>
              <w:t>归档；项目实施所需相关条件等落实到位；项目实施内容与申报一致</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②项目实施所需相关条件等落实到位，得0.5分；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③项目实施内容与申报一致，得0.5分。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招标及政府采购管理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①项目招标和政府采购的程序及手续是否合法合规；</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①项目招标和政府采购的程序及手续合法合规得1分，否则不得分；</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项目招标和政府采购的程序及手续合法合规；合同签订及执行规范</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②合同签订及执行是否规范；</w:t>
            </w: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②合同签订及执行规范得1分，否则不得分；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③工程、设备、原材料等采购需求与项目实际需求是否吻合,是否存在重复或浪费现象。</w:t>
            </w: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③工程、设备、原材料等采购需求与项目实际需求吻合得1分，存在重复或浪费现象不得分。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绩效自评情况</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实施单位是否按绩效管理的要求开展项目绩效自评</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①按要求开展绩效自评工作，得0.5分，否则不得分；</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项目自评报告不够细化，未具体说明项目在实行过程中存在的问题及相应意见</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②绩效自评报告报送及时，得0.5分，否则不得分；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③绩效自评报告的综合评审等级，优得1分，良得0.5分，中得0.3分，差不得分；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④绩效自评报告是否完整，数据是否全面、真实、准确，绩效指标是否细化量化和科学合理，绩效自评反映的问题是否具体，意见是否可行，是得1分，否则不得分。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（24分）</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产出数量（6分）</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绩效目标实际完成率</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项目实施的实际产出数量与计划产出数量的比率，用以反映和考核项目产出数量目标的实现程度</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实际完成率=（实际产出数量/计划产出数量）×100%。</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该项目拟产出360个学位</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实际产出数量：一定时期（本年度或项目期）内项目实际产出的产品或提供的服务数量。</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计划产出数量：项目绩效目标确定的在一定时期（本年度或项目期）内计划产出的产品或提供的服务数量。</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实际完成率*权重分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产出质量（6分）</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质量达标率</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项目完成的质量达标产出数与实际产出数的比率，用以反映和考核项目产出的质量状况</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质量达标率=（质量达标产出数量/计划完成产出数量）×100%。质量达标产出数：一定时期（本年度或项目期）内实际达到既定质量标准的产品或服务数量。</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项目完成质量达标</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既定质量标准是指项目实施单位设立绩效目标时依据计划标准、行业标准、历史标准或其他标准而设定的绩效指标值。</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质量达标率*权重分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产出时效（6分）</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完成及时率</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按计划时限完成的项目个数与项目总数的比率，用以反映项目完成的及时程度</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完成及时率=计划时限内实际完成的项目数量/计划时限内应完成的项目数量×100%。</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建设两栋学前教育教学楼(幼儿园、学前中心) 和门卫：合同约定施工时间为：2022年10月10日-2023年8月1日；学前中心栋于2023年8月31日交付使用；截至评价日幼儿栋及附属工程尚未完工。</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完成及时率*权重分</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产出成本（6分）</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成本节约率</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完成预算支出计划工作目标的实际节约成本与计划成本的比率，用以反映和考核预算支出的成本节约程度。</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成本节约率（A）=[（计划成本-实际成本）/计划成本]×100%。（项目完成前提下，A大于等于0得满分，小于-5%的扣1分，小于-10%的扣2分，小于-15%的扣3分，小于-20%的扣4分，小于-20%以上或项目未完成得0分）</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截至评价日该项目支出2053万元</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实际成本：预算支出实施单位如期、保质、保量完成既定工作目标实际所耗费的支出。</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计划成本：预算支出实施单位为完成工作目标计划安排的支出，一般以预算支出预算为参考。</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效益</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（25分）</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实施效益（15分）</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社会效益</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项目实施对社会发展所带来的影响。</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8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对社会发展的影响，影响明显计5-4分，较明显计3-2分，有影响不明显计酌情给分</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截至评价日，部分工程还未完工，该项目还未进入运营期，社会效益不明显</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经济效益</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项目实施所带来的经济影响。</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对经济发展的影响，影响明显计5-4分，较明显计3-2分，有影响不明显计酌情给分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截至评价日，部分工程还未完工，该项目还未进入运营期，经济效益不明显</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可持续影响</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项目实施所带来的可持续影响。</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项目具有可持续性影响，影响明显计5-4分，较明显计3-2分，有影响不明显计酌情给分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截至评价日，部分工程还未完工，该项目还未进入运营期，目前尚未满足基本办学条件</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目标群体满意度（10分）</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实施政策满意程度</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4"/>
                <w:rFonts w:hAnsi="宋体"/>
                <w:lang w:val="en-US" w:eastAsia="zh-CN" w:bidi="ar"/>
              </w:rPr>
              <w:t>项目资源有效利用，社会公众或服务对象对项目实施效果的满意程度</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8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满意度95%及以上，计10分；每下降一个百分点，扣一分，扣完为止</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现场对20名项目服务对象进行调查，目标群体满意度达100%</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Style w:val="15"/>
                <w:rFonts w:hAnsi="宋体"/>
                <w:lang w:val="en-US" w:eastAsia="zh-CN" w:bidi="ar"/>
              </w:rPr>
              <w:t>总计</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100</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bCs/>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仿宋_GB2312" w:hAnsi="宋体" w:eastAsia="仿宋_GB2312" w:cs="仿宋_GB2312"/>
                <w:b/>
                <w:bCs/>
                <w:i w:val="0"/>
                <w:iCs w:val="0"/>
                <w:color w:val="000000"/>
                <w:kern w:val="0"/>
                <w:sz w:val="20"/>
                <w:szCs w:val="20"/>
                <w:u w:val="none"/>
                <w:lang w:val="en-US" w:eastAsia="zh-CN" w:bidi="ar"/>
              </w:rPr>
              <w:t>85</w:t>
            </w:r>
          </w:p>
        </w:tc>
      </w:tr>
    </w:tbl>
    <w:p>
      <w:pPr>
        <w:pStyle w:val="6"/>
        <w:ind w:left="0" w:leftChars="0" w:firstLine="0" w:firstLineChars="0"/>
        <w:rPr>
          <w:rFonts w:hint="eastAsia" w:ascii="宋体" w:hAnsi="宋体" w:eastAsia="宋体" w:cs="宋体"/>
          <w:sz w:val="28"/>
          <w:szCs w:val="28"/>
          <w:highlight w:val="none"/>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69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6EB0C"/>
    <w:multiLevelType w:val="singleLevel"/>
    <w:tmpl w:val="FF76EB0C"/>
    <w:lvl w:ilvl="0" w:tentative="0">
      <w:start w:val="1"/>
      <w:numFmt w:val="chineseCounting"/>
      <w:lvlText w:val="(%1)"/>
      <w:lvlJc w:val="left"/>
      <w:pPr>
        <w:tabs>
          <w:tab w:val="left" w:pos="312"/>
        </w:tabs>
      </w:pPr>
      <w:rPr>
        <w:rFonts w:hint="eastAsia"/>
      </w:rPr>
    </w:lvl>
  </w:abstractNum>
  <w:abstractNum w:abstractNumId="1">
    <w:nsid w:val="32C1557F"/>
    <w:multiLevelType w:val="singleLevel"/>
    <w:tmpl w:val="32C1557F"/>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YjljZGQ0MTVhMjkwZDViNDNlMzY2NTFjMWYyNTkifQ=="/>
  </w:docVars>
  <w:rsids>
    <w:rsidRoot w:val="610B6DCC"/>
    <w:rsid w:val="000B6281"/>
    <w:rsid w:val="00377076"/>
    <w:rsid w:val="0233386D"/>
    <w:rsid w:val="050B2FD3"/>
    <w:rsid w:val="05327CCC"/>
    <w:rsid w:val="0A8A021D"/>
    <w:rsid w:val="0B7D3DAB"/>
    <w:rsid w:val="0B9E269F"/>
    <w:rsid w:val="16D35D8A"/>
    <w:rsid w:val="17944956"/>
    <w:rsid w:val="19193365"/>
    <w:rsid w:val="1A330456"/>
    <w:rsid w:val="1A584361"/>
    <w:rsid w:val="1BB536F3"/>
    <w:rsid w:val="1E1F04C3"/>
    <w:rsid w:val="1E3E561C"/>
    <w:rsid w:val="1F6D61B8"/>
    <w:rsid w:val="22941CAE"/>
    <w:rsid w:val="250E5D48"/>
    <w:rsid w:val="2EBA2A9C"/>
    <w:rsid w:val="331035D3"/>
    <w:rsid w:val="349F30E7"/>
    <w:rsid w:val="35DE4501"/>
    <w:rsid w:val="37CA7FBC"/>
    <w:rsid w:val="381B0A50"/>
    <w:rsid w:val="391159AF"/>
    <w:rsid w:val="39C8517A"/>
    <w:rsid w:val="3AFB33EC"/>
    <w:rsid w:val="3BF51E8D"/>
    <w:rsid w:val="3C2730D4"/>
    <w:rsid w:val="3D47BDF9"/>
    <w:rsid w:val="3FDF118E"/>
    <w:rsid w:val="3FF34060"/>
    <w:rsid w:val="3FFF1692"/>
    <w:rsid w:val="43216DB2"/>
    <w:rsid w:val="445B0426"/>
    <w:rsid w:val="45DC10F2"/>
    <w:rsid w:val="491A440C"/>
    <w:rsid w:val="4BA3693A"/>
    <w:rsid w:val="4BB30D4F"/>
    <w:rsid w:val="4C7B3E88"/>
    <w:rsid w:val="4D3A32CE"/>
    <w:rsid w:val="4D7F5185"/>
    <w:rsid w:val="4DFE4512"/>
    <w:rsid w:val="4E1C29D4"/>
    <w:rsid w:val="4F4977F9"/>
    <w:rsid w:val="50CD4459"/>
    <w:rsid w:val="50F91564"/>
    <w:rsid w:val="51E563CE"/>
    <w:rsid w:val="51E8779D"/>
    <w:rsid w:val="52416B77"/>
    <w:rsid w:val="524644C3"/>
    <w:rsid w:val="53B84F4D"/>
    <w:rsid w:val="54177EC5"/>
    <w:rsid w:val="5583158B"/>
    <w:rsid w:val="55A27C63"/>
    <w:rsid w:val="597D4C6F"/>
    <w:rsid w:val="5980475F"/>
    <w:rsid w:val="59CD7278"/>
    <w:rsid w:val="5BAD0C20"/>
    <w:rsid w:val="5BBD020B"/>
    <w:rsid w:val="5C076A71"/>
    <w:rsid w:val="5C2D28B6"/>
    <w:rsid w:val="5DEE8822"/>
    <w:rsid w:val="5E920898"/>
    <w:rsid w:val="5FCFE6B6"/>
    <w:rsid w:val="5FEFA597"/>
    <w:rsid w:val="60435C35"/>
    <w:rsid w:val="610B6DCC"/>
    <w:rsid w:val="610D03E6"/>
    <w:rsid w:val="61DB4C28"/>
    <w:rsid w:val="63A9E042"/>
    <w:rsid w:val="65E73470"/>
    <w:rsid w:val="66E16C39"/>
    <w:rsid w:val="6A350C4E"/>
    <w:rsid w:val="6AF74155"/>
    <w:rsid w:val="6B7B5BB8"/>
    <w:rsid w:val="6CD77634"/>
    <w:rsid w:val="6DBFB190"/>
    <w:rsid w:val="6DEE2BFA"/>
    <w:rsid w:val="6E6216BA"/>
    <w:rsid w:val="72A921D9"/>
    <w:rsid w:val="746740F9"/>
    <w:rsid w:val="748C3B60"/>
    <w:rsid w:val="766D43E0"/>
    <w:rsid w:val="77FB0518"/>
    <w:rsid w:val="79B71ACC"/>
    <w:rsid w:val="79B7342D"/>
    <w:rsid w:val="7A74131E"/>
    <w:rsid w:val="7AFB43E1"/>
    <w:rsid w:val="7BDDA2E6"/>
    <w:rsid w:val="7C5004E8"/>
    <w:rsid w:val="7CFF9870"/>
    <w:rsid w:val="7DF02649"/>
    <w:rsid w:val="7FB96D3A"/>
    <w:rsid w:val="7FE9D534"/>
    <w:rsid w:val="9BE9729D"/>
    <w:rsid w:val="9FF9EAE1"/>
    <w:rsid w:val="ABFF02D4"/>
    <w:rsid w:val="B75BE650"/>
    <w:rsid w:val="BA3B81FF"/>
    <w:rsid w:val="DEFE497B"/>
    <w:rsid w:val="EE9FF99C"/>
    <w:rsid w:val="F7F77F72"/>
    <w:rsid w:val="F8BF4435"/>
    <w:rsid w:val="FD7CEB4C"/>
    <w:rsid w:val="FF5E8783"/>
    <w:rsid w:val="FFB3FEA8"/>
    <w:rsid w:val="FFE4F396"/>
    <w:rsid w:val="FFF26F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autoRedefine/>
    <w:qFormat/>
    <w:uiPriority w:val="9"/>
    <w:pPr>
      <w:keepNext/>
      <w:keepLines/>
      <w:spacing w:before="280" w:after="290" w:line="376" w:lineRule="auto"/>
      <w:outlineLvl w:val="3"/>
    </w:pPr>
    <w:rPr>
      <w:rFonts w:ascii="Cambria" w:hAnsi="Cambria"/>
      <w:b/>
      <w:bCs/>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unhideWhenUsed/>
    <w:qFormat/>
    <w:uiPriority w:val="0"/>
    <w:pPr>
      <w:adjustRightInd w:val="0"/>
      <w:spacing w:line="312" w:lineRule="atLeast"/>
      <w:ind w:firstLine="420" w:firstLineChars="0"/>
      <w:textAlignment w:val="baseline"/>
    </w:pPr>
    <w:rPr>
      <w:kern w:val="0"/>
      <w:sz w:val="21"/>
    </w:rPr>
  </w:style>
  <w:style w:type="paragraph" w:styleId="4">
    <w:name w:val="toa heading"/>
    <w:basedOn w:val="1"/>
    <w:next w:val="1"/>
    <w:autoRedefine/>
    <w:qFormat/>
    <w:uiPriority w:val="0"/>
    <w:rPr>
      <w:rFonts w:ascii="Arial" w:hAnsi="Arial" w:eastAsia="宋体" w:cs="Times New Roman"/>
      <w:sz w:val="24"/>
    </w:rPr>
  </w:style>
  <w:style w:type="paragraph" w:styleId="5">
    <w:name w:val="Body Text"/>
    <w:basedOn w:val="1"/>
    <w:autoRedefine/>
    <w:qFormat/>
    <w:uiPriority w:val="0"/>
    <w:pPr>
      <w:widowControl/>
      <w:spacing w:before="100" w:beforeAutospacing="1" w:after="100" w:afterAutospacing="1"/>
      <w:jc w:val="left"/>
    </w:pPr>
    <w:rPr>
      <w:rFonts w:ascii="宋体" w:hAnsi="宋体" w:cs="宋体"/>
      <w:kern w:val="0"/>
      <w:sz w:val="24"/>
    </w:rPr>
  </w:style>
  <w:style w:type="paragraph" w:styleId="6">
    <w:name w:val="Body Text Indent"/>
    <w:basedOn w:val="1"/>
    <w:autoRedefine/>
    <w:qFormat/>
    <w:uiPriority w:val="99"/>
    <w:pPr>
      <w:spacing w:line="620" w:lineRule="exact"/>
      <w:ind w:firstLine="600"/>
    </w:pPr>
    <w:rPr>
      <w:sz w:val="30"/>
      <w:szCs w:val="30"/>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31"/>
    <w:basedOn w:val="12"/>
    <w:autoRedefine/>
    <w:qFormat/>
    <w:uiPriority w:val="0"/>
    <w:rPr>
      <w:rFonts w:hint="eastAsia" w:ascii="黑体" w:hAnsi="宋体" w:eastAsia="黑体" w:cs="黑体"/>
      <w:color w:val="000000"/>
      <w:sz w:val="20"/>
      <w:szCs w:val="20"/>
      <w:u w:val="none"/>
    </w:rPr>
  </w:style>
  <w:style w:type="character" w:customStyle="1" w:styleId="14">
    <w:name w:val="font51"/>
    <w:basedOn w:val="12"/>
    <w:autoRedefine/>
    <w:qFormat/>
    <w:uiPriority w:val="0"/>
    <w:rPr>
      <w:rFonts w:hint="eastAsia" w:ascii="仿宋_GB2312" w:eastAsia="仿宋_GB2312" w:cs="仿宋_GB2312"/>
      <w:color w:val="000000"/>
      <w:sz w:val="20"/>
      <w:szCs w:val="20"/>
      <w:u w:val="none"/>
    </w:rPr>
  </w:style>
  <w:style w:type="character" w:customStyle="1" w:styleId="15">
    <w:name w:val="font61"/>
    <w:basedOn w:val="12"/>
    <w:autoRedefine/>
    <w:qFormat/>
    <w:uiPriority w:val="0"/>
    <w:rPr>
      <w:rFonts w:hint="eastAsia" w:ascii="仿宋_GB2312" w:eastAsia="仿宋_GB2312" w:cs="仿宋_GB2312"/>
      <w:b/>
      <w:bCs/>
      <w:color w:val="000000"/>
      <w:sz w:val="20"/>
      <w:szCs w:val="20"/>
      <w:u w:val="none"/>
    </w:rPr>
  </w:style>
  <w:style w:type="paragraph" w:customStyle="1" w:styleId="16">
    <w:name w:val="Default1"/>
    <w:autoRedefine/>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2023-11-16T09:43:00Z</dcterms:created>
  <dc:creator>lxy</dc:creator>
  <cp:lastModifiedBy>小鲸怡</cp:lastModifiedBy>
  <dcterms:modified xsi:type="dcterms:W3CDTF">2023-12-18T07:24:16Z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07694524F36E4BC1A9BCC851591D6647_13</vt:lpwstr>
  </property>
</Properties>
</file>