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宋体" w:cs="微软雅黑"/>
          <w:i w:val="0"/>
          <w:iCs w:val="0"/>
          <w:caps w:val="0"/>
          <w:color w:val="666666"/>
          <w:spacing w:val="0"/>
          <w:sz w:val="16"/>
          <w:szCs w:val="16"/>
          <w:lang w:val="en-US" w:eastAsia="zh-CN"/>
        </w:rPr>
      </w:pPr>
      <w:r>
        <w:rPr>
          <w:i w:val="0"/>
          <w:iCs w:val="0"/>
          <w:caps w:val="0"/>
          <w:color w:val="000000"/>
          <w:spacing w:val="0"/>
          <w:sz w:val="31"/>
          <w:szCs w:val="31"/>
          <w:shd w:val="clear" w:fill="FFFFFF"/>
        </w:rPr>
        <w:t>202</w:t>
      </w:r>
      <w:r>
        <w:rPr>
          <w:rFonts w:hint="eastAsia"/>
          <w:i w:val="0"/>
          <w:iCs w:val="0"/>
          <w:caps w:val="0"/>
          <w:color w:val="000000"/>
          <w:spacing w:val="0"/>
          <w:sz w:val="31"/>
          <w:szCs w:val="31"/>
          <w:shd w:val="clear" w:fill="FFFFFF"/>
          <w:lang w:val="en-US" w:eastAsia="zh-CN"/>
        </w:rPr>
        <w:t>2</w:t>
      </w:r>
      <w:r>
        <w:rPr>
          <w:i w:val="0"/>
          <w:iCs w:val="0"/>
          <w:caps w:val="0"/>
          <w:color w:val="000000"/>
          <w:spacing w:val="0"/>
          <w:sz w:val="31"/>
          <w:szCs w:val="31"/>
          <w:shd w:val="clear" w:fill="FFFFFF"/>
        </w:rPr>
        <w:t>年度部门整体支出绩效评价报</w:t>
      </w:r>
      <w:r>
        <w:rPr>
          <w:rFonts w:hint="eastAsia"/>
          <w:i w:val="0"/>
          <w:iCs w:val="0"/>
          <w:caps w:val="0"/>
          <w:color w:val="000000"/>
          <w:spacing w:val="0"/>
          <w:sz w:val="31"/>
          <w:szCs w:val="31"/>
          <w:shd w:val="clear" w:fill="FFFFFF"/>
          <w:lang w:val="en-US" w:eastAsia="zh-CN"/>
        </w:rPr>
        <w:t>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left="0" w:right="0" w:firstLine="420"/>
        <w:jc w:val="both"/>
        <w:rPr>
          <w:rFonts w:hint="eastAsia" w:ascii="宋体" w:hAnsi="宋体" w:eastAsia="宋体" w:cs="宋体"/>
          <w:sz w:val="32"/>
          <w:szCs w:val="32"/>
        </w:rPr>
      </w:pPr>
      <w:r>
        <w:rPr>
          <w:rFonts w:hint="eastAsia" w:ascii="宋体" w:hAnsi="宋体" w:eastAsia="宋体" w:cs="宋体"/>
          <w:b/>
          <w:bCs/>
          <w:i w:val="0"/>
          <w:iCs w:val="0"/>
          <w:caps w:val="0"/>
          <w:color w:val="444444"/>
          <w:spacing w:val="0"/>
          <w:sz w:val="32"/>
          <w:szCs w:val="32"/>
          <w:shd w:val="clear" w:fill="FFFFFF"/>
        </w:rPr>
        <w:t>一、部门基本情况</w:t>
      </w:r>
    </w:p>
    <w:p>
      <w:pPr>
        <w:spacing w:line="480" w:lineRule="auto"/>
        <w:ind w:firstLine="643" w:firstLineChars="200"/>
        <w:jc w:val="left"/>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b/>
          <w:bCs/>
          <w:i w:val="0"/>
          <w:iCs w:val="0"/>
          <w:caps w:val="0"/>
          <w:color w:val="444444"/>
          <w:spacing w:val="0"/>
          <w:sz w:val="32"/>
          <w:szCs w:val="32"/>
          <w:shd w:val="clear" w:fill="FFFFFF"/>
          <w:lang w:val="en-US" w:eastAsia="zh-CN"/>
        </w:rPr>
        <w:t>（一）机构设置及人员情况</w:t>
      </w:r>
    </w:p>
    <w:p>
      <w:pPr>
        <w:spacing w:line="480" w:lineRule="auto"/>
        <w:ind w:firstLine="560" w:firstLineChars="200"/>
        <w:jc w:val="left"/>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编制人数12人，其中事业编制数12人；实有人数18 人，其中在职教师12人，退休6人。学校根据实际情况分别设有党支部、工会、教导处、德育处、总务处等机构。</w:t>
      </w:r>
    </w:p>
    <w:p>
      <w:pPr>
        <w:numPr>
          <w:ilvl w:val="0"/>
          <w:numId w:val="1"/>
        </w:numPr>
        <w:spacing w:line="480" w:lineRule="auto"/>
        <w:ind w:firstLine="643" w:firstLineChars="200"/>
        <w:jc w:val="left"/>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b/>
          <w:bCs/>
          <w:i w:val="0"/>
          <w:iCs w:val="0"/>
          <w:caps w:val="0"/>
          <w:color w:val="444444"/>
          <w:spacing w:val="0"/>
          <w:sz w:val="32"/>
          <w:szCs w:val="32"/>
          <w:shd w:val="clear" w:fill="FFFFFF"/>
          <w:lang w:val="en-US" w:eastAsia="zh-CN"/>
        </w:rPr>
        <w:t>主要工作职责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30"/>
        <w:jc w:val="left"/>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1、贯彻执行中央、省、市、区的教育科技工作方针、政策和法律、法规，拟定教育科技工作改革与发展战略和规划，并组织实施。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30"/>
        <w:jc w:val="left"/>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2、统筹管理学校教育科技经费；指导教育、科技基本建设；指导协调学校技术、科技装备的配置。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30"/>
        <w:jc w:val="left"/>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3、指导和监督学校内部审计工作；对学校经济活动进行审计监督。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30"/>
        <w:jc w:val="left"/>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4、负责学校教育工作，全面实施素质教育；管理全校教育招生考试工作；承担全校语言文字工作；实施教师资格制度，推进学校人事制度改革。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30"/>
        <w:jc w:val="left"/>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5、管理全校基础教育工作；指导学校开展教育改革和办学体制、学校内部管理体制改革。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30"/>
        <w:jc w:val="left"/>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6、负责全校教育科技成果、教育科技奖励、科技保密、技术市场与科技相关的知识产权保护等工作。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30"/>
        <w:jc w:val="left"/>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7、指导全校党建、宣传、统战、治安保卫工作，负责学校的维稳工作。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30"/>
        <w:jc w:val="left"/>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8、负责全校教育督导工作，管理全校教育的各项评估、验收和专项督查。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30"/>
        <w:jc w:val="left"/>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9、承办区人民政府和上级教育部门交办的其他事项。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left="0" w:right="0" w:firstLine="420"/>
        <w:jc w:val="both"/>
        <w:rPr>
          <w:rFonts w:hint="eastAsia" w:ascii="宋体" w:hAnsi="宋体" w:eastAsia="宋体" w:cs="宋体"/>
          <w:b/>
          <w:bCs/>
          <w:i w:val="0"/>
          <w:iCs w:val="0"/>
          <w:caps w:val="0"/>
          <w:color w:val="444444"/>
          <w:spacing w:val="0"/>
          <w:sz w:val="32"/>
          <w:szCs w:val="32"/>
          <w:shd w:val="clear" w:fill="FFFFFF"/>
        </w:rPr>
      </w:pPr>
      <w:r>
        <w:rPr>
          <w:rFonts w:hint="eastAsia" w:ascii="宋体" w:hAnsi="宋体" w:eastAsia="宋体" w:cs="宋体"/>
          <w:b/>
          <w:bCs/>
          <w:i w:val="0"/>
          <w:iCs w:val="0"/>
          <w:caps w:val="0"/>
          <w:color w:val="444444"/>
          <w:spacing w:val="0"/>
          <w:sz w:val="32"/>
          <w:szCs w:val="32"/>
          <w:shd w:val="clear" w:fill="FFFFFF"/>
        </w:rPr>
        <w:t>二、部门整体支出管理及使用情况</w:t>
      </w:r>
    </w:p>
    <w:p>
      <w:pPr>
        <w:spacing w:line="480" w:lineRule="auto"/>
        <w:ind w:firstLine="643" w:firstLineChars="200"/>
        <w:jc w:val="left"/>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b/>
          <w:bCs/>
          <w:i w:val="0"/>
          <w:iCs w:val="0"/>
          <w:caps w:val="0"/>
          <w:color w:val="444444"/>
          <w:spacing w:val="0"/>
          <w:sz w:val="32"/>
          <w:szCs w:val="32"/>
          <w:shd w:val="clear" w:fill="FFFFFF"/>
          <w:lang w:val="en-US" w:eastAsia="zh-CN"/>
        </w:rPr>
        <w:t>（一）预算执行情况</w:t>
      </w:r>
    </w:p>
    <w:p>
      <w:pPr>
        <w:spacing w:line="480" w:lineRule="auto"/>
        <w:ind w:firstLine="560" w:firstLineChars="200"/>
        <w:jc w:val="left"/>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2022年度收、支总计149.75万元。与上一年度相比，收、支总计各增加31.51万元，增长26.65%。主要原因是财政拨款收、支增加。</w:t>
      </w:r>
    </w:p>
    <w:p>
      <w:pPr>
        <w:spacing w:line="480" w:lineRule="auto"/>
        <w:ind w:firstLine="643" w:firstLineChars="200"/>
        <w:jc w:val="left"/>
        <w:rPr>
          <w:rFonts w:hint="eastAsia" w:ascii="宋体" w:hAnsi="宋体" w:eastAsia="宋体" w:cs="宋体"/>
          <w:b/>
          <w:bCs/>
          <w:i w:val="0"/>
          <w:iCs w:val="0"/>
          <w:caps w:val="0"/>
          <w:color w:val="444444"/>
          <w:spacing w:val="0"/>
          <w:sz w:val="32"/>
          <w:szCs w:val="32"/>
          <w:highlight w:val="none"/>
          <w:shd w:val="clear" w:fill="FFFFFF"/>
          <w:lang w:val="en-US" w:eastAsia="zh-CN"/>
        </w:rPr>
      </w:pPr>
      <w:r>
        <w:rPr>
          <w:rFonts w:hint="eastAsia" w:ascii="宋体" w:hAnsi="宋体" w:eastAsia="宋体" w:cs="宋体"/>
          <w:b/>
          <w:bCs/>
          <w:i w:val="0"/>
          <w:iCs w:val="0"/>
          <w:caps w:val="0"/>
          <w:color w:val="444444"/>
          <w:spacing w:val="0"/>
          <w:sz w:val="32"/>
          <w:szCs w:val="32"/>
          <w:highlight w:val="none"/>
          <w:shd w:val="clear" w:fill="FFFFFF"/>
          <w:lang w:val="en-US" w:eastAsia="zh-CN"/>
        </w:rPr>
        <w:t>（二）基本支出情况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firstLine="420"/>
        <w:jc w:val="both"/>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2022年度财政拨款基本支出137.44万元，其中：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firstLine="420"/>
        <w:jc w:val="both"/>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人员经费125.11万元，占基本支出的91.03%，主要包括：基本工资、奖金、绩效工资、机关事业单位基本养老保险缴费、职业年金缴费、职工基本医疗保险缴费、其他社会保障缴费、住房公积金、其他工资福利支出、生活补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firstLine="420"/>
        <w:jc w:val="both"/>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公用经费12.33万元，占基本支出的8.97%，主要包括：办公设备购置、办公费、咨询费、维修（护）费、劳务费。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firstLine="420"/>
        <w:jc w:val="both"/>
        <w:rPr>
          <w:rFonts w:hint="eastAsia" w:ascii="宋体" w:hAnsi="宋体" w:eastAsia="宋体" w:cs="宋体"/>
          <w:i w:val="0"/>
          <w:iCs w:val="0"/>
          <w:caps w:val="0"/>
          <w:color w:val="444444"/>
          <w:spacing w:val="0"/>
          <w:kern w:val="2"/>
          <w:sz w:val="28"/>
          <w:szCs w:val="28"/>
          <w:highlight w:val="none"/>
          <w:shd w:val="clear" w:fill="FFFFFF"/>
          <w:lang w:val="en-US" w:eastAsia="zh-CN" w:bidi="ar-SA"/>
        </w:rPr>
      </w:pPr>
    </w:p>
    <w:p>
      <w:pPr>
        <w:spacing w:line="480" w:lineRule="auto"/>
        <w:ind w:firstLine="560" w:firstLineChars="200"/>
        <w:jc w:val="left"/>
        <w:rPr>
          <w:rFonts w:hint="eastAsia" w:ascii="宋体" w:hAnsi="宋体" w:eastAsia="宋体" w:cs="宋体"/>
          <w:i w:val="0"/>
          <w:iCs w:val="0"/>
          <w:caps w:val="0"/>
          <w:color w:val="444444"/>
          <w:spacing w:val="0"/>
          <w:kern w:val="2"/>
          <w:sz w:val="28"/>
          <w:szCs w:val="28"/>
          <w:highlight w:val="none"/>
          <w:shd w:val="clear" w:fill="FFFFFF"/>
          <w:lang w:val="en-US" w:eastAsia="zh-CN" w:bidi="ar-SA"/>
        </w:rPr>
      </w:pPr>
    </w:p>
    <w:p>
      <w:pPr>
        <w:spacing w:line="480" w:lineRule="auto"/>
        <w:ind w:firstLine="643" w:firstLineChars="200"/>
        <w:jc w:val="left"/>
        <w:rPr>
          <w:rFonts w:hint="eastAsia" w:ascii="宋体" w:hAnsi="宋体" w:eastAsia="宋体" w:cs="宋体"/>
          <w:b/>
          <w:bCs/>
          <w:i w:val="0"/>
          <w:iCs w:val="0"/>
          <w:caps w:val="0"/>
          <w:color w:val="444444"/>
          <w:spacing w:val="0"/>
          <w:sz w:val="32"/>
          <w:szCs w:val="32"/>
          <w:highlight w:val="none"/>
          <w:shd w:val="clear" w:fill="FFFFFF"/>
          <w:lang w:val="en-US" w:eastAsia="zh-CN"/>
        </w:rPr>
      </w:pPr>
      <w:r>
        <w:rPr>
          <w:rFonts w:hint="eastAsia" w:ascii="宋体" w:hAnsi="宋体" w:eastAsia="宋体" w:cs="宋体"/>
          <w:b/>
          <w:bCs/>
          <w:i w:val="0"/>
          <w:iCs w:val="0"/>
          <w:caps w:val="0"/>
          <w:color w:val="444444"/>
          <w:spacing w:val="0"/>
          <w:sz w:val="32"/>
          <w:szCs w:val="32"/>
          <w:highlight w:val="none"/>
          <w:shd w:val="clear" w:fill="FFFFFF"/>
          <w:lang w:val="en-US" w:eastAsia="zh-CN"/>
        </w:rPr>
        <w:t>（三）项目支出情况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firstLine="420"/>
        <w:jc w:val="both"/>
        <w:rPr>
          <w:rFonts w:hint="default"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2022年度财政拨款支出年初预算数为113.12万元，支出决算数为137.44万元，主要为教育支出增加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left="0" w:right="0" w:firstLine="420"/>
        <w:jc w:val="both"/>
        <w:rPr>
          <w:rFonts w:hint="eastAsia" w:ascii="宋体" w:hAnsi="宋体" w:eastAsia="宋体" w:cs="宋体"/>
          <w:b/>
          <w:bCs/>
          <w:i w:val="0"/>
          <w:iCs w:val="0"/>
          <w:caps w:val="0"/>
          <w:color w:val="444444"/>
          <w:spacing w:val="0"/>
          <w:sz w:val="32"/>
          <w:szCs w:val="32"/>
          <w:highlight w:val="none"/>
          <w:shd w:val="clear" w:fill="FFFFFF"/>
        </w:rPr>
      </w:pPr>
      <w:r>
        <w:rPr>
          <w:rFonts w:hint="eastAsia" w:ascii="宋体" w:hAnsi="宋体" w:eastAsia="宋体" w:cs="宋体"/>
          <w:b/>
          <w:bCs/>
          <w:i w:val="0"/>
          <w:iCs w:val="0"/>
          <w:caps w:val="0"/>
          <w:color w:val="444444"/>
          <w:spacing w:val="0"/>
          <w:sz w:val="32"/>
          <w:szCs w:val="32"/>
          <w:highlight w:val="none"/>
          <w:shd w:val="clear" w:fill="FFFFFF"/>
          <w:lang w:val="en-US" w:eastAsia="zh-CN"/>
        </w:rPr>
        <w:t>三</w:t>
      </w:r>
      <w:r>
        <w:rPr>
          <w:rFonts w:hint="eastAsia" w:ascii="宋体" w:hAnsi="宋体" w:eastAsia="宋体" w:cs="宋体"/>
          <w:b/>
          <w:bCs/>
          <w:i w:val="0"/>
          <w:iCs w:val="0"/>
          <w:caps w:val="0"/>
          <w:color w:val="444444"/>
          <w:spacing w:val="0"/>
          <w:sz w:val="32"/>
          <w:szCs w:val="32"/>
          <w:highlight w:val="none"/>
          <w:shd w:val="clear" w:fill="FFFFFF"/>
        </w:rPr>
        <w:t>、部门整体支出绩效情况</w:t>
      </w:r>
    </w:p>
    <w:p>
      <w:pPr>
        <w:spacing w:line="480" w:lineRule="auto"/>
        <w:ind w:firstLine="643" w:firstLineChars="200"/>
        <w:jc w:val="left"/>
        <w:rPr>
          <w:rFonts w:hint="eastAsia" w:ascii="宋体" w:hAnsi="宋体" w:eastAsia="宋体" w:cs="宋体"/>
          <w:b/>
          <w:bCs/>
          <w:i w:val="0"/>
          <w:iCs w:val="0"/>
          <w:caps w:val="0"/>
          <w:color w:val="444444"/>
          <w:spacing w:val="0"/>
          <w:sz w:val="32"/>
          <w:szCs w:val="32"/>
          <w:highlight w:val="none"/>
          <w:shd w:val="clear" w:fill="FFFFFF"/>
          <w:lang w:val="en-US" w:eastAsia="zh-CN"/>
        </w:rPr>
      </w:pPr>
      <w:r>
        <w:rPr>
          <w:rFonts w:hint="eastAsia" w:ascii="宋体" w:hAnsi="宋体" w:eastAsia="宋体" w:cs="宋体"/>
          <w:b/>
          <w:bCs/>
          <w:i w:val="0"/>
          <w:iCs w:val="0"/>
          <w:caps w:val="0"/>
          <w:color w:val="444444"/>
          <w:spacing w:val="0"/>
          <w:sz w:val="32"/>
          <w:szCs w:val="32"/>
          <w:highlight w:val="none"/>
          <w:shd w:val="clear" w:fill="FFFFFF"/>
          <w:lang w:val="en-US" w:eastAsia="zh-CN"/>
        </w:rPr>
        <w:t>（一）主要绩效指标完成情况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firstLine="420"/>
        <w:jc w:val="both"/>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b/>
          <w:bCs/>
          <w:i w:val="0"/>
          <w:iCs w:val="0"/>
          <w:caps w:val="0"/>
          <w:color w:val="444444"/>
          <w:spacing w:val="0"/>
          <w:sz w:val="32"/>
          <w:szCs w:val="32"/>
          <w:highlight w:val="none"/>
          <w:shd w:val="clear" w:fill="FFFFFF"/>
        </w:rPr>
        <w:t>1、预算执行情况。</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⑴2022年度财政拨款基本支出137.44万元，其中：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firstLine="420"/>
        <w:jc w:val="both"/>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人员经费125.11万元，占基本支出的91.03%，主要包括：基本工资、奖金、绩效工资、机关事业单位基本养老保险缴费、职业年金缴费、职工基本医疗保险缴费、其他社会保障缴费、住房公积金、其他工资福利支出、生活补助。⑵公用经费预算0万元，实际支出0万元，公用经费控制率为100%；、（3）“三公经费”年初预算安排0万元，实际支出0万元，“三公经费”控制率为100%。（4）政府采购年初预算0万元，实际政府采购金额11.65万元，政府采购执行率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firstLine="420"/>
        <w:jc w:val="both"/>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b/>
          <w:bCs/>
          <w:i w:val="0"/>
          <w:iCs w:val="0"/>
          <w:caps w:val="0"/>
          <w:color w:val="444444"/>
          <w:spacing w:val="0"/>
          <w:sz w:val="32"/>
          <w:szCs w:val="32"/>
          <w:highlight w:val="none"/>
          <w:shd w:val="clear" w:fill="FFFFFF"/>
        </w:rPr>
        <w:t>2、预决算信息公开情况。</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北塔区利江乔梁希望小学单位及时在区政</w:t>
      </w:r>
      <w:r>
        <w:rPr>
          <w:rFonts w:hint="eastAsia" w:ascii="宋体" w:hAnsi="宋体" w:eastAsia="宋体" w:cs="宋体"/>
          <w:i w:val="0"/>
          <w:iCs w:val="0"/>
          <w:caps w:val="0"/>
          <w:color w:val="444444"/>
          <w:spacing w:val="0"/>
          <w:kern w:val="2"/>
          <w:sz w:val="28"/>
          <w:szCs w:val="28"/>
          <w:shd w:val="clear" w:fill="FFFFFF"/>
          <w:lang w:val="en-US" w:eastAsia="zh-CN" w:bidi="ar-SA"/>
        </w:rPr>
        <w:t>府统一平台公开了部门预算、决算和绩效目标、绩效自评报告、“三公经费”等信息，接受群众和社会监督。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firstLine="420"/>
        <w:jc w:val="both"/>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b/>
          <w:bCs/>
          <w:i w:val="0"/>
          <w:iCs w:val="0"/>
          <w:caps w:val="0"/>
          <w:color w:val="444444"/>
          <w:spacing w:val="0"/>
          <w:sz w:val="32"/>
          <w:szCs w:val="32"/>
          <w:shd w:val="clear" w:fill="FFFFFF"/>
          <w:lang w:val="en-US" w:eastAsia="zh-CN"/>
        </w:rPr>
        <w:t>3</w:t>
      </w:r>
      <w:r>
        <w:rPr>
          <w:rFonts w:hint="eastAsia" w:ascii="宋体" w:hAnsi="宋体" w:eastAsia="宋体" w:cs="宋体"/>
          <w:b/>
          <w:bCs/>
          <w:i w:val="0"/>
          <w:iCs w:val="0"/>
          <w:caps w:val="0"/>
          <w:color w:val="444444"/>
          <w:spacing w:val="0"/>
          <w:sz w:val="32"/>
          <w:szCs w:val="32"/>
          <w:shd w:val="clear" w:fill="FFFFFF"/>
        </w:rPr>
        <w:t>、资产管理情况。</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截至2022年12月31日，邵阳市北塔区利江乔梁希望小学共有车辆0辆（台），其中：副部（省）级及以上领导用车0辆、主要领导干部用车0辆、机要通信用车0辆、应急保障用车0辆、执法执勤用车0辆、特种专业技术用车0辆、其他用车0辆；单价100万元（含）以上专用设备0台（套）。单位为加强资产管理，内部制定了资产管理制度，</w:t>
      </w:r>
      <w:r>
        <w:rPr>
          <w:rFonts w:hint="eastAsia" w:ascii="宋体" w:hAnsi="宋体" w:eastAsia="宋体" w:cs="宋体"/>
          <w:i w:val="0"/>
          <w:iCs w:val="0"/>
          <w:caps w:val="0"/>
          <w:color w:val="444444"/>
          <w:spacing w:val="0"/>
          <w:kern w:val="2"/>
          <w:sz w:val="28"/>
          <w:szCs w:val="28"/>
          <w:shd w:val="clear" w:fill="FFFFFF"/>
          <w:lang w:val="en-US" w:eastAsia="zh-CN" w:bidi="ar-SA"/>
        </w:rPr>
        <w:t>对各类资产的购置、保管、使用、报废、处置等方面都作出了明确的规定，制度要求所有办公设备（含办公用品）的添置，先由各委室提出申请，经业务分管领导审核同意后，再由办公室及时采购并建立固定资产实物登记台账，工作人员异动，必须及时办理固定资产移交手续，不得侵占和擅自带走，各委室不得擅自购买任何办公用品和设备，否则不予报销。</w:t>
      </w:r>
    </w:p>
    <w:p>
      <w:pPr>
        <w:spacing w:line="720" w:lineRule="auto"/>
        <w:ind w:firstLine="643" w:firstLineChars="200"/>
        <w:jc w:val="left"/>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b/>
          <w:bCs/>
          <w:i w:val="0"/>
          <w:iCs w:val="0"/>
          <w:caps w:val="0"/>
          <w:color w:val="444444"/>
          <w:spacing w:val="0"/>
          <w:sz w:val="32"/>
          <w:szCs w:val="32"/>
          <w:shd w:val="clear" w:fill="FFFFFF"/>
          <w:lang w:val="en-US" w:eastAsia="zh-CN"/>
        </w:rPr>
        <w:t>（二）职责覆行和主要绩效情况</w:t>
      </w:r>
    </w:p>
    <w:p>
      <w:pPr>
        <w:keepNext w:val="0"/>
        <w:keepLines w:val="0"/>
        <w:pageBreakBefore w:val="0"/>
        <w:widowControl w:val="0"/>
        <w:kinsoku/>
        <w:wordWrap/>
        <w:overflowPunct/>
        <w:topLinePunct w:val="0"/>
        <w:autoSpaceDE/>
        <w:autoSpaceDN/>
        <w:bidi w:val="0"/>
        <w:adjustRightInd/>
        <w:snapToGrid w:val="0"/>
        <w:spacing w:line="480" w:lineRule="auto"/>
        <w:ind w:right="-99" w:rightChars="-47" w:firstLine="560" w:firstLineChars="200"/>
        <w:textAlignment w:val="auto"/>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2022年我校积极履职，较好地完成了年度工作目标</w:t>
      </w:r>
    </w:p>
    <w:p>
      <w:pPr>
        <w:pStyle w:val="3"/>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left="0" w:right="0" w:firstLine="420"/>
        <w:jc w:val="both"/>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b/>
          <w:bCs/>
          <w:i w:val="0"/>
          <w:iCs w:val="0"/>
          <w:caps w:val="0"/>
          <w:color w:val="444444"/>
          <w:spacing w:val="0"/>
          <w:sz w:val="32"/>
          <w:szCs w:val="32"/>
          <w:shd w:val="clear" w:fill="FFFFFF"/>
          <w:lang w:val="en-US" w:eastAsia="zh-CN"/>
        </w:rPr>
        <w:t>存在的问题及原因分析</w:t>
      </w:r>
    </w:p>
    <w:p>
      <w:pPr>
        <w:spacing w:line="440" w:lineRule="exact"/>
        <w:ind w:firstLine="560" w:firstLineChars="200"/>
        <w:jc w:val="left"/>
        <w:rPr>
          <w:rFonts w:hint="eastAsia" w:ascii="宋体" w:hAnsi="宋体" w:eastAsia="宋体" w:cs="宋体"/>
          <w:b/>
          <w:bCs/>
          <w:i w:val="0"/>
          <w:iCs w:val="0"/>
          <w:caps w:val="0"/>
          <w:color w:val="444444"/>
          <w:spacing w:val="0"/>
          <w:sz w:val="32"/>
          <w:szCs w:val="32"/>
          <w:shd w:val="clear" w:fill="FFFFFF"/>
          <w:lang w:val="en-US" w:eastAsia="zh-CN"/>
        </w:rPr>
      </w:pPr>
      <w:r>
        <w:rPr>
          <w:rFonts w:hint="eastAsia" w:asciiTheme="minorEastAsia" w:hAnsiTheme="minorEastAsia"/>
          <w:color w:val="212529"/>
          <w:sz w:val="28"/>
          <w:szCs w:val="28"/>
          <w:shd w:val="clear" w:color="auto" w:fill="FFFFFF"/>
        </w:rPr>
        <w:t>2022年</w:t>
      </w:r>
      <w:r>
        <w:rPr>
          <w:rFonts w:hint="eastAsia" w:asciiTheme="minorEastAsia" w:hAnsiTheme="minorEastAsia"/>
          <w:color w:val="212529"/>
          <w:sz w:val="28"/>
          <w:szCs w:val="28"/>
          <w:shd w:val="clear" w:color="auto" w:fill="FFFFFF"/>
          <w:lang w:val="en-US" w:eastAsia="zh-CN"/>
        </w:rPr>
        <w:t>处理事情不及时</w:t>
      </w:r>
      <w:r>
        <w:rPr>
          <w:rFonts w:hint="eastAsia" w:asciiTheme="minorEastAsia" w:hAnsiTheme="minorEastAsia"/>
          <w:color w:val="212529"/>
          <w:sz w:val="28"/>
          <w:szCs w:val="28"/>
          <w:shd w:val="clear" w:color="auto" w:fill="FFFFFF"/>
        </w:rPr>
        <w:t>，具体原因是会议较多，业务繁忙。应对措施：今后将积极统筹安排时间。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left="0" w:right="0" w:firstLine="420"/>
        <w:jc w:val="both"/>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b/>
          <w:bCs/>
          <w:i w:val="0"/>
          <w:iCs w:val="0"/>
          <w:caps w:val="0"/>
          <w:color w:val="444444"/>
          <w:spacing w:val="0"/>
          <w:sz w:val="32"/>
          <w:szCs w:val="32"/>
          <w:shd w:val="clear" w:fill="FFFFFF"/>
          <w:lang w:val="en-US" w:eastAsia="zh-CN"/>
        </w:rPr>
        <w:t>五、改进措施及有关建议</w:t>
      </w:r>
    </w:p>
    <w:p>
      <w:pPr>
        <w:pStyle w:val="6"/>
        <w:spacing w:line="440" w:lineRule="exact"/>
        <w:ind w:firstLine="560" w:firstLineChars="200"/>
        <w:rPr>
          <w:rFonts w:hint="eastAsia" w:cs="宋体" w:asciiTheme="minorEastAsia" w:hAnsiTheme="minorEastAsia" w:eastAsiaTheme="minorEastAsia"/>
          <w:color w:val="444444"/>
          <w:kern w:val="2"/>
          <w:sz w:val="28"/>
          <w:szCs w:val="28"/>
          <w:shd w:val="clear" w:color="auto" w:fill="FFFFFF"/>
        </w:rPr>
      </w:pPr>
      <w:r>
        <w:rPr>
          <w:rFonts w:hint="eastAsia" w:cs="宋体" w:asciiTheme="minorEastAsia" w:hAnsiTheme="minorEastAsia" w:eastAsiaTheme="minorEastAsia"/>
          <w:color w:val="444444"/>
          <w:kern w:val="2"/>
          <w:sz w:val="28"/>
          <w:szCs w:val="28"/>
          <w:shd w:val="clear" w:color="auto" w:fill="FFFFFF"/>
        </w:rPr>
        <w:t>进一步提高绩效管理水平。加强预算执行的准确性，开展好支出绩效管理工作，运用好绩效评价结果，不断提升绩效管理水平。</w:t>
      </w:r>
    </w:p>
    <w:p>
      <w:pPr>
        <w:spacing w:line="600" w:lineRule="exact"/>
        <w:rPr>
          <w:rFonts w:ascii="宋体" w:hAnsi="宋体" w:cs="宋体"/>
          <w:kern w:val="0"/>
          <w:sz w:val="32"/>
          <w:szCs w:val="32"/>
        </w:rPr>
      </w:pPr>
      <w:r>
        <w:rPr>
          <w:rFonts w:hint="eastAsia" w:ascii="黑体" w:hAnsi="宋体" w:eastAsia="黑体" w:cs="宋体"/>
          <w:kern w:val="0"/>
          <w:sz w:val="32"/>
          <w:szCs w:val="32"/>
        </w:rPr>
        <w:t>附件1</w:t>
      </w:r>
      <w:r>
        <w:rPr>
          <w:rFonts w:ascii="黑体" w:hAnsi="宋体" w:eastAsia="黑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p>
    <w:p>
      <w:pPr>
        <w:widowControl/>
        <w:ind w:left="93"/>
        <w:jc w:val="center"/>
        <w:rPr>
          <w:rFonts w:hint="eastAsia" w:ascii="宋体" w:hAnsi="宋体" w:cs="宋体"/>
          <w:bCs/>
          <w:kern w:val="0"/>
          <w:sz w:val="32"/>
          <w:szCs w:val="32"/>
        </w:rPr>
      </w:pPr>
      <w:r>
        <w:rPr>
          <w:rFonts w:hint="eastAsia" w:ascii="宋体" w:hAnsi="宋体" w:cs="宋体"/>
          <w:bCs/>
          <w:kern w:val="0"/>
          <w:sz w:val="32"/>
          <w:szCs w:val="32"/>
        </w:rPr>
        <w:t>部门整体支出绩效评价指标评分表</w:t>
      </w:r>
    </w:p>
    <w:tbl>
      <w:tblPr>
        <w:tblStyle w:val="4"/>
        <w:tblW w:w="100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1"/>
        <w:gridCol w:w="429"/>
        <w:gridCol w:w="567"/>
        <w:gridCol w:w="851"/>
        <w:gridCol w:w="567"/>
        <w:gridCol w:w="3118"/>
        <w:gridCol w:w="3472"/>
        <w:gridCol w:w="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blHeader/>
          <w:jc w:val="center"/>
        </w:trPr>
        <w:tc>
          <w:tcPr>
            <w:tcW w:w="411" w:type="dxa"/>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一级指标</w:t>
            </w:r>
          </w:p>
        </w:tc>
        <w:tc>
          <w:tcPr>
            <w:tcW w:w="429" w:type="dxa"/>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二级指标</w:t>
            </w:r>
          </w:p>
        </w:tc>
        <w:tc>
          <w:tcPr>
            <w:tcW w:w="567" w:type="dxa"/>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分值</w:t>
            </w:r>
          </w:p>
        </w:tc>
        <w:tc>
          <w:tcPr>
            <w:tcW w:w="851" w:type="dxa"/>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三级   指标</w:t>
            </w:r>
          </w:p>
        </w:tc>
        <w:tc>
          <w:tcPr>
            <w:tcW w:w="567" w:type="dxa"/>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分值</w:t>
            </w:r>
          </w:p>
        </w:tc>
        <w:tc>
          <w:tcPr>
            <w:tcW w:w="3118" w:type="dxa"/>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评价标准</w:t>
            </w:r>
          </w:p>
        </w:tc>
        <w:tc>
          <w:tcPr>
            <w:tcW w:w="3472" w:type="dxa"/>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备注</w:t>
            </w:r>
          </w:p>
        </w:tc>
        <w:tc>
          <w:tcPr>
            <w:tcW w:w="617" w:type="dxa"/>
            <w:vAlign w:val="center"/>
          </w:tcPr>
          <w:p>
            <w:pPr>
              <w:widowControl/>
              <w:jc w:val="center"/>
              <w:rPr>
                <w:rFonts w:hint="eastAsia" w:ascii="宋体" w:hAnsi="宋体" w:eastAsia="宋体" w:cs="宋体"/>
                <w:b/>
                <w:bCs/>
                <w:kern w:val="0"/>
                <w:sz w:val="24"/>
                <w:szCs w:val="24"/>
              </w:rPr>
            </w:pPr>
            <w:r>
              <w:rPr>
                <w:rFonts w:hint="eastAsia" w:ascii="宋体" w:hAnsi="宋体" w:cs="宋体"/>
                <w:b/>
                <w:bCs/>
                <w:kern w:val="0"/>
                <w:sz w:val="20"/>
                <w:szCs w:val="20"/>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2" w:hRule="atLeast"/>
          <w:jc w:val="center"/>
        </w:trPr>
        <w:tc>
          <w:tcPr>
            <w:tcW w:w="411" w:type="dxa"/>
            <w:vMerge w:val="restart"/>
            <w:textDirection w:val="tbRlV"/>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投    入</w:t>
            </w:r>
          </w:p>
        </w:tc>
        <w:tc>
          <w:tcPr>
            <w:tcW w:w="429" w:type="dxa"/>
            <w:vMerge w:val="restart"/>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预算配置</w:t>
            </w:r>
          </w:p>
        </w:tc>
        <w:tc>
          <w:tcPr>
            <w:tcW w:w="567" w:type="dxa"/>
            <w:vMerge w:val="restart"/>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18</w:t>
            </w: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变动率</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0,计3分；“三公经费”＞0，每超过一个百分点扣0.3分，扣完为止。</w:t>
            </w:r>
          </w:p>
        </w:tc>
        <w:tc>
          <w:tcPr>
            <w:tcW w:w="3472"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“三公经费”变动率=[（本年度“三公经费”总额-上年度“三公经费”总额）/上年度“三公经费”总额]×100%。</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“三公经费”：指政府部门人员因公出国（境）经费、公务车购置及运行费、公务招待费产生的消费。</w:t>
            </w:r>
          </w:p>
        </w:tc>
        <w:tc>
          <w:tcPr>
            <w:tcW w:w="617" w:type="dxa"/>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0" w:hRule="atLeast"/>
          <w:jc w:val="center"/>
        </w:trPr>
        <w:tc>
          <w:tcPr>
            <w:tcW w:w="411" w:type="dxa"/>
            <w:vMerge w:val="continue"/>
            <w:vAlign w:val="center"/>
          </w:tcPr>
          <w:p>
            <w:pPr>
              <w:widowControl/>
              <w:jc w:val="center"/>
              <w:rPr>
                <w:rFonts w:hint="eastAsia" w:ascii="仿宋_GB2312" w:hAnsi="宋体" w:eastAsia="仿宋_GB2312" w:cs="宋体"/>
                <w:kern w:val="0"/>
                <w:sz w:val="20"/>
                <w:szCs w:val="20"/>
              </w:rPr>
            </w:pPr>
          </w:p>
        </w:tc>
        <w:tc>
          <w:tcPr>
            <w:tcW w:w="429" w:type="dxa"/>
            <w:vMerge w:val="continue"/>
            <w:vAlign w:val="center"/>
          </w:tcPr>
          <w:p>
            <w:pPr>
              <w:widowControl/>
              <w:jc w:val="center"/>
              <w:rPr>
                <w:rFonts w:hint="eastAsia" w:ascii="仿宋_GB2312" w:hAnsi="宋体" w:eastAsia="仿宋_GB2312" w:cs="宋体"/>
                <w:kern w:val="0"/>
                <w:sz w:val="20"/>
                <w:szCs w:val="20"/>
              </w:rPr>
            </w:pPr>
          </w:p>
        </w:tc>
        <w:tc>
          <w:tcPr>
            <w:tcW w:w="567" w:type="dxa"/>
            <w:vMerge w:val="continue"/>
            <w:vAlign w:val="center"/>
          </w:tcPr>
          <w:p>
            <w:pPr>
              <w:widowControl/>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   管理</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①招待费用明确招待标准和招待人数,1分;②车辆维护、燃油使用政府定点，1分。③</w:t>
            </w:r>
            <w:r>
              <w:rPr>
                <w:rFonts w:hint="eastAsia" w:ascii="仿宋_GB2312" w:hAnsi="仿宋" w:eastAsia="仿宋_GB2312" w:cs="仿宋"/>
                <w:kern w:val="0"/>
                <w:sz w:val="20"/>
                <w:szCs w:val="20"/>
              </w:rPr>
              <w:t>制定“三公经费”管理办法，1分，每少一项扣1分，扣完为止。</w:t>
            </w:r>
          </w:p>
        </w:tc>
        <w:tc>
          <w:tcPr>
            <w:tcW w:w="3472" w:type="dxa"/>
            <w:vAlign w:val="center"/>
          </w:tcPr>
          <w:p>
            <w:pPr>
              <w:widowControl/>
              <w:jc w:val="left"/>
              <w:rPr>
                <w:rFonts w:hint="eastAsia" w:ascii="仿宋_GB2312" w:hAnsi="宋体" w:eastAsia="仿宋_GB2312" w:cs="宋体"/>
                <w:kern w:val="0"/>
                <w:sz w:val="20"/>
                <w:szCs w:val="20"/>
              </w:rPr>
            </w:pP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411" w:type="dxa"/>
            <w:vMerge w:val="continue"/>
            <w:vAlign w:val="center"/>
          </w:tcPr>
          <w:p>
            <w:pPr>
              <w:widowControl/>
              <w:jc w:val="center"/>
              <w:rPr>
                <w:rFonts w:hint="eastAsia" w:ascii="仿宋_GB2312" w:hAnsi="宋体" w:eastAsia="仿宋_GB2312" w:cs="宋体"/>
                <w:kern w:val="0"/>
                <w:sz w:val="20"/>
                <w:szCs w:val="20"/>
              </w:rPr>
            </w:pPr>
          </w:p>
        </w:tc>
        <w:tc>
          <w:tcPr>
            <w:tcW w:w="429" w:type="dxa"/>
            <w:vMerge w:val="continue"/>
            <w:vAlign w:val="center"/>
          </w:tcPr>
          <w:p>
            <w:pPr>
              <w:widowControl/>
              <w:jc w:val="center"/>
              <w:rPr>
                <w:rFonts w:hint="eastAsia" w:ascii="仿宋_GB2312" w:hAnsi="宋体" w:eastAsia="仿宋_GB2312" w:cs="宋体"/>
                <w:kern w:val="0"/>
                <w:sz w:val="20"/>
                <w:szCs w:val="20"/>
              </w:rPr>
            </w:pPr>
          </w:p>
        </w:tc>
        <w:tc>
          <w:tcPr>
            <w:tcW w:w="567" w:type="dxa"/>
            <w:vMerge w:val="continue"/>
            <w:vAlign w:val="center"/>
          </w:tcPr>
          <w:p>
            <w:pPr>
              <w:widowControl/>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招待费变动率</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“公务招待费”变动率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0,计2分；“公务招待费变动率”＞0，每超过一个百分点扣0.2分，扣完为止。</w:t>
            </w:r>
          </w:p>
        </w:tc>
        <w:tc>
          <w:tcPr>
            <w:tcW w:w="3472"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公务招待费变动率=[（本年度“公务招待费”总额-上年度“公务招待费”总额）/上年度“公务招待费”总额]×100%。</w:t>
            </w: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0" w:hRule="atLeast"/>
          <w:jc w:val="center"/>
        </w:trPr>
        <w:tc>
          <w:tcPr>
            <w:tcW w:w="411" w:type="dxa"/>
            <w:vMerge w:val="continue"/>
            <w:vAlign w:val="center"/>
          </w:tcPr>
          <w:p>
            <w:pPr>
              <w:widowControl/>
              <w:jc w:val="center"/>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lang w:eastAsia="zh-CN"/>
              </w:rPr>
              <w:t>2</w:t>
            </w:r>
          </w:p>
        </w:tc>
        <w:tc>
          <w:tcPr>
            <w:tcW w:w="429" w:type="dxa"/>
            <w:vMerge w:val="continue"/>
            <w:vAlign w:val="center"/>
          </w:tcPr>
          <w:p>
            <w:pPr>
              <w:widowControl/>
              <w:jc w:val="center"/>
              <w:rPr>
                <w:rFonts w:hint="eastAsia" w:ascii="仿宋_GB2312" w:hAnsi="宋体" w:eastAsia="仿宋_GB2312" w:cs="宋体"/>
                <w:kern w:val="0"/>
                <w:sz w:val="20"/>
                <w:szCs w:val="20"/>
              </w:rPr>
            </w:pPr>
          </w:p>
        </w:tc>
        <w:tc>
          <w:tcPr>
            <w:tcW w:w="567" w:type="dxa"/>
            <w:vMerge w:val="continue"/>
            <w:vAlign w:val="center"/>
          </w:tcPr>
          <w:p>
            <w:pPr>
              <w:widowControl/>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运行费</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变动率</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“公务用车购置运行费”变动率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0,计2分；“公务用车购置运行费变动率”＞0，每超过一个百分点扣0.2分，扣完为止。</w:t>
            </w:r>
          </w:p>
        </w:tc>
        <w:tc>
          <w:tcPr>
            <w:tcW w:w="3472"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公务用车购置运行费变动率=[（本年度“公务用车购置运行费”总额-上年度“公务用车购置运行费”总额）/上年度“公务用车购置运行费”总额]×100%。</w:t>
            </w: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jc w:val="center"/>
        </w:trPr>
        <w:tc>
          <w:tcPr>
            <w:tcW w:w="411" w:type="dxa"/>
            <w:vMerge w:val="continue"/>
            <w:vAlign w:val="center"/>
          </w:tcPr>
          <w:p>
            <w:pPr>
              <w:widowControl/>
              <w:jc w:val="center"/>
              <w:rPr>
                <w:rFonts w:hint="eastAsia" w:ascii="仿宋_GB2312" w:hAnsi="宋体" w:eastAsia="仿宋_GB2312" w:cs="宋体"/>
                <w:kern w:val="0"/>
                <w:sz w:val="20"/>
                <w:szCs w:val="20"/>
              </w:rPr>
            </w:pPr>
          </w:p>
        </w:tc>
        <w:tc>
          <w:tcPr>
            <w:tcW w:w="429" w:type="dxa"/>
            <w:vMerge w:val="continue"/>
            <w:vAlign w:val="center"/>
          </w:tcPr>
          <w:p>
            <w:pPr>
              <w:widowControl/>
              <w:jc w:val="center"/>
              <w:rPr>
                <w:rFonts w:hint="eastAsia" w:ascii="仿宋_GB2312" w:hAnsi="宋体" w:eastAsia="仿宋_GB2312" w:cs="宋体"/>
                <w:kern w:val="0"/>
                <w:sz w:val="20"/>
                <w:szCs w:val="20"/>
              </w:rPr>
            </w:pPr>
          </w:p>
        </w:tc>
        <w:tc>
          <w:tcPr>
            <w:tcW w:w="567" w:type="dxa"/>
            <w:vMerge w:val="continue"/>
            <w:vAlign w:val="center"/>
          </w:tcPr>
          <w:p>
            <w:pPr>
              <w:widowControl/>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 和服务支出 变动率</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“商品和服务支出”变动率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0,计2分；“商品和服务支出”变动率＞0，每超过一个百分点扣0.2分，扣完为止。</w:t>
            </w:r>
          </w:p>
        </w:tc>
        <w:tc>
          <w:tcPr>
            <w:tcW w:w="3472"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“商品和服务支出”变动率=[（本年度“商品和服务支出”总额-上年度“商品和服务支出”总额）/上年度“商品和服务支出”总额]×100%。</w:t>
            </w: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0" w:hRule="atLeast"/>
          <w:jc w:val="center"/>
        </w:trPr>
        <w:tc>
          <w:tcPr>
            <w:tcW w:w="411" w:type="dxa"/>
            <w:vMerge w:val="continue"/>
            <w:vAlign w:val="center"/>
          </w:tcPr>
          <w:p>
            <w:pPr>
              <w:widowControl/>
              <w:jc w:val="center"/>
              <w:rPr>
                <w:rFonts w:hint="eastAsia" w:ascii="仿宋_GB2312" w:hAnsi="宋体" w:eastAsia="仿宋_GB2312" w:cs="宋体"/>
                <w:kern w:val="0"/>
                <w:sz w:val="20"/>
                <w:szCs w:val="20"/>
              </w:rPr>
            </w:pPr>
          </w:p>
        </w:tc>
        <w:tc>
          <w:tcPr>
            <w:tcW w:w="429" w:type="dxa"/>
            <w:vMerge w:val="continue"/>
            <w:vAlign w:val="center"/>
          </w:tcPr>
          <w:p>
            <w:pPr>
              <w:widowControl/>
              <w:jc w:val="center"/>
              <w:rPr>
                <w:rFonts w:hint="eastAsia" w:ascii="仿宋_GB2312" w:hAnsi="宋体" w:eastAsia="仿宋_GB2312" w:cs="宋体"/>
                <w:kern w:val="0"/>
                <w:sz w:val="20"/>
                <w:szCs w:val="20"/>
              </w:rPr>
            </w:pPr>
          </w:p>
        </w:tc>
        <w:tc>
          <w:tcPr>
            <w:tcW w:w="567" w:type="dxa"/>
            <w:vMerge w:val="continue"/>
            <w:vAlign w:val="center"/>
          </w:tcPr>
          <w:p>
            <w:pPr>
              <w:widowControl/>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  支出  安排率</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重点支出安排率≥90%，计2分；80%（含）-90%，计1分；70%（含）-80%，计0.5分；低于70%不得分。</w:t>
            </w:r>
          </w:p>
        </w:tc>
        <w:tc>
          <w:tcPr>
            <w:tcW w:w="3472"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重点支出安排率=（重点项目支出/项目总支出）×100%</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重点项目支出：市政府确定的为民办实事和部门重点工程与重点工作支出。项目总支出：部门（单位）年度预算安排的项目支出总额。</w:t>
            </w:r>
          </w:p>
        </w:tc>
        <w:tc>
          <w:tcPr>
            <w:tcW w:w="617" w:type="dxa"/>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jc w:val="center"/>
        </w:trPr>
        <w:tc>
          <w:tcPr>
            <w:tcW w:w="411" w:type="dxa"/>
            <w:vMerge w:val="continue"/>
            <w:vAlign w:val="center"/>
          </w:tcPr>
          <w:p>
            <w:pPr>
              <w:widowControl/>
              <w:jc w:val="center"/>
              <w:rPr>
                <w:rFonts w:hint="eastAsia" w:ascii="仿宋_GB2312" w:hAnsi="宋体" w:eastAsia="仿宋_GB2312" w:cs="宋体"/>
                <w:kern w:val="0"/>
                <w:sz w:val="20"/>
                <w:szCs w:val="20"/>
              </w:rPr>
            </w:pPr>
          </w:p>
        </w:tc>
        <w:tc>
          <w:tcPr>
            <w:tcW w:w="429" w:type="dxa"/>
            <w:vMerge w:val="continue"/>
            <w:vAlign w:val="center"/>
          </w:tcPr>
          <w:p>
            <w:pPr>
              <w:widowControl/>
              <w:jc w:val="center"/>
              <w:rPr>
                <w:rFonts w:hint="eastAsia" w:ascii="仿宋_GB2312" w:hAnsi="宋体" w:eastAsia="仿宋_GB2312" w:cs="宋体"/>
                <w:kern w:val="0"/>
                <w:sz w:val="20"/>
                <w:szCs w:val="20"/>
              </w:rPr>
            </w:pPr>
          </w:p>
        </w:tc>
        <w:tc>
          <w:tcPr>
            <w:tcW w:w="567" w:type="dxa"/>
            <w:vMerge w:val="continue"/>
            <w:vAlign w:val="center"/>
          </w:tcPr>
          <w:p>
            <w:pPr>
              <w:widowControl/>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 收入 管理</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①实行收支两条线，1分；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②未发生截留、坐支或转移，1分。以上每发现一次违规现象扣1分，扣完为止。</w:t>
            </w:r>
          </w:p>
        </w:tc>
        <w:tc>
          <w:tcPr>
            <w:tcW w:w="3472" w:type="dxa"/>
            <w:vAlign w:val="center"/>
          </w:tcPr>
          <w:p>
            <w:pPr>
              <w:widowControl/>
              <w:jc w:val="left"/>
              <w:rPr>
                <w:rFonts w:hint="eastAsia" w:ascii="仿宋_GB2312" w:hAnsi="宋体" w:eastAsia="仿宋_GB2312" w:cs="宋体"/>
                <w:kern w:val="0"/>
                <w:sz w:val="20"/>
                <w:szCs w:val="20"/>
              </w:rPr>
            </w:pP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9" w:hRule="atLeast"/>
          <w:jc w:val="center"/>
        </w:trPr>
        <w:tc>
          <w:tcPr>
            <w:tcW w:w="411" w:type="dxa"/>
            <w:vMerge w:val="continue"/>
            <w:vAlign w:val="center"/>
          </w:tcPr>
          <w:p>
            <w:pPr>
              <w:widowControl/>
              <w:jc w:val="center"/>
              <w:rPr>
                <w:rFonts w:hint="eastAsia" w:ascii="仿宋_GB2312" w:hAnsi="宋体" w:eastAsia="仿宋_GB2312" w:cs="宋体"/>
                <w:kern w:val="0"/>
                <w:sz w:val="20"/>
                <w:szCs w:val="20"/>
              </w:rPr>
            </w:pPr>
          </w:p>
        </w:tc>
        <w:tc>
          <w:tcPr>
            <w:tcW w:w="429" w:type="dxa"/>
            <w:vMerge w:val="continue"/>
            <w:vAlign w:val="center"/>
          </w:tcPr>
          <w:p>
            <w:pPr>
              <w:widowControl/>
              <w:jc w:val="center"/>
              <w:rPr>
                <w:rFonts w:hint="eastAsia" w:ascii="仿宋_GB2312" w:hAnsi="宋体" w:eastAsia="仿宋_GB2312" w:cs="宋体"/>
                <w:kern w:val="0"/>
                <w:sz w:val="20"/>
                <w:szCs w:val="20"/>
              </w:rPr>
            </w:pPr>
          </w:p>
        </w:tc>
        <w:tc>
          <w:tcPr>
            <w:tcW w:w="567" w:type="dxa"/>
            <w:vMerge w:val="continue"/>
            <w:vAlign w:val="center"/>
          </w:tcPr>
          <w:p>
            <w:pPr>
              <w:widowControl/>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 收入 完成率</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非税收入完成率100%，2分，每少一个百分点，扣0.1分，扣完为止。</w:t>
            </w:r>
          </w:p>
        </w:tc>
        <w:tc>
          <w:tcPr>
            <w:tcW w:w="3472"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非税收入完成率=（</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年度非税实际收入完成数/</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年度非税收入预算数）×100%，有减免因素的，以非税局确定的为准。</w:t>
            </w: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0" w:hRule="atLeast"/>
          <w:jc w:val="center"/>
        </w:trPr>
        <w:tc>
          <w:tcPr>
            <w:tcW w:w="411" w:type="dxa"/>
            <w:vMerge w:val="restart"/>
            <w:textDirection w:val="tbRlV"/>
            <w:vAlign w:val="center"/>
          </w:tcPr>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过    程</w:t>
            </w:r>
          </w:p>
          <w:p>
            <w:pPr>
              <w:widowControl/>
              <w:ind w:left="113" w:right="113"/>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过      程</w:t>
            </w:r>
          </w:p>
        </w:tc>
        <w:tc>
          <w:tcPr>
            <w:tcW w:w="429" w:type="dxa"/>
            <w:vMerge w:val="restart"/>
            <w:tcBorders>
              <w:right w:val="single" w:color="auto" w:sz="4" w:space="0"/>
            </w:tcBorders>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预算执行</w:t>
            </w:r>
          </w:p>
        </w:tc>
        <w:tc>
          <w:tcPr>
            <w:tcW w:w="567" w:type="dxa"/>
            <w:vMerge w:val="restart"/>
            <w:tcBorders>
              <w:left w:val="single" w:color="auto" w:sz="4" w:space="0"/>
            </w:tcBorders>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  完成率</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完成率&lt;1，计2分，</w:t>
            </w:r>
          </w:p>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完成率=1，计1分，</w:t>
            </w:r>
          </w:p>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完成率&gt;1，不得分。</w:t>
            </w:r>
          </w:p>
          <w:p>
            <w:pPr>
              <w:widowControl/>
              <w:jc w:val="left"/>
              <w:rPr>
                <w:rFonts w:hint="eastAsia" w:ascii="仿宋_GB2312" w:hAnsi="宋体" w:eastAsia="仿宋_GB2312" w:cs="宋体"/>
                <w:kern w:val="0"/>
                <w:sz w:val="20"/>
                <w:szCs w:val="20"/>
                <w:highlight w:val="none"/>
              </w:rPr>
            </w:pPr>
          </w:p>
        </w:tc>
        <w:tc>
          <w:tcPr>
            <w:tcW w:w="3472" w:type="dxa"/>
            <w:vAlign w:val="center"/>
          </w:tcPr>
          <w:p>
            <w:pPr>
              <w:autoSpaceDN w:val="0"/>
              <w:jc w:val="left"/>
              <w:textAlignment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预算完成率=（预算完成数/预算数）×100%。预算完成数：部门（单位）本年度实际完成的预算数；预算数：财政部门批复的本年度部门（单位）预算数。</w:t>
            </w:r>
          </w:p>
        </w:tc>
        <w:tc>
          <w:tcPr>
            <w:tcW w:w="617" w:type="dxa"/>
            <w:vAlign w:val="center"/>
          </w:tcPr>
          <w:p>
            <w:pPr>
              <w:widowControl/>
              <w:jc w:val="center"/>
              <w:rPr>
                <w:rFonts w:hint="default" w:ascii="宋体" w:hAnsi="宋体" w:eastAsia="宋体" w:cs="宋体"/>
                <w:kern w:val="0"/>
                <w:sz w:val="24"/>
                <w:szCs w:val="24"/>
                <w:highlight w:val="none"/>
                <w:lang w:val="en-US" w:eastAsia="zh-CN"/>
              </w:rPr>
            </w:pPr>
            <w:r>
              <w:rPr>
                <w:rFonts w:hint="eastAsia" w:ascii="宋体" w:hAnsi="宋体" w:cs="宋体"/>
                <w:kern w:val="0"/>
                <w:sz w:val="24"/>
                <w:szCs w:val="24"/>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 w:hRule="atLeast"/>
          <w:jc w:val="center"/>
        </w:trPr>
        <w:tc>
          <w:tcPr>
            <w:tcW w:w="411" w:type="dxa"/>
            <w:vMerge w:val="continue"/>
            <w:vAlign w:val="center"/>
          </w:tcPr>
          <w:p>
            <w:pPr>
              <w:jc w:val="center"/>
              <w:rPr>
                <w:rFonts w:ascii="仿宋_GB2312" w:hAnsi="宋体" w:eastAsia="仿宋_GB2312" w:cs="宋体"/>
                <w:kern w:val="0"/>
                <w:sz w:val="20"/>
                <w:szCs w:val="20"/>
              </w:rPr>
            </w:pPr>
          </w:p>
        </w:tc>
        <w:tc>
          <w:tcPr>
            <w:tcW w:w="429" w:type="dxa"/>
            <w:vMerge w:val="continue"/>
            <w:tcBorders>
              <w:right w:val="single" w:color="auto" w:sz="4" w:space="0"/>
            </w:tcBorders>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tcBorders>
            <w:vAlign w:val="center"/>
          </w:tcPr>
          <w:p>
            <w:pPr>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资金  结余</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结余超过10%（不含），2分；结余在0-10%（含）的，1分；本年超支不得分。</w:t>
            </w:r>
          </w:p>
        </w:tc>
        <w:tc>
          <w:tcPr>
            <w:tcW w:w="3472"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本项结余不含未完工项目资金的结转数。</w:t>
            </w: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8" w:hRule="atLeast"/>
          <w:jc w:val="center"/>
        </w:trPr>
        <w:tc>
          <w:tcPr>
            <w:tcW w:w="411" w:type="dxa"/>
            <w:vMerge w:val="continue"/>
            <w:vAlign w:val="center"/>
          </w:tcPr>
          <w:p>
            <w:pPr>
              <w:jc w:val="center"/>
              <w:rPr>
                <w:rFonts w:ascii="仿宋_GB2312" w:hAnsi="宋体" w:eastAsia="仿宋_GB2312" w:cs="宋体"/>
                <w:kern w:val="0"/>
                <w:sz w:val="20"/>
                <w:szCs w:val="20"/>
              </w:rPr>
            </w:pPr>
          </w:p>
        </w:tc>
        <w:tc>
          <w:tcPr>
            <w:tcW w:w="429" w:type="dxa"/>
            <w:vMerge w:val="continue"/>
            <w:tcBorders>
              <w:right w:val="single" w:color="auto" w:sz="4" w:space="0"/>
            </w:tcBorders>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tcBorders>
            <w:vAlign w:val="center"/>
          </w:tcPr>
          <w:p>
            <w:pPr>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控制率</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以100%为标准。三公经费控制率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100%，计2分；每超过一个百分点扣0.2分，扣完为止。单位没有制定“三公”经费预算，该项不得分。</w:t>
            </w:r>
          </w:p>
        </w:tc>
        <w:tc>
          <w:tcPr>
            <w:tcW w:w="3472"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“三公经费”控制率=（“三公经费”实际支出数/“三公经费”预算安排数）×100%。</w:t>
            </w: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1" w:hRule="atLeast"/>
          <w:jc w:val="center"/>
        </w:trPr>
        <w:tc>
          <w:tcPr>
            <w:tcW w:w="411" w:type="dxa"/>
            <w:vMerge w:val="continue"/>
            <w:vAlign w:val="center"/>
          </w:tcPr>
          <w:p>
            <w:pPr>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vAlign w:val="center"/>
          </w:tcPr>
          <w:p>
            <w:pPr>
              <w:widowControl/>
              <w:jc w:val="center"/>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vAlign w:val="center"/>
          </w:tcPr>
          <w:p>
            <w:pPr>
              <w:widowControl/>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政府</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采购</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jc w:val="left"/>
              <w:rPr>
                <w:rFonts w:hint="eastAsia" w:ascii="仿宋_GB2312" w:hAnsi="宋体" w:eastAsia="仿宋_GB2312" w:cs="宋体"/>
                <w:kern w:val="0"/>
                <w:sz w:val="20"/>
                <w:szCs w:val="20"/>
              </w:rPr>
            </w:pPr>
            <w:r>
              <w:rPr>
                <w:rFonts w:hint="eastAsia" w:ascii="仿宋" w:hAnsi="仿宋" w:eastAsia="仿宋" w:cs="宋体"/>
                <w:kern w:val="0"/>
                <w:sz w:val="20"/>
                <w:szCs w:val="20"/>
              </w:rPr>
              <w:t>①编</w:t>
            </w:r>
            <w:r>
              <w:rPr>
                <w:rFonts w:hint="eastAsia" w:ascii="仿宋_GB2312" w:hAnsi="宋体" w:eastAsia="仿宋_GB2312" w:cs="宋体"/>
                <w:kern w:val="0"/>
                <w:sz w:val="20"/>
                <w:szCs w:val="20"/>
              </w:rPr>
              <w:t>制政府采购年度预算并上报的，0.5分；②追加并编制政府采购预算的，0.5分；</w:t>
            </w:r>
            <w:r>
              <w:rPr>
                <w:rFonts w:hint="eastAsia" w:ascii="仿宋" w:hAnsi="仿宋" w:eastAsia="仿宋" w:cs="宋体"/>
                <w:kern w:val="0"/>
                <w:sz w:val="20"/>
                <w:szCs w:val="20"/>
              </w:rPr>
              <w:t>③</w:t>
            </w:r>
            <w:r>
              <w:rPr>
                <w:rFonts w:hint="eastAsia" w:ascii="仿宋_GB2312" w:hAnsi="宋体" w:eastAsia="仿宋_GB2312" w:cs="宋体"/>
                <w:kern w:val="0"/>
                <w:sz w:val="20"/>
                <w:szCs w:val="20"/>
              </w:rPr>
              <w:t>政府采购执行率=100%，计1分；每少一个百分点扣0.1分，扣完为止。</w:t>
            </w:r>
          </w:p>
        </w:tc>
        <w:tc>
          <w:tcPr>
            <w:tcW w:w="3472"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政府采购执行率=（实际实行政府采购金额/应实行政府采购金额）×100%。应实行政府采金额以《湘财购[2012]27号》文件为标准。</w:t>
            </w: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5" w:hRule="atLeast"/>
          <w:jc w:val="center"/>
        </w:trPr>
        <w:tc>
          <w:tcPr>
            <w:tcW w:w="411" w:type="dxa"/>
            <w:vMerge w:val="continue"/>
            <w:vAlign w:val="center"/>
          </w:tcPr>
          <w:p>
            <w:pPr>
              <w:widowControl/>
              <w:jc w:val="center"/>
              <w:rPr>
                <w:rFonts w:ascii="仿宋_GB2312" w:hAnsi="宋体" w:eastAsia="仿宋_GB2312" w:cs="宋体"/>
                <w:kern w:val="0"/>
                <w:sz w:val="20"/>
                <w:szCs w:val="20"/>
              </w:rPr>
            </w:pPr>
          </w:p>
        </w:tc>
        <w:tc>
          <w:tcPr>
            <w:tcW w:w="429" w:type="dxa"/>
            <w:vMerge w:val="restart"/>
            <w:tcBorders>
              <w:top w:val="single" w:color="auto" w:sz="4" w:space="0"/>
              <w:right w:val="single" w:color="auto" w:sz="4" w:space="0"/>
            </w:tcBorders>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预算管理</w:t>
            </w:r>
          </w:p>
        </w:tc>
        <w:tc>
          <w:tcPr>
            <w:tcW w:w="567" w:type="dxa"/>
            <w:vMerge w:val="restart"/>
            <w:tcBorders>
              <w:top w:val="single" w:color="auto" w:sz="4" w:space="0"/>
              <w:left w:val="single" w:color="auto" w:sz="4" w:space="0"/>
            </w:tcBorders>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28</w:t>
            </w:r>
          </w:p>
        </w:tc>
        <w:tc>
          <w:tcPr>
            <w:tcW w:w="851" w:type="dxa"/>
            <w:tcBorders>
              <w:top w:val="single" w:color="auto" w:sz="4" w:space="0"/>
            </w:tcBorders>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管理  制度</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健全性</w:t>
            </w:r>
          </w:p>
        </w:tc>
        <w:tc>
          <w:tcPr>
            <w:tcW w:w="567" w:type="dxa"/>
            <w:tcBorders>
              <w:top w:val="single" w:color="auto" w:sz="4" w:space="0"/>
            </w:tcBorders>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6</w:t>
            </w:r>
          </w:p>
          <w:p>
            <w:pPr>
              <w:widowControl/>
              <w:jc w:val="both"/>
              <w:rPr>
                <w:rFonts w:hint="eastAsia" w:ascii="仿宋_GB2312" w:hAnsi="宋体" w:eastAsia="仿宋_GB2312" w:cs="宋体"/>
                <w:kern w:val="0"/>
                <w:sz w:val="20"/>
                <w:szCs w:val="20"/>
              </w:rPr>
            </w:pPr>
          </w:p>
        </w:tc>
        <w:tc>
          <w:tcPr>
            <w:tcW w:w="3118" w:type="dxa"/>
            <w:tcBorders>
              <w:top w:val="single" w:color="auto" w:sz="4" w:space="0"/>
            </w:tcBorders>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①已制定资金管理办法、内部财务管理制度、会计核算制度等管理制度，1分；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②建立健全单位内部控制制度，1分；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③会计人员、机构按规定设置，1分；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④会计基础工作健全，1分；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⑤会计档案符合规定要求，1分；</w:t>
            </w:r>
          </w:p>
          <w:p>
            <w:pPr>
              <w:widowControl/>
              <w:jc w:val="left"/>
              <w:rPr>
                <w:rFonts w:hint="eastAsia" w:ascii="仿宋_GB2312" w:hAnsi="宋体" w:eastAsia="仿宋_GB2312" w:cs="宋体"/>
                <w:kern w:val="0"/>
                <w:sz w:val="20"/>
                <w:szCs w:val="20"/>
              </w:rPr>
            </w:pPr>
            <w:r>
              <w:rPr>
                <w:rFonts w:hint="eastAsia" w:ascii="仿宋_GB2312" w:hAnsi="仿宋" w:eastAsia="仿宋_GB2312" w:cs="仿宋"/>
                <w:kern w:val="0"/>
                <w:sz w:val="20"/>
                <w:szCs w:val="20"/>
              </w:rPr>
              <w:t>⑥项目管理规范（包括项目立项、申报、招投标、制度建立、按时完工等），1分，每发现少一项扣0.2分，扣完为止。</w:t>
            </w:r>
          </w:p>
        </w:tc>
        <w:tc>
          <w:tcPr>
            <w:tcW w:w="3472" w:type="dxa"/>
            <w:tcBorders>
              <w:top w:val="single" w:color="auto" w:sz="4" w:space="0"/>
            </w:tcBorders>
            <w:vAlign w:val="center"/>
          </w:tcPr>
          <w:p>
            <w:pPr>
              <w:widowControl/>
              <w:jc w:val="left"/>
              <w:rPr>
                <w:rFonts w:hint="eastAsia" w:ascii="仿宋_GB2312" w:hAnsi="宋体" w:eastAsia="仿宋_GB2312" w:cs="宋体"/>
                <w:kern w:val="0"/>
                <w:sz w:val="20"/>
                <w:szCs w:val="20"/>
              </w:rPr>
            </w:pPr>
          </w:p>
        </w:tc>
        <w:tc>
          <w:tcPr>
            <w:tcW w:w="617" w:type="dxa"/>
            <w:tcBorders>
              <w:top w:val="single" w:color="auto" w:sz="4" w:space="0"/>
            </w:tcBorders>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 w:hRule="atLeast"/>
          <w:jc w:val="center"/>
        </w:trPr>
        <w:tc>
          <w:tcPr>
            <w:tcW w:w="411" w:type="dxa"/>
            <w:vMerge w:val="continue"/>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right w:val="single" w:color="auto" w:sz="4" w:space="0"/>
            </w:tcBorders>
            <w:vAlign w:val="center"/>
          </w:tcPr>
          <w:p>
            <w:pPr>
              <w:jc w:val="center"/>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tcBorders>
            <w:vAlign w:val="center"/>
          </w:tcPr>
          <w:p>
            <w:pPr>
              <w:jc w:val="center"/>
              <w:rPr>
                <w:rFonts w:hint="eastAsia" w:ascii="仿宋_GB2312" w:hAnsi="宋体" w:eastAsia="仿宋_GB2312" w:cs="宋体"/>
                <w:kern w:val="0"/>
                <w:sz w:val="20"/>
                <w:szCs w:val="20"/>
              </w:rPr>
            </w:pPr>
          </w:p>
        </w:tc>
        <w:tc>
          <w:tcPr>
            <w:tcW w:w="851" w:type="dxa"/>
            <w:tcBorders>
              <w:top w:val="single" w:color="auto" w:sz="4" w:space="0"/>
            </w:tcBorders>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内控制度情况</w:t>
            </w:r>
          </w:p>
        </w:tc>
        <w:tc>
          <w:tcPr>
            <w:tcW w:w="567" w:type="dxa"/>
            <w:tcBorders>
              <w:top w:val="single" w:color="auto" w:sz="4" w:space="0"/>
            </w:tcBorders>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4分</w:t>
            </w:r>
          </w:p>
        </w:tc>
        <w:tc>
          <w:tcPr>
            <w:tcW w:w="3118" w:type="dxa"/>
            <w:tcBorders>
              <w:top w:val="single" w:color="auto" w:sz="4" w:space="0"/>
            </w:tcBorders>
            <w:vAlign w:val="center"/>
          </w:tcPr>
          <w:p>
            <w:pPr>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内部控制制度完全执行，4分，执行过程中，某个环节（节点）执行不到位的，每个环节（节点）扣1分，扣完为止。</w:t>
            </w:r>
          </w:p>
        </w:tc>
        <w:tc>
          <w:tcPr>
            <w:tcW w:w="3472" w:type="dxa"/>
            <w:tcBorders>
              <w:top w:val="single" w:color="auto" w:sz="4" w:space="0"/>
            </w:tcBorders>
            <w:vAlign w:val="center"/>
          </w:tcPr>
          <w:p>
            <w:pPr>
              <w:widowControl/>
              <w:jc w:val="left"/>
              <w:rPr>
                <w:rFonts w:hint="eastAsia" w:ascii="仿宋_GB2312" w:hAnsi="宋体" w:eastAsia="仿宋_GB2312" w:cs="宋体"/>
                <w:kern w:val="0"/>
                <w:sz w:val="20"/>
                <w:szCs w:val="20"/>
              </w:rPr>
            </w:pPr>
          </w:p>
        </w:tc>
        <w:tc>
          <w:tcPr>
            <w:tcW w:w="617" w:type="dxa"/>
            <w:tcBorders>
              <w:top w:val="single" w:color="auto" w:sz="4" w:space="0"/>
            </w:tcBorders>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7" w:hRule="atLeast"/>
          <w:jc w:val="center"/>
        </w:trPr>
        <w:tc>
          <w:tcPr>
            <w:tcW w:w="411" w:type="dxa"/>
            <w:vMerge w:val="restart"/>
            <w:tcBorders>
              <w:top w:val="nil"/>
            </w:tcBorders>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过程</w:t>
            </w:r>
          </w:p>
        </w:tc>
        <w:tc>
          <w:tcPr>
            <w:tcW w:w="429" w:type="dxa"/>
            <w:vMerge w:val="continue"/>
            <w:tcBorders>
              <w:right w:val="single" w:color="auto" w:sz="4" w:space="0"/>
            </w:tcBorders>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tcBorders>
            <w:vAlign w:val="center"/>
          </w:tcPr>
          <w:p>
            <w:pPr>
              <w:jc w:val="center"/>
              <w:rPr>
                <w:rFonts w:hint="eastAsia" w:ascii="仿宋_GB2312" w:hAnsi="宋体" w:eastAsia="仿宋_GB2312" w:cs="宋体"/>
                <w:kern w:val="0"/>
                <w:sz w:val="20"/>
                <w:szCs w:val="20"/>
              </w:rPr>
            </w:pPr>
          </w:p>
        </w:tc>
        <w:tc>
          <w:tcPr>
            <w:tcW w:w="851" w:type="dxa"/>
            <w:vAlign w:val="center"/>
          </w:tcPr>
          <w:p>
            <w:pPr>
              <w:widowControl/>
              <w:jc w:val="both"/>
              <w:rPr>
                <w:rFonts w:ascii="仿宋_GB2312" w:hAnsi="宋体" w:eastAsia="仿宋_GB2312" w:cs="宋体"/>
                <w:kern w:val="0"/>
                <w:sz w:val="20"/>
                <w:szCs w:val="20"/>
              </w:rPr>
            </w:pPr>
            <w:r>
              <w:rPr>
                <w:rFonts w:hint="eastAsia" w:ascii="仿宋_GB2312" w:hAnsi="宋体" w:eastAsia="仿宋_GB2312" w:cs="宋体"/>
                <w:kern w:val="0"/>
                <w:sz w:val="20"/>
                <w:szCs w:val="20"/>
              </w:rPr>
              <w:t>资金  使用</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合规性</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14</w:t>
            </w:r>
          </w:p>
        </w:tc>
        <w:tc>
          <w:tcPr>
            <w:tcW w:w="3118"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①支出符合国家财经法规和财务管理制度规定以及有关专项资金管理办法的规定；</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②资金（开支）拨付有完整的审批程序和手续；</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③支出符合部门预算批复的用途；</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④资金使用无截留、挤占、挪用、虚列支出、随意借用、大额现金支付等情况。</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⑤</w:t>
            </w:r>
            <w:r>
              <w:rPr>
                <w:rFonts w:hint="eastAsia" w:ascii="仿宋_GB2312" w:hAnsi="仿宋" w:eastAsia="仿宋_GB2312" w:cs="仿宋"/>
                <w:kern w:val="0"/>
                <w:sz w:val="20"/>
                <w:szCs w:val="20"/>
              </w:rPr>
              <w:t>重大财务事项经由集体研究决策；</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⑥</w:t>
            </w:r>
            <w:r>
              <w:rPr>
                <w:rFonts w:hint="eastAsia" w:ascii="仿宋_GB2312" w:hAnsi="仿宋" w:eastAsia="仿宋_GB2312" w:cs="仿宋"/>
                <w:kern w:val="0"/>
                <w:sz w:val="20"/>
                <w:szCs w:val="20"/>
              </w:rPr>
              <w:t>专项资金做到专款专用；</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⑦</w:t>
            </w:r>
            <w:r>
              <w:rPr>
                <w:rFonts w:hint="eastAsia" w:ascii="仿宋_GB2312" w:hAnsi="仿宋" w:eastAsia="仿宋_GB2312" w:cs="仿宋"/>
                <w:kern w:val="0"/>
                <w:sz w:val="20"/>
                <w:szCs w:val="20"/>
              </w:rPr>
              <w:t>原始凭证的取得真实有效；</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⑧</w:t>
            </w:r>
            <w:r>
              <w:rPr>
                <w:rFonts w:hint="eastAsia" w:ascii="仿宋_GB2312" w:hAnsi="仿宋" w:eastAsia="仿宋_GB2312" w:cs="仿宋"/>
                <w:kern w:val="0"/>
                <w:sz w:val="20"/>
                <w:szCs w:val="20"/>
              </w:rPr>
              <w:t>无超范围、超预算开支；</w:t>
            </w:r>
          </w:p>
          <w:p>
            <w:pPr>
              <w:widowControl/>
              <w:jc w:val="left"/>
              <w:rPr>
                <w:rFonts w:ascii="仿宋_GB2312" w:hAnsi="宋体" w:eastAsia="仿宋_GB2312" w:cs="宋体"/>
                <w:kern w:val="0"/>
                <w:sz w:val="20"/>
                <w:szCs w:val="20"/>
              </w:rPr>
            </w:pPr>
            <w:r>
              <w:rPr>
                <w:rFonts w:hint="eastAsia" w:ascii="仿宋" w:hAnsi="仿宋" w:eastAsia="仿宋" w:cs="仿宋"/>
                <w:kern w:val="0"/>
                <w:sz w:val="20"/>
                <w:szCs w:val="20"/>
              </w:rPr>
              <w:t>⑨</w:t>
            </w:r>
            <w:r>
              <w:rPr>
                <w:rFonts w:hint="eastAsia" w:ascii="仿宋_GB2312" w:hAnsi="仿宋" w:eastAsia="仿宋_GB2312" w:cs="仿宋"/>
                <w:kern w:val="0"/>
                <w:sz w:val="20"/>
                <w:szCs w:val="20"/>
              </w:rPr>
              <w:t>无超标准发放津补贴、奖金，无用公款支付应由个人支付的款项。</w:t>
            </w:r>
            <w:r>
              <w:rPr>
                <w:rFonts w:hint="eastAsia" w:ascii="仿宋_GB2312" w:hAnsi="仿宋" w:eastAsia="仿宋_GB2312" w:cs="仿宋"/>
                <w:kern w:val="0"/>
                <w:sz w:val="20"/>
                <w:szCs w:val="20"/>
              </w:rPr>
              <w:br w:type="textWrapping"/>
            </w:r>
            <w:r>
              <w:rPr>
                <w:rFonts w:hint="eastAsia" w:ascii="仿宋_GB2312" w:hAnsi="仿宋" w:eastAsia="仿宋_GB2312" w:cs="仿宋"/>
                <w:kern w:val="0"/>
                <w:sz w:val="20"/>
                <w:szCs w:val="20"/>
              </w:rPr>
              <w:t>以上情况每出现一例不</w:t>
            </w:r>
            <w:r>
              <w:rPr>
                <w:rFonts w:hint="eastAsia" w:ascii="仿宋_GB2312" w:hAnsi="宋体" w:eastAsia="仿宋_GB2312" w:cs="宋体"/>
                <w:kern w:val="0"/>
                <w:sz w:val="20"/>
                <w:szCs w:val="20"/>
              </w:rPr>
              <w:t>符合要求的扣2分，扣完为止。</w:t>
            </w:r>
          </w:p>
        </w:tc>
        <w:tc>
          <w:tcPr>
            <w:tcW w:w="3472"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部门（单位）使用预算资金是否符合相关的预算财务管理制度的规定，用以反映和考核部门（单位）预算资金的规范运行情况。</w:t>
            </w: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6" w:hRule="atLeast"/>
          <w:jc w:val="center"/>
        </w:trPr>
        <w:tc>
          <w:tcPr>
            <w:tcW w:w="411" w:type="dxa"/>
            <w:vMerge w:val="continue"/>
            <w:tcBorders>
              <w:top w:val="nil"/>
            </w:tcBorders>
            <w:vAlign w:val="center"/>
          </w:tcPr>
          <w:p>
            <w:pPr>
              <w:widowControl/>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p>
        </w:tc>
        <w:tc>
          <w:tcPr>
            <w:tcW w:w="567" w:type="dxa"/>
            <w:vMerge w:val="continue"/>
            <w:tcBorders>
              <w:left w:val="single" w:color="auto" w:sz="4" w:space="0"/>
              <w:bottom w:val="single" w:color="auto" w:sz="4" w:space="0"/>
            </w:tcBorders>
            <w:vAlign w:val="center"/>
          </w:tcPr>
          <w:p>
            <w:pPr>
              <w:widowControl/>
              <w:jc w:val="center"/>
              <w:rPr>
                <w:rFonts w:ascii="仿宋_GB2312" w:hAnsi="宋体" w:eastAsia="仿宋_GB2312" w:cs="宋体"/>
                <w:kern w:val="0"/>
                <w:sz w:val="20"/>
                <w:szCs w:val="20"/>
              </w:rPr>
            </w:pPr>
          </w:p>
        </w:tc>
        <w:tc>
          <w:tcPr>
            <w:tcW w:w="851" w:type="dxa"/>
            <w:vAlign w:val="center"/>
          </w:tcPr>
          <w:p>
            <w:pPr>
              <w:widowControl/>
              <w:jc w:val="both"/>
              <w:rPr>
                <w:rFonts w:ascii="仿宋_GB2312" w:hAnsi="宋体" w:eastAsia="仿宋_GB2312" w:cs="宋体"/>
                <w:kern w:val="0"/>
                <w:sz w:val="20"/>
                <w:szCs w:val="20"/>
              </w:rPr>
            </w:pPr>
            <w:r>
              <w:rPr>
                <w:rFonts w:hint="eastAsia" w:ascii="仿宋_GB2312" w:hAnsi="宋体" w:eastAsia="仿宋_GB2312" w:cs="宋体"/>
                <w:kern w:val="0"/>
                <w:sz w:val="20"/>
                <w:szCs w:val="20"/>
              </w:rPr>
              <w:t>预决算信息公开性和完善性</w:t>
            </w:r>
          </w:p>
        </w:tc>
        <w:tc>
          <w:tcPr>
            <w:tcW w:w="567" w:type="dxa"/>
            <w:vAlign w:val="center"/>
          </w:tcPr>
          <w:p>
            <w:pPr>
              <w:widowControl/>
              <w:jc w:val="both"/>
              <w:rPr>
                <w:rFonts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3118"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①按规定内容公开预决算信息，1分；②按规定时限公开预决算信息，1分；③基础数据信息和会计信息资料真实、完整，1分；④基础数据信息和汇集信息资料准确，1分。                                           </w:t>
            </w:r>
          </w:p>
        </w:tc>
        <w:tc>
          <w:tcPr>
            <w:tcW w:w="3472"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预决算信息是指与部门预算、执行、决算、监督、绩效等管理相关的信息。</w:t>
            </w:r>
          </w:p>
        </w:tc>
        <w:tc>
          <w:tcPr>
            <w:tcW w:w="617" w:type="dxa"/>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411" w:type="dxa"/>
            <w:vMerge w:val="continue"/>
            <w:tcBorders>
              <w:top w:val="nil"/>
            </w:tcBorders>
            <w:vAlign w:val="center"/>
          </w:tcPr>
          <w:p>
            <w:pPr>
              <w:widowControl/>
              <w:jc w:val="center"/>
              <w:rPr>
                <w:rFonts w:ascii="仿宋_GB2312" w:hAnsi="宋体" w:eastAsia="仿宋_GB2312" w:cs="宋体"/>
                <w:kern w:val="0"/>
                <w:sz w:val="20"/>
                <w:szCs w:val="20"/>
              </w:rPr>
            </w:pPr>
          </w:p>
        </w:tc>
        <w:tc>
          <w:tcPr>
            <w:tcW w:w="429" w:type="dxa"/>
            <w:vMerge w:val="restart"/>
            <w:tcBorders>
              <w:top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资产管理</w:t>
            </w:r>
          </w:p>
        </w:tc>
        <w:tc>
          <w:tcPr>
            <w:tcW w:w="567" w:type="dxa"/>
            <w:vMerge w:val="restart"/>
            <w:tcBorders>
              <w:top w:val="single" w:color="auto" w:sz="4" w:space="0"/>
              <w:left w:val="single" w:color="auto" w:sz="4" w:space="0"/>
              <w:bottom w:val="single" w:color="auto" w:sz="4" w:space="0"/>
            </w:tcBorders>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w:t>
            </w: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管理  制度</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健全性</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①已制定资产管理制度，1分；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 xml:space="preserve">②相关资产管理制度得到有效执行，1分。                                           </w:t>
            </w:r>
          </w:p>
        </w:tc>
        <w:tc>
          <w:tcPr>
            <w:tcW w:w="3472"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部门（单位）为加强资产管理，规范资产管理行为而制定的管理制度是否健全完整、用以反映和考核部门（单位）资产管理制度对完成主要职责或促进社会发展的保障情况</w:t>
            </w: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3" w:hRule="atLeast"/>
          <w:jc w:val="center"/>
        </w:trPr>
        <w:tc>
          <w:tcPr>
            <w:tcW w:w="411" w:type="dxa"/>
            <w:vMerge w:val="continue"/>
            <w:tcBorders>
              <w:top w:val="nil"/>
            </w:tcBorders>
            <w:vAlign w:val="center"/>
          </w:tcPr>
          <w:p>
            <w:pPr>
              <w:widowControl/>
              <w:jc w:val="center"/>
              <w:rPr>
                <w:rFonts w:hint="eastAsia" w:ascii="仿宋_GB2312" w:hAnsi="宋体" w:eastAsia="仿宋_GB2312" w:cs="宋体"/>
                <w:kern w:val="0"/>
                <w:sz w:val="20"/>
                <w:szCs w:val="20"/>
              </w:rPr>
            </w:pPr>
          </w:p>
        </w:tc>
        <w:tc>
          <w:tcPr>
            <w:tcW w:w="429" w:type="dxa"/>
            <w:vMerge w:val="continue"/>
            <w:tcBorders>
              <w:top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bottom w:val="single" w:color="auto" w:sz="4" w:space="0"/>
            </w:tcBorders>
            <w:vAlign w:val="center"/>
          </w:tcPr>
          <w:p>
            <w:pPr>
              <w:widowControl/>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资产  管理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安全性</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16</w:t>
            </w:r>
          </w:p>
        </w:tc>
        <w:tc>
          <w:tcPr>
            <w:tcW w:w="3118"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 xml:space="preserve">①资产保存完整；②资产配置合理；③资产处置规范； </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④资产账务管理合规，帐实帐卡、账账、账表（决算报表等）相符；⑤资产有偿使用及处置收入及时足额上缴；</w:t>
            </w:r>
            <w:r>
              <w:rPr>
                <w:rFonts w:hint="eastAsia" w:ascii="仿宋_GB2312" w:hAnsi="仿宋" w:eastAsia="仿宋_GB2312" w:cs="仿宋"/>
                <w:kern w:val="0"/>
                <w:sz w:val="20"/>
                <w:szCs w:val="20"/>
              </w:rPr>
              <w:t>⑥清查盘点：每年至少清查盘点一次；⑦产权明晰，权证齐全</w:t>
            </w:r>
            <w:r>
              <w:rPr>
                <w:rFonts w:hint="eastAsia" w:ascii="仿宋_GB2312" w:hAnsi="宋体" w:eastAsia="仿宋_GB2312" w:cs="宋体"/>
                <w:kern w:val="0"/>
                <w:sz w:val="20"/>
                <w:szCs w:val="20"/>
              </w:rPr>
              <w:t>；⑧按标准购置固定资产。</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以上情况每出现一例不符合要求的扣2分；⑨未按时报送20</w:t>
            </w:r>
            <w:r>
              <w:rPr>
                <w:rFonts w:hint="eastAsia" w:ascii="仿宋_GB2312" w:hAnsi="宋体" w:eastAsia="仿宋_GB2312" w:cs="宋体"/>
                <w:kern w:val="0"/>
                <w:sz w:val="20"/>
                <w:szCs w:val="20"/>
                <w:lang w:val="en-US" w:eastAsia="zh-CN"/>
              </w:rPr>
              <w:t>21</w:t>
            </w:r>
            <w:r>
              <w:rPr>
                <w:rFonts w:hint="eastAsia" w:ascii="仿宋_GB2312" w:hAnsi="宋体" w:eastAsia="仿宋_GB2312" w:cs="宋体"/>
                <w:kern w:val="0"/>
                <w:sz w:val="20"/>
                <w:szCs w:val="20"/>
              </w:rPr>
              <w:t>年行政事业单位资产报表的，每延迟一天，扣1分，扣完为止。</w:t>
            </w:r>
          </w:p>
        </w:tc>
        <w:tc>
          <w:tcPr>
            <w:tcW w:w="3472"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部门（单位）的资产是否保存完整，使用合规、配置合理、处置规范、收入及时足额上缴，用以反映和考核部门（单位）资产安全运行情况。</w:t>
            </w: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411" w:type="dxa"/>
            <w:vMerge w:val="continue"/>
            <w:tcBorders>
              <w:top w:val="nil"/>
            </w:tcBorders>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bottom w:val="single" w:color="auto" w:sz="4" w:space="0"/>
            </w:tcBorders>
            <w:vAlign w:val="center"/>
          </w:tcPr>
          <w:p>
            <w:pPr>
              <w:widowControl/>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固定  资产</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利用率</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固定资产利用率,100%,2分,每低于一个百分点扣0.2分，扣完为止。</w:t>
            </w:r>
          </w:p>
        </w:tc>
        <w:tc>
          <w:tcPr>
            <w:tcW w:w="3472"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固定资产利用率=（实际在用固定资产总额/所有固定资产总额）×100%</w:t>
            </w:r>
          </w:p>
        </w:tc>
        <w:tc>
          <w:tcPr>
            <w:tcW w:w="617" w:type="dxa"/>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5" w:hRule="atLeast"/>
          <w:jc w:val="center"/>
        </w:trPr>
        <w:tc>
          <w:tcPr>
            <w:tcW w:w="411" w:type="dxa"/>
            <w:vMerge w:val="continue"/>
            <w:tcBorders>
              <w:top w:val="nil"/>
            </w:tcBorders>
            <w:vAlign w:val="center"/>
          </w:tcPr>
          <w:p>
            <w:pPr>
              <w:widowControl/>
              <w:jc w:val="center"/>
              <w:rPr>
                <w:rFonts w:ascii="仿宋_GB2312" w:hAnsi="宋体" w:eastAsia="仿宋_GB2312" w:cs="宋体"/>
                <w:kern w:val="0"/>
                <w:sz w:val="20"/>
                <w:szCs w:val="20"/>
              </w:rPr>
            </w:pPr>
          </w:p>
        </w:tc>
        <w:tc>
          <w:tcPr>
            <w:tcW w:w="429" w:type="dxa"/>
            <w:vMerge w:val="restart"/>
            <w:tcBorders>
              <w:right w:val="single" w:color="auto" w:sz="4" w:space="0"/>
            </w:tcBorders>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绩效管理</w:t>
            </w:r>
          </w:p>
        </w:tc>
        <w:tc>
          <w:tcPr>
            <w:tcW w:w="567" w:type="dxa"/>
            <w:vMerge w:val="restart"/>
            <w:tcBorders>
              <w:top w:val="single" w:color="auto" w:sz="4" w:space="0"/>
              <w:left w:val="single" w:color="auto" w:sz="4" w:space="0"/>
            </w:tcBorders>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17</w:t>
            </w: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目标 管理</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3118"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①本单位所有专项、项目资金均实行目标管理的，各2分,每少一个专项、项目的，扣1分，扣完为止；②编制并报送</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年度部门整体支出绩效目标的，2分；③在规定时间内报送、公开以上目标的，2分，否则不得分。</w:t>
            </w:r>
          </w:p>
        </w:tc>
        <w:tc>
          <w:tcPr>
            <w:tcW w:w="3472" w:type="dxa"/>
            <w:vAlign w:val="center"/>
          </w:tcPr>
          <w:p>
            <w:pPr>
              <w:widowControl/>
              <w:jc w:val="left"/>
              <w:rPr>
                <w:rFonts w:hint="eastAsia" w:ascii="仿宋_GB2312" w:hAnsi="宋体" w:eastAsia="仿宋_GB2312" w:cs="宋体"/>
                <w:kern w:val="0"/>
                <w:sz w:val="20"/>
                <w:szCs w:val="20"/>
              </w:rPr>
            </w:pP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6" w:hRule="atLeast"/>
          <w:jc w:val="center"/>
        </w:trPr>
        <w:tc>
          <w:tcPr>
            <w:tcW w:w="411" w:type="dxa"/>
            <w:vMerge w:val="continue"/>
            <w:tcBorders>
              <w:top w:val="nil"/>
              <w:bottom w:val="single" w:color="auto" w:sz="4" w:space="0"/>
            </w:tcBorders>
            <w:vAlign w:val="center"/>
          </w:tcPr>
          <w:p>
            <w:pPr>
              <w:widowControl/>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vAlign w:val="center"/>
          </w:tcPr>
          <w:p>
            <w:pPr>
              <w:widowControl/>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绩效 评价</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管理</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7</w:t>
            </w:r>
          </w:p>
        </w:tc>
        <w:tc>
          <w:tcPr>
            <w:tcW w:w="3118" w:type="dxa"/>
            <w:vAlign w:val="center"/>
          </w:tcPr>
          <w:p>
            <w:pPr>
              <w:widowControl/>
              <w:jc w:val="left"/>
              <w:rPr>
                <w:rFonts w:hint="eastAsia" w:ascii="仿宋_GB2312" w:hAnsi="宋体" w:eastAsia="仿宋_GB2312" w:cs="宋体"/>
                <w:kern w:val="0"/>
                <w:sz w:val="20"/>
                <w:szCs w:val="20"/>
              </w:rPr>
            </w:pPr>
            <w:r>
              <w:rPr>
                <w:rFonts w:hint="eastAsia" w:ascii="仿宋" w:hAnsi="仿宋" w:eastAsia="仿宋" w:cs="宋体"/>
                <w:kern w:val="0"/>
                <w:sz w:val="20"/>
                <w:szCs w:val="20"/>
              </w:rPr>
              <w:t>①</w:t>
            </w:r>
            <w:r>
              <w:rPr>
                <w:rFonts w:hint="eastAsia" w:ascii="仿宋_GB2312" w:hAnsi="宋体" w:eastAsia="仿宋_GB2312" w:cs="宋体"/>
                <w:kern w:val="0"/>
                <w:sz w:val="20"/>
                <w:szCs w:val="20"/>
              </w:rPr>
              <w:t>开展20</w:t>
            </w:r>
            <w:r>
              <w:rPr>
                <w:rFonts w:hint="eastAsia" w:ascii="仿宋_GB2312" w:hAnsi="宋体" w:eastAsia="仿宋_GB2312" w:cs="宋体"/>
                <w:kern w:val="0"/>
                <w:sz w:val="20"/>
                <w:szCs w:val="20"/>
                <w:lang w:val="en-US" w:eastAsia="zh-CN"/>
              </w:rPr>
              <w:t>21</w:t>
            </w:r>
            <w:r>
              <w:rPr>
                <w:rFonts w:hint="eastAsia" w:ascii="仿宋_GB2312" w:hAnsi="宋体" w:eastAsia="仿宋_GB2312" w:cs="宋体"/>
                <w:kern w:val="0"/>
                <w:sz w:val="20"/>
                <w:szCs w:val="20"/>
              </w:rPr>
              <w:t>年度专项资金绩效自评的，2分，每少一个专项资金的自评扣1分，扣完为止；</w:t>
            </w:r>
            <w:r>
              <w:rPr>
                <w:rFonts w:hint="eastAsia" w:ascii="仿宋" w:hAnsi="仿宋" w:eastAsia="仿宋" w:cs="宋体"/>
                <w:kern w:val="0"/>
                <w:sz w:val="20"/>
                <w:szCs w:val="20"/>
              </w:rPr>
              <w:t>②</w:t>
            </w:r>
            <w:r>
              <w:rPr>
                <w:rFonts w:hint="eastAsia" w:ascii="仿宋_GB2312" w:hAnsi="宋体" w:eastAsia="仿宋_GB2312" w:cs="宋体"/>
                <w:kern w:val="0"/>
                <w:sz w:val="20"/>
                <w:szCs w:val="20"/>
              </w:rPr>
              <w:t>开展20</w:t>
            </w:r>
            <w:r>
              <w:rPr>
                <w:rFonts w:hint="eastAsia" w:ascii="仿宋_GB2312" w:hAnsi="宋体" w:eastAsia="仿宋_GB2312" w:cs="宋体"/>
                <w:kern w:val="0"/>
                <w:sz w:val="20"/>
                <w:szCs w:val="20"/>
                <w:lang w:val="en-US" w:eastAsia="zh-CN"/>
              </w:rPr>
              <w:t>21</w:t>
            </w:r>
            <w:r>
              <w:rPr>
                <w:rFonts w:hint="eastAsia" w:ascii="仿宋_GB2312" w:hAnsi="宋体" w:eastAsia="仿宋_GB2312" w:cs="宋体"/>
                <w:kern w:val="0"/>
                <w:sz w:val="20"/>
                <w:szCs w:val="20"/>
              </w:rPr>
              <w:t>年度已完工项目绩效自评的，2分，每少一个项目扣1分，扣完为止；</w:t>
            </w:r>
            <w:r>
              <w:rPr>
                <w:rFonts w:hint="eastAsia" w:ascii="仿宋" w:hAnsi="仿宋" w:eastAsia="仿宋" w:cs="宋体"/>
                <w:kern w:val="0"/>
                <w:sz w:val="20"/>
                <w:szCs w:val="20"/>
              </w:rPr>
              <w:t>③</w:t>
            </w:r>
            <w:r>
              <w:rPr>
                <w:rFonts w:hint="eastAsia" w:ascii="仿宋_GB2312" w:hAnsi="宋体" w:eastAsia="仿宋_GB2312" w:cs="宋体"/>
                <w:kern w:val="0"/>
                <w:sz w:val="20"/>
                <w:szCs w:val="20"/>
              </w:rPr>
              <w:t>开展20</w:t>
            </w:r>
            <w:r>
              <w:rPr>
                <w:rFonts w:hint="eastAsia" w:ascii="仿宋_GB2312" w:hAnsi="宋体" w:eastAsia="仿宋_GB2312" w:cs="宋体"/>
                <w:kern w:val="0"/>
                <w:sz w:val="20"/>
                <w:szCs w:val="20"/>
                <w:lang w:val="en-US" w:eastAsia="zh-CN"/>
              </w:rPr>
              <w:t>21</w:t>
            </w:r>
            <w:r>
              <w:rPr>
                <w:rFonts w:hint="eastAsia" w:ascii="仿宋_GB2312" w:hAnsi="宋体" w:eastAsia="仿宋_GB2312" w:cs="宋体"/>
                <w:kern w:val="0"/>
                <w:sz w:val="20"/>
                <w:szCs w:val="20"/>
              </w:rPr>
              <w:t>年度部门整体支出绩效自评的，1分；</w:t>
            </w:r>
            <w:r>
              <w:rPr>
                <w:rFonts w:hint="eastAsia" w:ascii="仿宋" w:hAnsi="仿宋" w:eastAsia="仿宋" w:cs="宋体"/>
                <w:kern w:val="0"/>
                <w:sz w:val="20"/>
                <w:szCs w:val="20"/>
              </w:rPr>
              <w:t>④</w:t>
            </w:r>
            <w:r>
              <w:rPr>
                <w:rFonts w:hint="eastAsia" w:ascii="仿宋_GB2312" w:hAnsi="宋体" w:eastAsia="仿宋_GB2312" w:cs="宋体"/>
                <w:kern w:val="0"/>
                <w:sz w:val="20"/>
                <w:szCs w:val="20"/>
              </w:rPr>
              <w:t>在规定时间内报送、公开以上自评报告材料的，2分。</w:t>
            </w:r>
          </w:p>
        </w:tc>
        <w:tc>
          <w:tcPr>
            <w:tcW w:w="3472" w:type="dxa"/>
            <w:vAlign w:val="center"/>
          </w:tcPr>
          <w:p>
            <w:pPr>
              <w:widowControl/>
              <w:jc w:val="left"/>
              <w:rPr>
                <w:rFonts w:hint="eastAsia" w:ascii="仿宋_GB2312" w:hAnsi="宋体" w:eastAsia="仿宋_GB2312" w:cs="宋体"/>
                <w:kern w:val="0"/>
                <w:sz w:val="20"/>
                <w:szCs w:val="20"/>
              </w:rPr>
            </w:pP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5" w:hRule="atLeast"/>
          <w:jc w:val="center"/>
        </w:trPr>
        <w:tc>
          <w:tcPr>
            <w:tcW w:w="411" w:type="dxa"/>
            <w:tcBorders>
              <w:top w:val="nil"/>
              <w:bottom w:val="single" w:color="auto" w:sz="4" w:space="0"/>
            </w:tcBorders>
            <w:vAlign w:val="center"/>
          </w:tcPr>
          <w:p>
            <w:pPr>
              <w:widowControl/>
              <w:jc w:val="center"/>
              <w:rPr>
                <w:rFonts w:ascii="仿宋_GB2312" w:hAnsi="宋体" w:eastAsia="仿宋_GB2312" w:cs="宋体"/>
                <w:kern w:val="0"/>
                <w:sz w:val="20"/>
                <w:szCs w:val="20"/>
              </w:rPr>
            </w:pPr>
          </w:p>
        </w:tc>
        <w:tc>
          <w:tcPr>
            <w:tcW w:w="429" w:type="dxa"/>
            <w:tcBorders>
              <w:top w:val="nil"/>
              <w:bottom w:val="single" w:color="auto" w:sz="4" w:space="0"/>
              <w:right w:val="single" w:color="auto" w:sz="4" w:space="0"/>
            </w:tcBorders>
            <w:vAlign w:val="center"/>
          </w:tcPr>
          <w:p>
            <w:pPr>
              <w:jc w:val="center"/>
              <w:rPr>
                <w:rFonts w:hint="eastAsia" w:ascii="仿宋_GB2312" w:hAnsi="宋体" w:eastAsia="仿宋_GB2312" w:cs="宋体"/>
                <w:kern w:val="0"/>
                <w:sz w:val="20"/>
                <w:szCs w:val="20"/>
              </w:rPr>
            </w:pPr>
          </w:p>
        </w:tc>
        <w:tc>
          <w:tcPr>
            <w:tcW w:w="567" w:type="dxa"/>
            <w:tcBorders>
              <w:top w:val="nil"/>
              <w:left w:val="single" w:color="auto" w:sz="4" w:space="0"/>
              <w:bottom w:val="single" w:color="auto" w:sz="4" w:space="0"/>
            </w:tcBorders>
            <w:vAlign w:val="center"/>
          </w:tcPr>
          <w:p>
            <w:pPr>
              <w:widowControl/>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评价 结果 运用</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jc w:val="left"/>
              <w:rPr>
                <w:rFonts w:hint="eastAsia" w:ascii="仿宋" w:hAnsi="仿宋" w:eastAsia="仿宋" w:cs="宋体"/>
                <w:sz w:val="20"/>
                <w:szCs w:val="20"/>
              </w:rPr>
            </w:pPr>
            <w:r>
              <w:rPr>
                <w:rFonts w:hint="eastAsia" w:ascii="仿宋_GB2312" w:hAnsi="宋体" w:eastAsia="仿宋_GB2312" w:cs="宋体"/>
                <w:kern w:val="0"/>
                <w:sz w:val="20"/>
                <w:szCs w:val="20"/>
              </w:rPr>
              <w:t>根据20</w:t>
            </w:r>
            <w:r>
              <w:rPr>
                <w:rFonts w:hint="eastAsia" w:ascii="仿宋_GB2312" w:hAnsi="宋体" w:eastAsia="仿宋_GB2312" w:cs="宋体"/>
                <w:kern w:val="0"/>
                <w:sz w:val="20"/>
                <w:szCs w:val="20"/>
                <w:lang w:val="en-US" w:eastAsia="zh-CN"/>
              </w:rPr>
              <w:t>21</w:t>
            </w:r>
            <w:r>
              <w:rPr>
                <w:rFonts w:hint="eastAsia" w:ascii="仿宋_GB2312" w:hAnsi="宋体" w:eastAsia="仿宋_GB2312" w:cs="宋体"/>
                <w:kern w:val="0"/>
                <w:sz w:val="20"/>
                <w:szCs w:val="20"/>
              </w:rPr>
              <w:t>年度财政重点绩效评价和单位自评情况，向财政报送整改结果并整改到位的，2分，否则不得分。</w:t>
            </w:r>
          </w:p>
        </w:tc>
        <w:tc>
          <w:tcPr>
            <w:tcW w:w="3472" w:type="dxa"/>
            <w:vAlign w:val="center"/>
          </w:tcPr>
          <w:p>
            <w:pPr>
              <w:jc w:val="left"/>
              <w:rPr>
                <w:rFonts w:hint="eastAsia" w:ascii="仿宋_GB2312" w:hAnsi="宋体" w:eastAsia="仿宋_GB2312" w:cs="宋体"/>
                <w:kern w:val="0"/>
                <w:sz w:val="20"/>
                <w:szCs w:val="20"/>
              </w:rPr>
            </w:pP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411" w:type="dxa"/>
            <w:vMerge w:val="restart"/>
            <w:tcBorders>
              <w:top w:val="single" w:color="auto" w:sz="4" w:space="0"/>
            </w:tcBorders>
            <w:textDirection w:val="tbRlV"/>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产   出</w:t>
            </w:r>
          </w:p>
        </w:tc>
        <w:tc>
          <w:tcPr>
            <w:tcW w:w="429" w:type="dxa"/>
            <w:vMerge w:val="restart"/>
            <w:tcBorders>
              <w:top w:val="single" w:color="auto" w:sz="4" w:space="0"/>
              <w:right w:val="single" w:color="auto" w:sz="4" w:space="0"/>
            </w:tcBorders>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职责履行</w:t>
            </w:r>
          </w:p>
        </w:tc>
        <w:tc>
          <w:tcPr>
            <w:tcW w:w="567" w:type="dxa"/>
            <w:vMerge w:val="restart"/>
            <w:tcBorders>
              <w:top w:val="single" w:color="auto" w:sz="4" w:space="0"/>
              <w:left w:val="single" w:color="auto" w:sz="4" w:space="0"/>
            </w:tcBorders>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　工作　完成率</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该项得分=重点工作完成率×2</w:t>
            </w:r>
          </w:p>
        </w:tc>
        <w:tc>
          <w:tcPr>
            <w:tcW w:w="3472" w:type="dxa"/>
            <w:vAlign w:val="center"/>
          </w:tcPr>
          <w:p>
            <w:pPr>
              <w:autoSpaceDN w:val="0"/>
              <w:jc w:val="left"/>
              <w:textAlignment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重点工作为市政府确定的为民办实事和部门重点工程与重点工作。</w:t>
            </w:r>
          </w:p>
        </w:tc>
        <w:tc>
          <w:tcPr>
            <w:tcW w:w="617" w:type="dxa"/>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411" w:type="dxa"/>
            <w:vMerge w:val="continue"/>
            <w:tcBorders>
              <w:bottom w:val="single" w:color="auto" w:sz="4" w:space="0"/>
            </w:tcBorders>
            <w:textDirection w:val="tbRlV"/>
            <w:vAlign w:val="center"/>
          </w:tcPr>
          <w:p>
            <w:pPr>
              <w:widowControl/>
              <w:jc w:val="center"/>
              <w:rPr>
                <w:rFonts w:hint="eastAsia" w:ascii="仿宋_GB2312" w:hAnsi="宋体" w:eastAsia="仿宋_GB2312" w:cs="宋体"/>
                <w:kern w:val="0"/>
                <w:sz w:val="20"/>
                <w:szCs w:val="20"/>
              </w:rPr>
            </w:pPr>
          </w:p>
        </w:tc>
        <w:tc>
          <w:tcPr>
            <w:tcW w:w="429" w:type="dxa"/>
            <w:vMerge w:val="continue"/>
            <w:tcBorders>
              <w:bottom w:val="single" w:color="auto" w:sz="4" w:space="0"/>
              <w:right w:val="single" w:color="auto" w:sz="4" w:space="0"/>
            </w:tcBorders>
            <w:vAlign w:val="center"/>
          </w:tcPr>
          <w:p>
            <w:pPr>
              <w:widowControl/>
              <w:jc w:val="center"/>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vAlign w:val="center"/>
          </w:tcPr>
          <w:p>
            <w:pPr>
              <w:widowControl/>
              <w:jc w:val="center"/>
              <w:rPr>
                <w:rFonts w:hint="eastAsia" w:ascii="仿宋_GB2312" w:hAnsi="宋体" w:eastAsia="仿宋_GB2312" w:cs="宋体"/>
                <w:kern w:val="0"/>
                <w:sz w:val="20"/>
                <w:szCs w:val="20"/>
              </w:rPr>
            </w:pPr>
          </w:p>
        </w:tc>
        <w:tc>
          <w:tcPr>
            <w:tcW w:w="851" w:type="dxa"/>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工作</w:t>
            </w:r>
          </w:p>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质量</w:t>
            </w:r>
          </w:p>
        </w:tc>
        <w:tc>
          <w:tcPr>
            <w:tcW w:w="567" w:type="dxa"/>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vAlign w:val="center"/>
          </w:tcPr>
          <w:p>
            <w:pPr>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以绩效考核评估结果为标准，优秀，计3分；良好，2分；合格，1分；不合格，0分。</w:t>
            </w:r>
          </w:p>
        </w:tc>
        <w:tc>
          <w:tcPr>
            <w:tcW w:w="3472" w:type="dxa"/>
            <w:vAlign w:val="center"/>
          </w:tcPr>
          <w:p>
            <w:pPr>
              <w:autoSpaceDN w:val="0"/>
              <w:jc w:val="left"/>
              <w:textAlignment w:val="center"/>
              <w:rPr>
                <w:rFonts w:hint="eastAsia" w:ascii="仿宋_GB2312" w:hAnsi="宋体" w:eastAsia="仿宋_GB2312" w:cs="宋体"/>
                <w:kern w:val="0"/>
                <w:sz w:val="20"/>
                <w:szCs w:val="20"/>
              </w:rPr>
            </w:pPr>
          </w:p>
        </w:tc>
        <w:tc>
          <w:tcPr>
            <w:tcW w:w="617" w:type="dxa"/>
            <w:vAlign w:val="center"/>
          </w:tcPr>
          <w:p>
            <w:pPr>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411" w:type="dxa"/>
            <w:vMerge w:val="restart"/>
            <w:tcBorders>
              <w:top w:val="single" w:color="auto" w:sz="4" w:space="0"/>
              <w:bottom w:val="single" w:color="auto" w:sz="4" w:space="0"/>
            </w:tcBorders>
            <w:textDirection w:val="tbRlV"/>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效  果</w:t>
            </w:r>
          </w:p>
        </w:tc>
        <w:tc>
          <w:tcPr>
            <w:tcW w:w="429" w:type="dxa"/>
            <w:vMerge w:val="restart"/>
            <w:tcBorders>
              <w:top w:val="single" w:color="auto" w:sz="4" w:space="0"/>
              <w:bottom w:val="single" w:color="auto" w:sz="4" w:space="0"/>
            </w:tcBorders>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履职效益</w:t>
            </w:r>
          </w:p>
        </w:tc>
        <w:tc>
          <w:tcPr>
            <w:tcW w:w="567" w:type="dxa"/>
            <w:vMerge w:val="restart"/>
            <w:tcBorders>
              <w:top w:val="single" w:color="auto" w:sz="4" w:space="0"/>
              <w:bottom w:val="single" w:color="auto" w:sz="4" w:space="0"/>
            </w:tcBorders>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经济  效益</w:t>
            </w:r>
          </w:p>
        </w:tc>
        <w:tc>
          <w:tcPr>
            <w:tcW w:w="567" w:type="dxa"/>
            <w:vMerge w:val="restart"/>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6590" w:type="dxa"/>
            <w:gridSpan w:val="2"/>
            <w:vMerge w:val="restart"/>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此三项指标可根据部门实际并结合</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年度部门整体支出绩效目标设立情况有选择的进行评价。</w:t>
            </w:r>
          </w:p>
        </w:tc>
        <w:tc>
          <w:tcPr>
            <w:tcW w:w="617" w:type="dxa"/>
            <w:vMerge w:val="restart"/>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411" w:type="dxa"/>
            <w:vMerge w:val="continue"/>
            <w:tcBorders>
              <w:top w:val="single" w:color="auto" w:sz="4" w:space="0"/>
              <w:bottom w:val="single" w:color="auto" w:sz="4" w:space="0"/>
            </w:tcBorders>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vAlign w:val="center"/>
          </w:tcPr>
          <w:p>
            <w:pPr>
              <w:widowControl/>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  效益</w:t>
            </w:r>
          </w:p>
        </w:tc>
        <w:tc>
          <w:tcPr>
            <w:tcW w:w="567" w:type="dxa"/>
            <w:vMerge w:val="continue"/>
            <w:vAlign w:val="center"/>
          </w:tcPr>
          <w:p>
            <w:pPr>
              <w:widowControl/>
              <w:jc w:val="both"/>
              <w:rPr>
                <w:rFonts w:hint="eastAsia" w:ascii="仿宋_GB2312" w:hAnsi="宋体" w:eastAsia="仿宋_GB2312" w:cs="宋体"/>
                <w:kern w:val="0"/>
                <w:sz w:val="20"/>
                <w:szCs w:val="20"/>
              </w:rPr>
            </w:pPr>
          </w:p>
        </w:tc>
        <w:tc>
          <w:tcPr>
            <w:tcW w:w="6590" w:type="dxa"/>
            <w:gridSpan w:val="2"/>
            <w:vMerge w:val="continue"/>
            <w:vAlign w:val="center"/>
          </w:tcPr>
          <w:p>
            <w:pPr>
              <w:widowControl/>
              <w:jc w:val="left"/>
              <w:rPr>
                <w:rFonts w:hint="eastAsia" w:ascii="仿宋_GB2312" w:hAnsi="宋体" w:eastAsia="仿宋_GB2312" w:cs="宋体"/>
                <w:kern w:val="0"/>
                <w:sz w:val="20"/>
                <w:szCs w:val="20"/>
              </w:rPr>
            </w:pPr>
          </w:p>
        </w:tc>
        <w:tc>
          <w:tcPr>
            <w:tcW w:w="617" w:type="dxa"/>
            <w:vMerge w:val="continue"/>
            <w:vAlign w:val="center"/>
          </w:tcPr>
          <w:p>
            <w:pPr>
              <w:widowControl/>
              <w:jc w:val="cente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411" w:type="dxa"/>
            <w:vMerge w:val="continue"/>
            <w:tcBorders>
              <w:top w:val="single" w:color="auto" w:sz="4" w:space="0"/>
              <w:bottom w:val="single" w:color="auto" w:sz="4" w:space="0"/>
            </w:tcBorders>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vAlign w:val="center"/>
          </w:tcPr>
          <w:p>
            <w:pPr>
              <w:widowControl/>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生态  效益</w:t>
            </w:r>
          </w:p>
        </w:tc>
        <w:tc>
          <w:tcPr>
            <w:tcW w:w="567" w:type="dxa"/>
            <w:vMerge w:val="continue"/>
            <w:vAlign w:val="center"/>
          </w:tcPr>
          <w:p>
            <w:pPr>
              <w:widowControl/>
              <w:jc w:val="both"/>
              <w:rPr>
                <w:rFonts w:hint="eastAsia" w:ascii="仿宋_GB2312" w:hAnsi="宋体" w:eastAsia="仿宋_GB2312" w:cs="宋体"/>
                <w:kern w:val="0"/>
                <w:sz w:val="20"/>
                <w:szCs w:val="20"/>
              </w:rPr>
            </w:pPr>
          </w:p>
        </w:tc>
        <w:tc>
          <w:tcPr>
            <w:tcW w:w="6590" w:type="dxa"/>
            <w:gridSpan w:val="2"/>
            <w:vMerge w:val="continue"/>
            <w:vAlign w:val="center"/>
          </w:tcPr>
          <w:p>
            <w:pPr>
              <w:widowControl/>
              <w:jc w:val="left"/>
              <w:rPr>
                <w:rFonts w:hint="eastAsia" w:ascii="仿宋_GB2312" w:hAnsi="宋体" w:eastAsia="仿宋_GB2312" w:cs="宋体"/>
                <w:kern w:val="0"/>
                <w:sz w:val="20"/>
                <w:szCs w:val="20"/>
              </w:rPr>
            </w:pPr>
          </w:p>
        </w:tc>
        <w:tc>
          <w:tcPr>
            <w:tcW w:w="617" w:type="dxa"/>
            <w:vMerge w:val="continue"/>
            <w:vAlign w:val="center"/>
          </w:tcPr>
          <w:p>
            <w:pPr>
              <w:widowControl/>
              <w:jc w:val="cente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0" w:hRule="atLeast"/>
          <w:jc w:val="center"/>
        </w:trPr>
        <w:tc>
          <w:tcPr>
            <w:tcW w:w="411" w:type="dxa"/>
            <w:vMerge w:val="continue"/>
            <w:tcBorders>
              <w:top w:val="single" w:color="auto" w:sz="4" w:space="0"/>
              <w:bottom w:val="single" w:color="auto" w:sz="4" w:space="0"/>
            </w:tcBorders>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vAlign w:val="center"/>
          </w:tcPr>
          <w:p>
            <w:pPr>
              <w:widowControl/>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社会公众或服务对象满意度</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90%（含）以上计2分；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80%（含）-90%，计1分；70%（含）-80%，计0.5分；低于70%,计0分。</w:t>
            </w:r>
          </w:p>
        </w:tc>
        <w:tc>
          <w:tcPr>
            <w:tcW w:w="3472"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社会公众或服务对象是指部门（单位）履行职责而影响到的部门，群体或个人，一般采取社会调查的方式(不少于30份)。</w:t>
            </w: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840" w:type="dxa"/>
            <w:gridSpan w:val="2"/>
            <w:vAlign w:val="center"/>
          </w:tcPr>
          <w:p>
            <w:pPr>
              <w:widowControl/>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合计</w:t>
            </w:r>
          </w:p>
        </w:tc>
        <w:tc>
          <w:tcPr>
            <w:tcW w:w="8575" w:type="dxa"/>
            <w:gridSpan w:val="5"/>
            <w:vAlign w:val="center"/>
          </w:tcPr>
          <w:p>
            <w:pPr>
              <w:widowControl/>
              <w:jc w:val="left"/>
              <w:rPr>
                <w:rFonts w:hint="eastAsia" w:ascii="仿宋_GB2312" w:hAnsi="宋体" w:eastAsia="仿宋_GB2312" w:cs="宋体"/>
                <w:kern w:val="0"/>
                <w:sz w:val="20"/>
                <w:szCs w:val="20"/>
              </w:rPr>
            </w:pP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90</w:t>
            </w:r>
          </w:p>
        </w:tc>
      </w:tr>
    </w:tbl>
    <w:p>
      <w:pPr>
        <w:spacing w:line="600" w:lineRule="exact"/>
        <w:rPr>
          <w:rFonts w:ascii="宋体" w:hAnsi="宋体" w:cs="宋体"/>
          <w:kern w:val="0"/>
          <w:sz w:val="32"/>
          <w:szCs w:val="32"/>
        </w:rPr>
      </w:pPr>
    </w:p>
    <w:p>
      <w:pPr>
        <w:pStyle w:val="6"/>
        <w:spacing w:line="440" w:lineRule="exact"/>
        <w:ind w:firstLine="560" w:firstLineChars="200"/>
        <w:rPr>
          <w:rFonts w:hint="eastAsia" w:cs="宋体" w:asciiTheme="minorEastAsia" w:hAnsiTheme="minorEastAsia" w:eastAsiaTheme="minorEastAsia"/>
          <w:color w:val="444444"/>
          <w:kern w:val="2"/>
          <w:sz w:val="28"/>
          <w:szCs w:val="28"/>
          <w:shd w:val="clear" w:color="auto" w:fill="FFFFFF"/>
        </w:rPr>
      </w:pP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42E103FF-D0D4-4848-9FBE-40857D2FF3C2}"/>
  </w:font>
  <w:font w:name="黑体">
    <w:panose1 w:val="02010609060101010101"/>
    <w:charset w:val="86"/>
    <w:family w:val="auto"/>
    <w:pitch w:val="default"/>
    <w:sig w:usb0="800002BF" w:usb1="38CF7CFA" w:usb2="00000016" w:usb3="00000000" w:csb0="00040001" w:csb1="00000000"/>
    <w:embedRegular r:id="rId2" w:fontKey="{96D068CC-12CB-43EE-95A7-F1167D0F3049}"/>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embedRegular r:id="rId3" w:fontKey="{757FB0D2-B2B7-46BF-BF24-6E232AC912D6}"/>
  </w:font>
  <w:font w:name="仿宋_GB2312">
    <w:altName w:val="仿宋"/>
    <w:panose1 w:val="02010609030101010101"/>
    <w:charset w:val="86"/>
    <w:family w:val="auto"/>
    <w:pitch w:val="default"/>
    <w:sig w:usb0="00000000" w:usb1="00000000" w:usb2="00000000" w:usb3="00000000" w:csb0="00040000" w:csb1="00000000"/>
    <w:embedRegular r:id="rId4" w:fontKey="{5E2ACCB1-7386-4807-9DF4-FFEBA988419B}"/>
  </w:font>
  <w:font w:name="仿宋">
    <w:panose1 w:val="02010609060101010101"/>
    <w:charset w:val="86"/>
    <w:family w:val="auto"/>
    <w:pitch w:val="default"/>
    <w:sig w:usb0="800002BF" w:usb1="38CF7CFA" w:usb2="00000016" w:usb3="00000000" w:csb0="00040001" w:csb1="00000000"/>
    <w:embedRegular r:id="rId5" w:fontKey="{99BB2F37-8C89-4691-8A07-C04CF7813BAC}"/>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81D7C3"/>
    <w:multiLevelType w:val="singleLevel"/>
    <w:tmpl w:val="B581D7C3"/>
    <w:lvl w:ilvl="0" w:tentative="0">
      <w:start w:val="4"/>
      <w:numFmt w:val="chineseCounting"/>
      <w:suff w:val="nothing"/>
      <w:lvlText w:val="%1、"/>
      <w:lvlJc w:val="left"/>
      <w:rPr>
        <w:rFonts w:hint="eastAsia"/>
      </w:rPr>
    </w:lvl>
  </w:abstractNum>
  <w:abstractNum w:abstractNumId="1">
    <w:nsid w:val="2DF1E62D"/>
    <w:multiLevelType w:val="singleLevel"/>
    <w:tmpl w:val="2DF1E62D"/>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QzOGMzM2Y1OWYzYzdhMzQ0ZjU5ZmZlZjYzN2FhNzYifQ=="/>
  </w:docVars>
  <w:rsids>
    <w:rsidRoot w:val="012966B5"/>
    <w:rsid w:val="012966B5"/>
    <w:rsid w:val="25336189"/>
    <w:rsid w:val="3A9C6C2D"/>
    <w:rsid w:val="633369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6">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2023-10-19T05:27:00Z</dcterms:created>
  <dc:creator>霸天陈</dc:creator>
  <cp:lastModifiedBy>Administrator</cp:lastModifiedBy>
  <dcterms:modified xsi:type="dcterms:W3CDTF">2023-12-13T09:08:31Z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2438486395654B4088D6F1D1A2AA1376_13</vt:lpwstr>
  </property>
</Properties>
</file>