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color w:val="000000" w:themeColor="text1"/>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shd w:val="clear" w:color="auto" w:fill="FFFFFF"/>
          <w14:textFill>
            <w14:solidFill>
              <w14:schemeClr w14:val="tx1"/>
            </w14:solidFill>
          </w14:textFill>
        </w:rPr>
        <w:t>202</w:t>
      </w:r>
      <w:r>
        <w:rPr>
          <w:rFonts w:hint="eastAsia" w:ascii="方正小标宋简体" w:hAnsi="方正小标宋简体" w:eastAsia="方正小标宋简体" w:cs="方正小标宋简体"/>
          <w:b w:val="0"/>
          <w:bCs w:val="0"/>
          <w:color w:val="000000" w:themeColor="text1"/>
          <w:sz w:val="44"/>
          <w:szCs w:val="44"/>
          <w:shd w:val="clear" w:color="auto" w:fill="FFFFFF"/>
          <w:lang w:val="en-US" w:eastAsia="zh-CN"/>
          <w14:textFill>
            <w14:solidFill>
              <w14:schemeClr w14:val="tx1"/>
            </w14:solidFill>
          </w14:textFill>
        </w:rPr>
        <w:t>2</w:t>
      </w:r>
      <w:r>
        <w:rPr>
          <w:rFonts w:hint="eastAsia" w:ascii="方正小标宋简体" w:hAnsi="方正小标宋简体" w:eastAsia="方正小标宋简体" w:cs="方正小标宋简体"/>
          <w:b w:val="0"/>
          <w:bCs w:val="0"/>
          <w:color w:val="000000" w:themeColor="text1"/>
          <w:sz w:val="44"/>
          <w:szCs w:val="44"/>
          <w:shd w:val="clear" w:color="auto" w:fill="FFFFFF"/>
          <w14:textFill>
            <w14:solidFill>
              <w14:schemeClr w14:val="tx1"/>
            </w14:solidFill>
          </w14:textFill>
        </w:rPr>
        <w:t>年度整体支出绩效评价报告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eastAsia" w:ascii="宋体" w:hAnsi="宋体" w:eastAsia="宋体" w:cs="宋体"/>
          <w:b/>
          <w:bCs/>
          <w:i w:val="0"/>
          <w:iCs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shd w:val="clear" w:fill="FFFFFF"/>
          <w14:textFill>
            <w14:solidFill>
              <w14:schemeClr w14:val="tx1"/>
            </w14:solidFill>
          </w14:textFill>
        </w:rPr>
        <w:t>一、部门基本情况</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宋体" w:cs="宋体"/>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shd w:val="clear" w:fill="FFFFFF"/>
          <w:lang w:val="en-US" w:eastAsia="zh-CN"/>
          <w14:textFill>
            <w14:solidFill>
              <w14:schemeClr w14:val="tx1"/>
            </w14:solidFill>
          </w14:textFill>
        </w:rPr>
        <w:t>（一）机构设置及人员情况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学校根据实际情况分别设有党支部、工会、教导处、</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政教处</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、总务处</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少先队大队</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等机构。</w:t>
      </w:r>
      <w:r>
        <w:rPr>
          <w:rFonts w:hint="eastAsia" w:ascii="华文楷体" w:hAnsi="华文楷体" w:eastAsia="华文楷体" w:cs="华文楷体"/>
          <w:color w:val="000000" w:themeColor="text1"/>
          <w:sz w:val="32"/>
          <w:szCs w:val="32"/>
          <w:lang w:val="en-US" w:eastAsia="zh-CN"/>
          <w14:textFill>
            <w14:solidFill>
              <w14:schemeClr w14:val="tx1"/>
            </w14:solidFill>
          </w14:textFill>
        </w:rPr>
        <w:t>共有</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编制人数</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67</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人，其中事业编制数</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67</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人；实有人数</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67</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人，其中在职教师</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65</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人，在职工勤</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人；退休教师</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45</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2.决算单位构成</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邵阳市北塔区陈家桥镇陈家桥学校无下属单位，因此，邵阳市北塔区陈家桥镇陈家桥学校2022年单位决算即邵阳市北塔区陈家桥镇陈家桥学校本级。</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宋体" w:cs="宋体"/>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shd w:val="clear" w:fill="FFFFFF"/>
          <w:lang w:val="en-US" w:eastAsia="zh-CN"/>
          <w14:textFill>
            <w14:solidFill>
              <w14:schemeClr w14:val="tx1"/>
            </w14:solidFill>
          </w14:textFill>
        </w:rPr>
        <w:t>（二）主要工作职责</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 xml:space="preserve">1.贯彻国家的教育方针，执行国家教育教学标准，保证教育教学质量；维护受教育者、教师及其他职工的合法权益。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 xml:space="preserve">2.以适当方式为受教育者及其监护人了解受教育者的学业成绩及其他有关情况提供便利。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 xml:space="preserve">3.遵照国家有关规定收取费用并公开收费项目。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 xml:space="preserve">4.按照章程自主管理，依法接受监督，组织实施教育教学活动。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 xml:space="preserve">5.招收学生或者其他受教育者；对受教育者进行学籍管理，实施奖励或者处分；对受教育者颁发相应的学业证书。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 xml:space="preserve">6.聘任教师及其他职工，实施奖励或者处分。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 xml:space="preserve">7.管理、使用本单位的设施和经费。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 xml:space="preserve">8.拒绝任何组织和个人对教育教学活动的非法干涉。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9.承办区人民政府和上级教育部门交办的其他事项。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eastAsia" w:ascii="宋体" w:hAnsi="宋体" w:eastAsia="宋体" w:cs="宋体"/>
          <w:b/>
          <w:bCs/>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shd w:val="clear" w:fill="FFFFFF"/>
          <w14:textFill>
            <w14:solidFill>
              <w14:schemeClr w14:val="tx1"/>
            </w14:solidFill>
          </w14:textFill>
        </w:rPr>
        <w:t>二、部门整体支出管理及使用情况</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宋体" w:cs="宋体"/>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shd w:val="clear" w:fill="FFFFFF"/>
          <w:lang w:val="en-US" w:eastAsia="zh-CN"/>
          <w14:textFill>
            <w14:solidFill>
              <w14:schemeClr w14:val="tx1"/>
            </w14:solidFill>
          </w14:textFill>
        </w:rPr>
        <w:t>（一）预算执行情况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2022年度收、支总计1,073.92万元。与上一年度相比，收、支总计各增加35.64万元，增长3.43%。主要原因是人员异动。</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宋体" w:cs="宋体"/>
          <w:b/>
          <w:bCs/>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highlight w:val="none"/>
          <w:shd w:val="clear" w:fill="FFFFFF"/>
          <w:lang w:val="en-US" w:eastAsia="zh-CN"/>
          <w14:textFill>
            <w14:solidFill>
              <w14:schemeClr w14:val="tx1"/>
            </w14:solidFill>
          </w14:textFill>
        </w:rPr>
        <w:t>（二）基本支出情况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rightChars="0" w:firstLine="560" w:firstLineChars="200"/>
        <w:jc w:val="both"/>
        <w:textAlignment w:val="auto"/>
        <w:rPr>
          <w:rFonts w:hint="eastAsia" w:ascii="宋体" w:hAnsi="宋体" w:eastAsia="宋体" w:cs="宋体"/>
          <w:i w:val="0"/>
          <w:iCs w:val="0"/>
          <w:caps w:val="0"/>
          <w:color w:val="000000" w:themeColor="text1"/>
          <w:spacing w:val="0"/>
          <w:kern w:val="2"/>
          <w:sz w:val="28"/>
          <w:szCs w:val="28"/>
          <w:highlight w:val="none"/>
          <w:shd w:val="clear" w:fill="FFFFFF"/>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kern w:val="2"/>
          <w:sz w:val="28"/>
          <w:szCs w:val="28"/>
          <w:highlight w:val="none"/>
          <w:shd w:val="clear" w:fill="FFFFFF"/>
          <w:lang w:val="en-US" w:eastAsia="zh-CN" w:bidi="ar-SA"/>
          <w14:textFill>
            <w14:solidFill>
              <w14:schemeClr w14:val="tx1"/>
            </w14:solidFill>
          </w14:textFill>
        </w:rPr>
        <w:t>2022年度陈家桥学校基本支出为</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1063.82</w:t>
      </w:r>
      <w:r>
        <w:rPr>
          <w:rFonts w:hint="eastAsia" w:ascii="宋体" w:hAnsi="宋体" w:eastAsia="宋体" w:cs="宋体"/>
          <w:i w:val="0"/>
          <w:iCs w:val="0"/>
          <w:caps w:val="0"/>
          <w:color w:val="000000" w:themeColor="text1"/>
          <w:spacing w:val="0"/>
          <w:kern w:val="2"/>
          <w:sz w:val="28"/>
          <w:szCs w:val="28"/>
          <w:highlight w:val="none"/>
          <w:shd w:val="clear" w:fill="FFFFFF"/>
          <w:lang w:val="en-US" w:eastAsia="zh-CN" w:bidi="ar-SA"/>
          <w14:textFill>
            <w14:solidFill>
              <w14:schemeClr w14:val="tx1"/>
            </w14:solidFill>
          </w14:textFill>
        </w:rPr>
        <w:t>万元，主要为教育支出 798.26 万元，社会保障和就业支出 91.81 万元，卫生健康支出 40.53 万元，住房保障支出 68.43 万元，其他支出64.79万元。</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宋体" w:cs="宋体"/>
          <w:b/>
          <w:bCs/>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highlight w:val="none"/>
          <w:shd w:val="clear" w:fill="FFFFFF"/>
          <w:lang w:val="en-US" w:eastAsia="zh-CN"/>
          <w14:textFill>
            <w14:solidFill>
              <w14:schemeClr w14:val="tx1"/>
            </w14:solidFill>
          </w14:textFill>
        </w:rPr>
        <w:t>（三）项目支出情况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rightChars="0" w:firstLine="560" w:firstLineChars="200"/>
        <w:jc w:val="both"/>
        <w:textAlignment w:val="auto"/>
        <w:rPr>
          <w:rFonts w:hint="eastAsia" w:ascii="宋体" w:hAnsi="宋体" w:eastAsia="宋体" w:cs="宋体"/>
          <w:i w:val="0"/>
          <w:iCs w:val="0"/>
          <w:caps w:val="0"/>
          <w:color w:val="000000" w:themeColor="text1"/>
          <w:spacing w:val="0"/>
          <w:kern w:val="2"/>
          <w:sz w:val="28"/>
          <w:szCs w:val="28"/>
          <w:highlight w:val="none"/>
          <w:shd w:val="clear" w:fill="FFFFFF"/>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kern w:val="2"/>
          <w:sz w:val="28"/>
          <w:szCs w:val="28"/>
          <w:highlight w:val="none"/>
          <w:shd w:val="clear" w:fill="FFFFFF"/>
          <w:lang w:val="en-US" w:eastAsia="zh-CN" w:bidi="ar-SA"/>
          <w14:textFill>
            <w14:solidFill>
              <w14:schemeClr w14:val="tx1"/>
            </w14:solidFill>
          </w14:textFill>
        </w:rPr>
        <w:t>本年项目支出为</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10.1</w:t>
      </w:r>
      <w:r>
        <w:rPr>
          <w:rFonts w:hint="eastAsia" w:ascii="宋体" w:hAnsi="宋体" w:eastAsia="宋体" w:cs="宋体"/>
          <w:i w:val="0"/>
          <w:iCs w:val="0"/>
          <w:caps w:val="0"/>
          <w:color w:val="000000" w:themeColor="text1"/>
          <w:spacing w:val="0"/>
          <w:kern w:val="2"/>
          <w:sz w:val="28"/>
          <w:szCs w:val="28"/>
          <w:highlight w:val="none"/>
          <w:shd w:val="clear" w:fill="FFFFFF"/>
          <w:lang w:val="en-US" w:eastAsia="zh-CN" w:bidi="ar-SA"/>
          <w14:textFill>
            <w14:solidFill>
              <w14:schemeClr w14:val="tx1"/>
            </w14:solidFill>
          </w14:textFill>
        </w:rPr>
        <w:t>万元。主要为教育支出 2 万元，其他支出8.1万元。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eastAsia" w:ascii="宋体" w:hAnsi="宋体" w:eastAsia="宋体" w:cs="宋体"/>
          <w:b/>
          <w:bCs/>
          <w:i w:val="0"/>
          <w:iCs w:val="0"/>
          <w:caps w:val="0"/>
          <w:color w:val="000000" w:themeColor="text1"/>
          <w:spacing w:val="0"/>
          <w:sz w:val="32"/>
          <w:szCs w:val="32"/>
          <w:highlight w:val="none"/>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highlight w:val="none"/>
          <w:shd w:val="clear" w:fill="FFFFFF"/>
          <w:lang w:val="en-US" w:eastAsia="zh-CN"/>
          <w14:textFill>
            <w14:solidFill>
              <w14:schemeClr w14:val="tx1"/>
            </w14:solidFill>
          </w14:textFill>
        </w:rPr>
        <w:t>三</w:t>
      </w:r>
      <w:r>
        <w:rPr>
          <w:rFonts w:hint="eastAsia" w:ascii="宋体" w:hAnsi="宋体" w:eastAsia="宋体" w:cs="宋体"/>
          <w:b/>
          <w:bCs/>
          <w:i w:val="0"/>
          <w:iCs w:val="0"/>
          <w:caps w:val="0"/>
          <w:color w:val="000000" w:themeColor="text1"/>
          <w:spacing w:val="0"/>
          <w:sz w:val="32"/>
          <w:szCs w:val="32"/>
          <w:highlight w:val="none"/>
          <w:shd w:val="clear" w:fill="FFFFFF"/>
          <w14:textFill>
            <w14:solidFill>
              <w14:schemeClr w14:val="tx1"/>
            </w14:solidFill>
          </w14:textFill>
        </w:rPr>
        <w:t>、部门整体支出绩效情况</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宋体" w:cs="宋体"/>
          <w:b/>
          <w:bCs/>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highlight w:val="none"/>
          <w:shd w:val="clear" w:fill="FFFFFF"/>
          <w:lang w:val="en-US" w:eastAsia="zh-CN"/>
          <w14:textFill>
            <w14:solidFill>
              <w14:schemeClr w14:val="tx1"/>
            </w14:solidFill>
          </w14:textFill>
        </w:rPr>
        <w:t>（一）主要绩效指标完成情况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eastAsia" w:ascii="宋体" w:hAnsi="宋体" w:eastAsia="宋体" w:cs="宋体"/>
          <w:i w:val="0"/>
          <w:iCs w:val="0"/>
          <w:caps w:val="0"/>
          <w:color w:val="000000" w:themeColor="text1"/>
          <w:spacing w:val="0"/>
          <w:kern w:val="2"/>
          <w:sz w:val="28"/>
          <w:szCs w:val="28"/>
          <w:highlight w:val="none"/>
          <w:shd w:val="clear" w:fill="FFFFFF"/>
          <w:lang w:val="en-US" w:eastAsia="zh-CN" w:bidi="ar-SA"/>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highlight w:val="none"/>
          <w:shd w:val="clear" w:fill="FFFFFF"/>
          <w14:textFill>
            <w14:solidFill>
              <w14:schemeClr w14:val="tx1"/>
            </w14:solidFill>
          </w14:textFill>
        </w:rPr>
        <w:t>1、预算执行情况。</w:t>
      </w:r>
      <w:r>
        <w:rPr>
          <w:rFonts w:hint="eastAsia" w:ascii="宋体" w:hAnsi="宋体" w:eastAsia="宋体" w:cs="宋体"/>
          <w:i w:val="0"/>
          <w:iCs w:val="0"/>
          <w:caps w:val="0"/>
          <w:color w:val="000000" w:themeColor="text1"/>
          <w:spacing w:val="0"/>
          <w:kern w:val="2"/>
          <w:sz w:val="28"/>
          <w:szCs w:val="28"/>
          <w:highlight w:val="none"/>
          <w:shd w:val="clear" w:fill="FFFFFF"/>
          <w:lang w:val="en-US" w:eastAsia="zh-CN" w:bidi="ar-SA"/>
          <w14:textFill>
            <w14:solidFill>
              <w14:schemeClr w14:val="tx1"/>
            </w14:solidFill>
          </w14:textFill>
        </w:rPr>
        <w:t>⑴2022年财政拨款预算执行数</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1073.92</w:t>
      </w:r>
      <w:r>
        <w:rPr>
          <w:rFonts w:hint="eastAsia" w:ascii="宋体" w:hAnsi="宋体" w:eastAsia="宋体" w:cs="宋体"/>
          <w:i w:val="0"/>
          <w:iCs w:val="0"/>
          <w:caps w:val="0"/>
          <w:color w:val="000000" w:themeColor="text1"/>
          <w:spacing w:val="0"/>
          <w:kern w:val="2"/>
          <w:sz w:val="28"/>
          <w:szCs w:val="28"/>
          <w:highlight w:val="none"/>
          <w:shd w:val="clear" w:fill="FFFFFF"/>
          <w:lang w:val="en-US" w:eastAsia="zh-CN" w:bidi="ar-SA"/>
          <w14:textFill>
            <w14:solidFill>
              <w14:schemeClr w14:val="tx1"/>
            </w14:solidFill>
          </w14:textFill>
        </w:rPr>
        <w:t>万元，预算安排数884.65万元，预算执行率为121%，当年预算有超支189.27万元；⑵公用经费预算15.46万元，实际支出111.15万元，公用经费控制率为718%；、（3）“三公经费”年初预算安排0万元，实际支出0万元，“三公经费”控制率为100%。（4）</w:t>
      </w:r>
      <w:r>
        <w:rPr>
          <w:rFonts w:hint="eastAsia" w:asciiTheme="minorEastAsia" w:hAnsiTheme="minorEastAsia" w:eastAsiaTheme="minorEastAsia"/>
          <w:color w:val="212529"/>
          <w:sz w:val="28"/>
          <w:szCs w:val="28"/>
        </w:rPr>
        <w:t>2022年度政府采购支出总额0万元，其中：政府采购货物支出0万元、政府采购工程支出0万元、政府采购服务支出0万元。授予中小企业合同金额0万元，占政府采购支出总额的0%，其中：授予小微企业合同金额0万元，占政府采购支出总额的0%。货物采购授予中小企业合同金额占货物支出金额的0%，工程采购授予中小企业合同金额占工程支出金额的0%，服务采购授予中小企业合同金额占服务支出金额的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eastAsia" w:ascii="宋体" w:hAnsi="宋体" w:eastAsia="宋体" w:cs="宋体"/>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highlight w:val="none"/>
          <w:shd w:val="clear" w:fill="FFFFFF"/>
          <w14:textFill>
            <w14:solidFill>
              <w14:schemeClr w14:val="tx1"/>
            </w14:solidFill>
          </w14:textFill>
        </w:rPr>
        <w:t>2、预决算信息公开情况。</w:t>
      </w:r>
      <w:r>
        <w:rPr>
          <w:rFonts w:hint="eastAsia" w:ascii="宋体" w:hAnsi="宋体" w:eastAsia="宋体" w:cs="宋体"/>
          <w:i w:val="0"/>
          <w:iCs w:val="0"/>
          <w:caps w:val="0"/>
          <w:color w:val="000000" w:themeColor="text1"/>
          <w:spacing w:val="0"/>
          <w:kern w:val="2"/>
          <w:sz w:val="28"/>
          <w:szCs w:val="28"/>
          <w:highlight w:val="none"/>
          <w:shd w:val="clear" w:fill="FFFFFF"/>
          <w:lang w:val="en-US" w:eastAsia="zh-CN" w:bidi="ar-SA"/>
          <w14:textFill>
            <w14:solidFill>
              <w14:schemeClr w14:val="tx1"/>
            </w14:solidFill>
          </w14:textFill>
        </w:rPr>
        <w:t>陈家桥学校及时在区政</w:t>
      </w:r>
      <w:r>
        <w:rPr>
          <w:rFonts w:hint="eastAsia" w:ascii="宋体" w:hAnsi="宋体" w:eastAsia="宋体" w:cs="宋体"/>
          <w:i w:val="0"/>
          <w:iCs w:val="0"/>
          <w:caps w:val="0"/>
          <w:color w:val="000000" w:themeColor="text1"/>
          <w:spacing w:val="0"/>
          <w:kern w:val="2"/>
          <w:sz w:val="28"/>
          <w:szCs w:val="28"/>
          <w:shd w:val="clear" w:fill="FFFFFF"/>
          <w:lang w:val="en-US" w:eastAsia="zh-CN" w:bidi="ar-SA"/>
          <w14:textFill>
            <w14:solidFill>
              <w14:schemeClr w14:val="tx1"/>
            </w14:solidFill>
          </w14:textFill>
        </w:rPr>
        <w:t>府统一平台公开了部门预算、决算和绩效目标、绩效自评报告、“三公经费”等信息，接受群众和社会监督。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default" w:ascii="宋体" w:hAnsi="宋体" w:eastAsia="宋体" w:cs="宋体"/>
          <w:i w:val="0"/>
          <w:iCs w:val="0"/>
          <w:caps w:val="0"/>
          <w:color w:val="000000" w:themeColor="text1"/>
          <w:spacing w:val="0"/>
          <w:kern w:val="2"/>
          <w:sz w:val="28"/>
          <w:szCs w:val="28"/>
          <w:highlight w:val="none"/>
          <w:shd w:val="clear" w:fill="FFFFFF"/>
          <w:lang w:val="en-US" w:eastAsia="zh-CN" w:bidi="ar-SA"/>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宋体" w:hAnsi="宋体" w:eastAsia="宋体" w:cs="宋体"/>
          <w:b/>
          <w:bCs/>
          <w:i w:val="0"/>
          <w:iCs w:val="0"/>
          <w:caps w:val="0"/>
          <w:color w:val="000000" w:themeColor="text1"/>
          <w:spacing w:val="0"/>
          <w:sz w:val="32"/>
          <w:szCs w:val="32"/>
          <w:shd w:val="clear" w:fill="FFFFFF"/>
          <w14:textFill>
            <w14:solidFill>
              <w14:schemeClr w14:val="tx1"/>
            </w14:solidFill>
          </w14:textFill>
        </w:rPr>
        <w:t>、资产管理情况。</w:t>
      </w:r>
      <w:r>
        <w:rPr>
          <w:rFonts w:hint="eastAsia" w:ascii="宋体" w:hAnsi="宋体" w:eastAsia="宋体" w:cs="宋体"/>
          <w:i w:val="0"/>
          <w:iCs w:val="0"/>
          <w:caps w:val="0"/>
          <w:color w:val="000000" w:themeColor="text1"/>
          <w:spacing w:val="0"/>
          <w:kern w:val="2"/>
          <w:sz w:val="28"/>
          <w:szCs w:val="28"/>
          <w:shd w:val="clear" w:fill="FFFFFF"/>
          <w:lang w:val="en-US" w:eastAsia="zh-CN" w:bidi="ar-SA"/>
          <w14:textFill>
            <w14:solidFill>
              <w14:schemeClr w14:val="tx1"/>
            </w14:solidFill>
          </w14:textFill>
        </w:rPr>
        <w:t>截止2022年12月31日，</w:t>
      </w:r>
      <w:r>
        <w:rPr>
          <w:rFonts w:hint="eastAsia" w:ascii="宋体" w:hAnsi="宋体" w:eastAsia="宋体" w:cs="宋体"/>
          <w:i w:val="0"/>
          <w:iCs w:val="0"/>
          <w:caps w:val="0"/>
          <w:color w:val="000000" w:themeColor="text1"/>
          <w:spacing w:val="0"/>
          <w:kern w:val="2"/>
          <w:sz w:val="28"/>
          <w:szCs w:val="28"/>
          <w:highlight w:val="none"/>
          <w:shd w:val="clear" w:fill="FFFFFF"/>
          <w:lang w:val="en-US" w:eastAsia="zh-CN" w:bidi="ar-SA"/>
          <w14:textFill>
            <w14:solidFill>
              <w14:schemeClr w14:val="tx1"/>
            </w14:solidFill>
          </w14:textFill>
        </w:rPr>
        <w:t>陈家桥学校拥有各类资产总额1688.94万元，其中流动资产118.71万元，固定资产1570.23万元。单位为加强资产管理，内部制定了资产管理制度，</w:t>
      </w:r>
      <w:r>
        <w:rPr>
          <w:rFonts w:hint="eastAsia" w:ascii="宋体" w:hAnsi="宋体" w:eastAsia="宋体" w:cs="宋体"/>
          <w:i w:val="0"/>
          <w:iCs w:val="0"/>
          <w:caps w:val="0"/>
          <w:color w:val="000000" w:themeColor="text1"/>
          <w:spacing w:val="0"/>
          <w:kern w:val="2"/>
          <w:sz w:val="28"/>
          <w:szCs w:val="28"/>
          <w:shd w:val="clear" w:fill="FFFFFF"/>
          <w:lang w:val="en-US" w:eastAsia="zh-CN" w:bidi="ar-SA"/>
          <w14:textFill>
            <w14:solidFill>
              <w14:schemeClr w14:val="tx1"/>
            </w14:solidFill>
          </w14:textFill>
        </w:rPr>
        <w:t>对各类资产的购置、保管、使用、报废、处置等方面都作出了明确的规定，制度要求所有办公设备（含办公用品）的添置，先由各部门提出申请，经业务分管领导审核同意后，再由办公室及时采购并建立固定资产实物登记台账，工作人员异动，必须及时办理固定资产移交手续，不得侵占和擅自带走，各部门不得擅自购买任何办公用品和设备，否则不予报销。</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宋体" w:cs="宋体"/>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shd w:val="clear" w:fill="FFFFFF"/>
          <w:lang w:val="en-US" w:eastAsia="zh-CN"/>
          <w14:textFill>
            <w14:solidFill>
              <w14:schemeClr w14:val="tx1"/>
            </w14:solidFill>
          </w14:textFill>
        </w:rPr>
        <w:t>（二）职责覆行和主要绩效情况</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202</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年，我</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校</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充分履行职责职能，严格执行各项管理制度，经济、社会等效益显著、社会公众满意度上升，较好地完成了全年工作目标。</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14:textFill>
            <w14:solidFill>
              <w14:schemeClr w14:val="tx1"/>
            </w14:solidFill>
          </w14:textFill>
        </w:rPr>
        <w:t>强化教育履职。</w:t>
      </w:r>
      <w:r>
        <w:rPr>
          <w:rFonts w:hint="eastAsia" w:ascii="仿宋_GB2312" w:hAnsi="仿宋_GB2312" w:eastAsia="仿宋_GB2312" w:cs="仿宋_GB2312"/>
          <w:color w:val="000000" w:themeColor="text1"/>
          <w:sz w:val="32"/>
          <w:szCs w:val="32"/>
          <w14:textFill>
            <w14:solidFill>
              <w14:schemeClr w14:val="tx1"/>
            </w14:solidFill>
          </w14:textFill>
        </w:rPr>
        <w:t>加强了“党委统一领导、党政齐抓共管、部门各负其责”的教育工作领导体制，确立了将教育作为“民生福区”的首要举措，以“把北塔区打造成为湖南教育优质均衡示范区”为目标，在推进教育高质量发展上闯出新路子、展现新作为。</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14:textFill>
            <w14:solidFill>
              <w14:schemeClr w14:val="tx1"/>
            </w14:solidFill>
          </w14:textFill>
        </w:rPr>
        <w:t>强化理论武装。</w:t>
      </w:r>
      <w:r>
        <w:rPr>
          <w:rFonts w:hint="eastAsia" w:ascii="仿宋_GB2312" w:hAnsi="仿宋_GB2312" w:eastAsia="仿宋_GB2312" w:cs="仿宋_GB2312"/>
          <w:color w:val="000000" w:themeColor="text1"/>
          <w:spacing w:val="8"/>
          <w:sz w:val="32"/>
          <w:szCs w:val="32"/>
          <w14:textFill>
            <w14:solidFill>
              <w14:schemeClr w14:val="tx1"/>
            </w14:solidFill>
          </w14:textFill>
        </w:rPr>
        <w:t>坚持把学习贯彻新时代党的创新理论作为首要政治任务，推行教育系统理论学习中心组学习“每月一次、上下同题”，分级分类抓好党史学习教育、五中六中全会精神学习，广泛开展宣传宣讲，深学细照笃行。</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14:textFill>
            <w14:solidFill>
              <w14:schemeClr w14:val="tx1"/>
            </w14:solidFill>
          </w14:textFill>
        </w:rPr>
        <w:t>强化党建引领。</w:t>
      </w:r>
      <w:r>
        <w:rPr>
          <w:rFonts w:hint="eastAsia" w:ascii="仿宋_GB2312" w:hAnsi="仿宋_GB2312" w:eastAsia="仿宋_GB2312" w:cs="仿宋_GB2312"/>
          <w:color w:val="000000" w:themeColor="text1"/>
          <w:sz w:val="32"/>
          <w:szCs w:val="32"/>
          <w14:textFill>
            <w14:solidFill>
              <w14:schemeClr w14:val="tx1"/>
            </w14:solidFill>
          </w14:textFill>
        </w:rPr>
        <w:t>全面落实党组织领导下的校长负责制，在基层党支部支部中实施“党建+”“双培养”工程，在团员青年中大力开展“青年大学习”，在广大少先队员中开展“系好人生第一粒扣子”系列主题活动，党建引领、群团跟进。</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14:textFill>
            <w14:solidFill>
              <w14:schemeClr w14:val="tx1"/>
            </w14:solidFill>
          </w14:textFill>
        </w:rPr>
        <w:t>强化执纪监督。</w:t>
      </w:r>
      <w:r>
        <w:rPr>
          <w:rFonts w:hint="eastAsia" w:ascii="仿宋_GB2312" w:hAnsi="仿宋_GB2312" w:eastAsia="仿宋_GB2312" w:cs="仿宋_GB2312"/>
          <w:color w:val="000000" w:themeColor="text1"/>
          <w:sz w:val="32"/>
          <w:szCs w:val="32"/>
          <w14:textFill>
            <w14:solidFill>
              <w14:schemeClr w14:val="tx1"/>
            </w14:solidFill>
          </w14:textFill>
        </w:rPr>
        <w:t>压紧压实全面从严治党主体责任，将清廉之责嵌入教育履职的出发点，以“师德师风建设年”为契机，通过开展“六个一”活动，筑牢班子、党员和广大教师清廉履职的“防火墙”，“崇廉倡廉”成为办学治校的有力抓手，“清廉学校”创建收到了扎实成效。</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bCs/>
          <w:color w:val="000000" w:themeColor="text1"/>
          <w:sz w:val="32"/>
          <w:szCs w:val="32"/>
          <w14:textFill>
            <w14:solidFill>
              <w14:schemeClr w14:val="tx1"/>
            </w14:solidFill>
          </w14:textFill>
        </w:rPr>
        <w:t>全面深化教育督导体制机制改革。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积极配合教育局设立的教育督导专员工作，实现学校教育有督察促进，有引导方向的发展</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202</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年我</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校</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取得了较好的社会效益。</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themeColor="text1"/>
          <w:kern w:val="0"/>
          <w:sz w:val="32"/>
          <w:szCs w:val="32"/>
          <w:shd w:val="clear" w:color="auto" w:fill="FFFFFF"/>
          <w14:textFill>
            <w14:solidFill>
              <w14:schemeClr w14:val="tx1"/>
            </w14:solidFill>
          </w14:textFill>
        </w:rPr>
      </w:pPr>
      <w:r>
        <w:rPr>
          <w:rFonts w:hint="eastAsia" w:ascii="黑体" w:hAnsi="黑体" w:eastAsia="黑体" w:cs="黑体"/>
          <w:color w:val="000000" w:themeColor="text1"/>
          <w:kern w:val="0"/>
          <w:sz w:val="32"/>
          <w:szCs w:val="32"/>
          <w:shd w:val="clear" w:color="auto" w:fill="FFFFFF"/>
          <w14:textFill>
            <w14:solidFill>
              <w14:schemeClr w14:val="tx1"/>
            </w14:solidFill>
          </w14:textFill>
        </w:rPr>
        <w:t>四、综合评价情况及评价结论</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2021年我</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校</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取得了较好的社会效益。根据邵阳市财政</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校</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《部门整体支出绩效评价指标评分表》评分体系，我</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校</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整体支出绩效</w:t>
      </w:r>
      <w:r>
        <w:rPr>
          <w:rFonts w:hint="eastAsia" w:ascii="仿宋_GB2312" w:hAnsi="仿宋_GB2312" w:eastAsia="仿宋_GB2312" w:cs="仿宋_GB2312"/>
          <w:color w:val="000000" w:themeColor="text1"/>
          <w:kern w:val="0"/>
          <w:sz w:val="32"/>
          <w:szCs w:val="32"/>
          <w:highlight w:val="none"/>
          <w:shd w:val="clear" w:color="auto" w:fill="FFFFFF"/>
          <w14:textFill>
            <w14:solidFill>
              <w14:schemeClr w14:val="tx1"/>
            </w14:solidFill>
          </w14:textFill>
        </w:rPr>
        <w:t>自评8</w:t>
      </w:r>
      <w:r>
        <w:rPr>
          <w:rFonts w:hint="eastAsia" w:ascii="仿宋_GB2312" w:hAnsi="仿宋_GB2312" w:eastAsia="仿宋_GB2312" w:cs="仿宋_GB2312"/>
          <w:color w:val="000000" w:themeColor="text1"/>
          <w:kern w:val="0"/>
          <w:sz w:val="32"/>
          <w:szCs w:val="32"/>
          <w:highlight w:val="none"/>
          <w:shd w:val="clear" w:color="auto" w:fill="FFFFFF"/>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highlight w:val="none"/>
          <w:shd w:val="clear" w:color="auto" w:fill="FFFFFF"/>
          <w14:textFill>
            <w14:solidFill>
              <w14:schemeClr w14:val="tx1"/>
            </w14:solidFill>
          </w14:textFill>
        </w:rPr>
        <w:t>分，</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自评结果为合格。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kern w:val="0"/>
          <w:sz w:val="32"/>
          <w:szCs w:val="32"/>
          <w:shd w:val="clear" w:color="auto" w:fill="FFFFFF"/>
          <w14:textFill>
            <w14:solidFill>
              <w14:schemeClr w14:val="tx1"/>
            </w14:solidFill>
          </w14:textFill>
        </w:rPr>
      </w:pPr>
      <w:r>
        <w:rPr>
          <w:rFonts w:hint="eastAsia" w:ascii="黑体" w:hAnsi="黑体" w:eastAsia="黑体" w:cs="黑体"/>
          <w:color w:val="000000" w:themeColor="text1"/>
          <w:kern w:val="0"/>
          <w:sz w:val="32"/>
          <w:szCs w:val="32"/>
          <w:shd w:val="clear" w:color="auto" w:fill="FFFFFF"/>
          <w14:textFill>
            <w14:solidFill>
              <w14:schemeClr w14:val="tx1"/>
            </w14:solidFill>
          </w14:textFill>
        </w:rPr>
        <w:t>五、存在的问题及原因分析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2022年</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存在</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部分</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超预算问题</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，具体原因是有人员异动和不可预见性支出。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kern w:val="0"/>
          <w:sz w:val="32"/>
          <w:szCs w:val="32"/>
          <w:shd w:val="clear" w:color="auto" w:fill="FFFFFF"/>
          <w14:textFill>
            <w14:solidFill>
              <w14:schemeClr w14:val="tx1"/>
            </w14:solidFill>
          </w14:textFill>
        </w:rPr>
      </w:pPr>
      <w:r>
        <w:rPr>
          <w:rFonts w:hint="eastAsia" w:ascii="黑体" w:hAnsi="黑体" w:eastAsia="黑体" w:cs="黑体"/>
          <w:color w:val="000000" w:themeColor="text1"/>
          <w:kern w:val="0"/>
          <w:sz w:val="32"/>
          <w:szCs w:val="32"/>
          <w:shd w:val="clear" w:color="auto" w:fill="FFFFFF"/>
          <w:lang w:eastAsia="zh-CN"/>
          <w14:textFill>
            <w14:solidFill>
              <w14:schemeClr w14:val="tx1"/>
            </w14:solidFill>
          </w14:textFill>
        </w:rPr>
        <w:t>六、</w:t>
      </w:r>
      <w:bookmarkStart w:id="1" w:name="_GoBack"/>
      <w:bookmarkEnd w:id="1"/>
      <w:r>
        <w:rPr>
          <w:rFonts w:hint="eastAsia" w:ascii="黑体" w:hAnsi="黑体" w:eastAsia="黑体" w:cs="黑体"/>
          <w:color w:val="000000" w:themeColor="text1"/>
          <w:kern w:val="0"/>
          <w:sz w:val="32"/>
          <w:szCs w:val="32"/>
          <w:shd w:val="clear" w:color="auto" w:fill="FFFFFF"/>
          <w14:textFill>
            <w14:solidFill>
              <w14:schemeClr w14:val="tx1"/>
            </w14:solidFill>
          </w14:textFill>
        </w:rPr>
        <w:t>改进措施及有关建议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进一步提高绩效管理水平。加强预算执行的准确性，开展好支出绩效管理工作，运用好绩效评价结果，不断提升绩效管理水平。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p>
    <w:p>
      <w:pPr>
        <w:rPr>
          <w:rFonts w:hint="eastAsia" w:asciiTheme="minorEastAsia" w:hAnsiTheme="minorEastAsia" w:cstheme="minorEastAsia"/>
          <w:color w:val="000000" w:themeColor="text1"/>
          <w:kern w:val="0"/>
          <w:sz w:val="24"/>
          <w:lang w:val="en-US" w:eastAsia="zh-CN"/>
          <w14:textFill>
            <w14:solidFill>
              <w14:schemeClr w14:val="tx1"/>
            </w14:solidFill>
          </w14:textFill>
        </w:rPr>
      </w:pPr>
      <w:bookmarkStart w:id="0" w:name="RANGE!A1:H22"/>
      <w:r>
        <w:rPr>
          <w:rFonts w:hint="eastAsia" w:asciiTheme="minorEastAsia" w:hAnsiTheme="minorEastAsia" w:cstheme="minorEastAsia"/>
          <w:color w:val="000000" w:themeColor="text1"/>
          <w:kern w:val="0"/>
          <w:sz w:val="24"/>
          <w:lang w:val="en-US" w:eastAsia="zh-CN"/>
          <w14:textFill>
            <w14:solidFill>
              <w14:schemeClr w14:val="tx1"/>
            </w14:solidFill>
          </w14:textFill>
        </w:rPr>
        <w:br w:type="page"/>
      </w:r>
    </w:p>
    <w:p>
      <w:pPr>
        <w:spacing w:line="600" w:lineRule="exact"/>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pPr>
      <w:r>
        <w:rPr>
          <w:rFonts w:hint="eastAsia" w:asciiTheme="minorEastAsia" w:hAnsiTheme="minorEastAsia" w:cstheme="minorEastAsia"/>
          <w:color w:val="000000" w:themeColor="text1"/>
          <w:kern w:val="0"/>
          <w:sz w:val="24"/>
          <w:lang w:val="en-US" w:eastAsia="zh-CN"/>
          <w14:textFill>
            <w14:solidFill>
              <w14:schemeClr w14:val="tx1"/>
            </w14:solidFill>
          </w14:textFill>
        </w:rPr>
        <w:t>附件</w:t>
      </w:r>
      <w:bookmarkEnd w:id="0"/>
      <w:r>
        <w:rPr>
          <w:rFonts w:hint="eastAsia" w:asciiTheme="minorEastAsia" w:hAnsiTheme="minorEastAsia" w:cstheme="minorEastAsia"/>
          <w:color w:val="000000" w:themeColor="text1"/>
          <w:kern w:val="0"/>
          <w:sz w:val="24"/>
          <w14:textFill>
            <w14:solidFill>
              <w14:schemeClr w14:val="tx1"/>
            </w14:solidFill>
          </w14:textFill>
        </w:rPr>
        <w:t>1</w:t>
      </w:r>
    </w:p>
    <w:p>
      <w:pPr>
        <w:spacing w:line="600" w:lineRule="exact"/>
        <w:jc w:val="center"/>
        <w:rPr>
          <w:rFonts w:asciiTheme="minorEastAsia" w:hAnsiTheme="minorEastAsia" w:cstheme="minorEastAsia"/>
          <w:bCs/>
          <w:color w:val="000000" w:themeColor="text1"/>
          <w:kern w:val="0"/>
          <w:sz w:val="24"/>
          <w14:textFill>
            <w14:solidFill>
              <w14:schemeClr w14:val="tx1"/>
            </w14:solidFill>
          </w14:textFill>
        </w:rPr>
      </w:pPr>
      <w:r>
        <w:rPr>
          <w:rFonts w:hint="eastAsia" w:asciiTheme="minorEastAsia" w:hAnsiTheme="minorEastAsia" w:cstheme="minorEastAsia"/>
          <w:bCs/>
          <w:color w:val="000000" w:themeColor="text1"/>
          <w:kern w:val="0"/>
          <w:sz w:val="24"/>
          <w14:textFill>
            <w14:solidFill>
              <w14:schemeClr w14:val="tx1"/>
            </w14:solidFill>
          </w14:textFill>
        </w:rPr>
        <w:t>部门整体支出绩效评价指标评分表</w:t>
      </w:r>
    </w:p>
    <w:tbl>
      <w:tblPr>
        <w:tblStyle w:val="5"/>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vAlign w:val="center"/>
          </w:tcPr>
          <w:p>
            <w:pPr>
              <w:widowControl/>
              <w:jc w:val="center"/>
              <w:rPr>
                <w:rFonts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一级指标</w:t>
            </w:r>
          </w:p>
        </w:tc>
        <w:tc>
          <w:tcPr>
            <w:tcW w:w="429" w:type="dxa"/>
            <w:vAlign w:val="center"/>
          </w:tcPr>
          <w:p>
            <w:pPr>
              <w:widowControl/>
              <w:jc w:val="center"/>
              <w:rPr>
                <w:rFonts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二级指标</w:t>
            </w:r>
          </w:p>
        </w:tc>
        <w:tc>
          <w:tcPr>
            <w:tcW w:w="567" w:type="dxa"/>
            <w:vAlign w:val="center"/>
          </w:tcPr>
          <w:p>
            <w:pPr>
              <w:widowControl/>
              <w:jc w:val="center"/>
              <w:rPr>
                <w:rFonts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分值</w:t>
            </w:r>
          </w:p>
        </w:tc>
        <w:tc>
          <w:tcPr>
            <w:tcW w:w="851" w:type="dxa"/>
            <w:vAlign w:val="center"/>
          </w:tcPr>
          <w:p>
            <w:pPr>
              <w:widowControl/>
              <w:jc w:val="center"/>
              <w:rPr>
                <w:rFonts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三级   指标</w:t>
            </w:r>
          </w:p>
        </w:tc>
        <w:tc>
          <w:tcPr>
            <w:tcW w:w="567" w:type="dxa"/>
            <w:vAlign w:val="center"/>
          </w:tcPr>
          <w:p>
            <w:pPr>
              <w:widowControl/>
              <w:jc w:val="center"/>
              <w:rPr>
                <w:rFonts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分值</w:t>
            </w:r>
          </w:p>
        </w:tc>
        <w:tc>
          <w:tcPr>
            <w:tcW w:w="3118" w:type="dxa"/>
            <w:vAlign w:val="center"/>
          </w:tcPr>
          <w:p>
            <w:pPr>
              <w:widowControl/>
              <w:jc w:val="center"/>
              <w:rPr>
                <w:rFonts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评价标准</w:t>
            </w:r>
          </w:p>
        </w:tc>
        <w:tc>
          <w:tcPr>
            <w:tcW w:w="3472" w:type="dxa"/>
            <w:vAlign w:val="center"/>
          </w:tcPr>
          <w:p>
            <w:pPr>
              <w:widowControl/>
              <w:jc w:val="center"/>
              <w:rPr>
                <w:rFonts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备注</w:t>
            </w:r>
          </w:p>
        </w:tc>
        <w:tc>
          <w:tcPr>
            <w:tcW w:w="617" w:type="dxa"/>
            <w:vAlign w:val="center"/>
          </w:tcPr>
          <w:p>
            <w:pPr>
              <w:widowControl/>
              <w:jc w:val="center"/>
              <w:rPr>
                <w:rFonts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textDirection w:val="tbRlV"/>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投    入</w:t>
            </w:r>
          </w:p>
        </w:tc>
        <w:tc>
          <w:tcPr>
            <w:tcW w:w="429" w:type="dxa"/>
            <w:vMerge w:val="restart"/>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预算配置</w:t>
            </w:r>
          </w:p>
        </w:tc>
        <w:tc>
          <w:tcPr>
            <w:tcW w:w="567" w:type="dxa"/>
            <w:vMerge w:val="restart"/>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18</w:t>
            </w:r>
          </w:p>
        </w:tc>
        <w:tc>
          <w:tcPr>
            <w:tcW w:w="851" w:type="dxa"/>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“三公经费”变动率</w:t>
            </w:r>
          </w:p>
        </w:tc>
        <w:tc>
          <w:tcPr>
            <w:tcW w:w="567" w:type="dxa"/>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3</w:t>
            </w:r>
          </w:p>
        </w:tc>
        <w:tc>
          <w:tcPr>
            <w:tcW w:w="3118" w:type="dxa"/>
            <w:vAlign w:val="center"/>
          </w:tcPr>
          <w:p>
            <w:pPr>
              <w:widowControl/>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“三公经费”变动率≤0,计3分；“三公经费”＞0，每超过一个百分点扣0.3分，扣完为止。</w:t>
            </w:r>
          </w:p>
        </w:tc>
        <w:tc>
          <w:tcPr>
            <w:tcW w:w="3472" w:type="dxa"/>
            <w:vAlign w:val="center"/>
          </w:tcPr>
          <w:p>
            <w:pPr>
              <w:widowControl/>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三公经费”变动率=[（本年度“三公经费”总额-上年度“三公经费”总额）/上年度“三公经费”总额]×100%。“三公经费”：指政府部门人员因公出国（境）经费、公务车购置及运行费、公务招待费产生的消费。</w:t>
            </w:r>
          </w:p>
        </w:tc>
        <w:tc>
          <w:tcPr>
            <w:tcW w:w="617" w:type="dxa"/>
            <w:vAlign w:val="center"/>
          </w:tcPr>
          <w:p>
            <w:pPr>
              <w:widowControl/>
              <w:jc w:val="center"/>
              <w:rPr>
                <w:rFonts w:hint="eastAsia" w:asciiTheme="minorEastAsia" w:hAnsiTheme="minorEastAsia" w:eastAsiaTheme="minorEastAsia" w:cstheme="minorEastAsia"/>
                <w:color w:val="000000" w:themeColor="text1"/>
                <w:kern w:val="0"/>
                <w:sz w:val="18"/>
                <w:szCs w:val="18"/>
                <w:lang w:eastAsia="zh-CN"/>
                <w14:textFill>
                  <w14:solidFill>
                    <w14:schemeClr w14:val="tx1"/>
                  </w14:solidFill>
                </w14:textFill>
              </w:rPr>
            </w:pP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429" w:type="dxa"/>
            <w:vMerge w:val="continue"/>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567" w:type="dxa"/>
            <w:vMerge w:val="continue"/>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851" w:type="dxa"/>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“三公经费”   管理</w:t>
            </w:r>
          </w:p>
        </w:tc>
        <w:tc>
          <w:tcPr>
            <w:tcW w:w="567" w:type="dxa"/>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3</w:t>
            </w:r>
          </w:p>
        </w:tc>
        <w:tc>
          <w:tcPr>
            <w:tcW w:w="3118" w:type="dxa"/>
            <w:vAlign w:val="center"/>
          </w:tcPr>
          <w:p>
            <w:pPr>
              <w:widowControl/>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①招待费用明确招待标准和招待人数,1分;②车辆维护、燃油使用政府定点，1分。③制定“三公经费”管理办法，1分，每少一项扣1分，扣完为止。</w:t>
            </w:r>
          </w:p>
        </w:tc>
        <w:tc>
          <w:tcPr>
            <w:tcW w:w="3472" w:type="dxa"/>
            <w:vAlign w:val="center"/>
          </w:tcPr>
          <w:p>
            <w:pPr>
              <w:widowControl/>
              <w:jc w:val="left"/>
              <w:rPr>
                <w:rFonts w:asciiTheme="minorEastAsia" w:hAnsiTheme="minorEastAsia" w:cstheme="minorEastAsia"/>
                <w:color w:val="000000" w:themeColor="text1"/>
                <w:kern w:val="0"/>
                <w:sz w:val="18"/>
                <w:szCs w:val="18"/>
                <w14:textFill>
                  <w14:solidFill>
                    <w14:schemeClr w14:val="tx1"/>
                  </w14:solidFill>
                </w14:textFill>
              </w:rPr>
            </w:pPr>
          </w:p>
        </w:tc>
        <w:tc>
          <w:tcPr>
            <w:tcW w:w="617" w:type="dxa"/>
            <w:vAlign w:val="center"/>
          </w:tcPr>
          <w:p>
            <w:pPr>
              <w:widowControl/>
              <w:jc w:val="center"/>
              <w:rPr>
                <w:rFonts w:hint="eastAsia" w:asciiTheme="minorEastAsia" w:hAnsiTheme="minorEastAsia" w:eastAsiaTheme="minorEastAsia" w:cstheme="minorEastAsia"/>
                <w:color w:val="000000" w:themeColor="text1"/>
                <w:kern w:val="0"/>
                <w:sz w:val="18"/>
                <w:szCs w:val="18"/>
                <w:lang w:eastAsia="zh-CN"/>
                <w14:textFill>
                  <w14:solidFill>
                    <w14:schemeClr w14:val="tx1"/>
                  </w14:solidFill>
                </w14:textFill>
              </w:rPr>
            </w:pP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429" w:type="dxa"/>
            <w:vMerge w:val="continue"/>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567" w:type="dxa"/>
            <w:vMerge w:val="continue"/>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851" w:type="dxa"/>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公务</w:t>
            </w:r>
          </w:p>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招待费变动率</w:t>
            </w:r>
          </w:p>
        </w:tc>
        <w:tc>
          <w:tcPr>
            <w:tcW w:w="567" w:type="dxa"/>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3118" w:type="dxa"/>
            <w:vAlign w:val="center"/>
          </w:tcPr>
          <w:p>
            <w:pPr>
              <w:widowControl/>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“公务招待费”变动率≤0,计2分；“公务招待费变动率”＞0，每超过一个百分点扣0.2分，扣完为止。</w:t>
            </w:r>
          </w:p>
        </w:tc>
        <w:tc>
          <w:tcPr>
            <w:tcW w:w="3472" w:type="dxa"/>
            <w:vAlign w:val="center"/>
          </w:tcPr>
          <w:p>
            <w:pPr>
              <w:widowControl/>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公务招待费变动率=[（本年度“公务招待费”总额-上年度“公务招待费”总额）/上年度“公务招待费”总额]×100%。</w:t>
            </w:r>
          </w:p>
        </w:tc>
        <w:tc>
          <w:tcPr>
            <w:tcW w:w="617" w:type="dxa"/>
            <w:vAlign w:val="center"/>
          </w:tcPr>
          <w:p>
            <w:pPr>
              <w:widowControl/>
              <w:jc w:val="center"/>
              <w:rPr>
                <w:rFonts w:hint="eastAsia" w:asciiTheme="minorEastAsia" w:hAnsiTheme="minorEastAsia" w:eastAsiaTheme="minorEastAsia" w:cstheme="minorEastAsia"/>
                <w:color w:val="000000" w:themeColor="text1"/>
                <w:kern w:val="0"/>
                <w:sz w:val="18"/>
                <w:szCs w:val="18"/>
                <w:lang w:eastAsia="zh-CN"/>
                <w14:textFill>
                  <w14:solidFill>
                    <w14:schemeClr w14:val="tx1"/>
                  </w14:solidFill>
                </w14:textFill>
              </w:rPr>
            </w:pP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429" w:type="dxa"/>
            <w:vMerge w:val="continue"/>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567" w:type="dxa"/>
            <w:vMerge w:val="continue"/>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851" w:type="dxa"/>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公务用车购置</w:t>
            </w:r>
          </w:p>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运行费</w:t>
            </w:r>
          </w:p>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变动率</w:t>
            </w:r>
          </w:p>
        </w:tc>
        <w:tc>
          <w:tcPr>
            <w:tcW w:w="567" w:type="dxa"/>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3118" w:type="dxa"/>
            <w:vAlign w:val="center"/>
          </w:tcPr>
          <w:p>
            <w:pPr>
              <w:widowControl/>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“公务用车购置运行费”变动率≤0,计2分；“公务用车购置运行费变动率”＞0，每超过一个百分点扣0.2分，扣完为止。</w:t>
            </w:r>
          </w:p>
        </w:tc>
        <w:tc>
          <w:tcPr>
            <w:tcW w:w="3472" w:type="dxa"/>
            <w:vAlign w:val="center"/>
          </w:tcPr>
          <w:p>
            <w:pPr>
              <w:widowControl/>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公务用车购置运行费变动率=[（本年度“公务用车购置运行费”总额-上年度“公务用车购置运行费”总额）/上年度“公务用车购置运行费”总额]×100%。</w:t>
            </w:r>
          </w:p>
        </w:tc>
        <w:tc>
          <w:tcPr>
            <w:tcW w:w="617" w:type="dxa"/>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429" w:type="dxa"/>
            <w:vMerge w:val="continue"/>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567" w:type="dxa"/>
            <w:vMerge w:val="continue"/>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851" w:type="dxa"/>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商品 和服务支出 变动率</w:t>
            </w:r>
          </w:p>
        </w:tc>
        <w:tc>
          <w:tcPr>
            <w:tcW w:w="567" w:type="dxa"/>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3118" w:type="dxa"/>
            <w:vAlign w:val="center"/>
          </w:tcPr>
          <w:p>
            <w:pPr>
              <w:widowControl/>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“商品和服务支出”变动率≤0,计2分；“商品和服务支出”变动率＞0，每超过一个百分点扣0.2分，扣完为止。</w:t>
            </w:r>
          </w:p>
        </w:tc>
        <w:tc>
          <w:tcPr>
            <w:tcW w:w="3472" w:type="dxa"/>
            <w:vAlign w:val="center"/>
          </w:tcPr>
          <w:p>
            <w:pPr>
              <w:widowControl/>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“商品和服务支出”变动率=[（本年度“商品和服务支出”总额-上年度“商品和服务支出”总额）/上年度“商品和服务支出”总额]×100%。</w:t>
            </w:r>
          </w:p>
        </w:tc>
        <w:tc>
          <w:tcPr>
            <w:tcW w:w="617" w:type="dxa"/>
            <w:vAlign w:val="center"/>
          </w:tcPr>
          <w:p>
            <w:pPr>
              <w:widowControl/>
              <w:jc w:val="center"/>
              <w:rPr>
                <w:rFonts w:hint="eastAsia" w:asciiTheme="minorEastAsia" w:hAnsiTheme="minorEastAsia" w:eastAsiaTheme="minorEastAsia" w:cstheme="minorEastAsia"/>
                <w:color w:val="000000" w:themeColor="text1"/>
                <w:kern w:val="0"/>
                <w:sz w:val="18"/>
                <w:szCs w:val="18"/>
                <w:lang w:eastAsia="zh-CN"/>
                <w14:textFill>
                  <w14:solidFill>
                    <w14:schemeClr w14:val="tx1"/>
                  </w14:solidFill>
                </w14:textFill>
              </w:rPr>
            </w:pP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429" w:type="dxa"/>
            <w:vMerge w:val="continue"/>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567" w:type="dxa"/>
            <w:vMerge w:val="continue"/>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851" w:type="dxa"/>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重点  支出  安排率</w:t>
            </w:r>
          </w:p>
        </w:tc>
        <w:tc>
          <w:tcPr>
            <w:tcW w:w="567" w:type="dxa"/>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3118" w:type="dxa"/>
            <w:vAlign w:val="center"/>
          </w:tcPr>
          <w:p>
            <w:pPr>
              <w:widowControl/>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重点支出安排率≥90%，计2分；80%（含）-90%，计1分；70%（含）-80%，计0.5分；低于70%不得分。</w:t>
            </w:r>
          </w:p>
        </w:tc>
        <w:tc>
          <w:tcPr>
            <w:tcW w:w="3472" w:type="dxa"/>
            <w:vAlign w:val="center"/>
          </w:tcPr>
          <w:p>
            <w:pPr>
              <w:widowControl/>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重点支出安排率=（重点项目支出/项目总支出）×100%重点项目支出：市政府确定的为民办实事和部门重点工程与重点工作支出。项目总支出：部门（单位）年度预算安排的项目支出总额。</w:t>
            </w:r>
          </w:p>
        </w:tc>
        <w:tc>
          <w:tcPr>
            <w:tcW w:w="617" w:type="dxa"/>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429" w:type="dxa"/>
            <w:vMerge w:val="continue"/>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567" w:type="dxa"/>
            <w:vMerge w:val="continue"/>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851" w:type="dxa"/>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非税 收入 管理</w:t>
            </w:r>
          </w:p>
        </w:tc>
        <w:tc>
          <w:tcPr>
            <w:tcW w:w="567" w:type="dxa"/>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3118" w:type="dxa"/>
            <w:vAlign w:val="center"/>
          </w:tcPr>
          <w:p>
            <w:pPr>
              <w:widowControl/>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①实行收支两条线，1分；</w:t>
            </w:r>
          </w:p>
          <w:p>
            <w:pPr>
              <w:widowControl/>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②未发生截留、坐支或转移，1分。以上每发现一次违规现象扣1分，扣完为止。</w:t>
            </w:r>
          </w:p>
        </w:tc>
        <w:tc>
          <w:tcPr>
            <w:tcW w:w="3472" w:type="dxa"/>
            <w:vAlign w:val="center"/>
          </w:tcPr>
          <w:p>
            <w:pPr>
              <w:widowControl/>
              <w:jc w:val="left"/>
              <w:rPr>
                <w:rFonts w:asciiTheme="minorEastAsia" w:hAnsiTheme="minorEastAsia" w:cstheme="minorEastAsia"/>
                <w:color w:val="000000" w:themeColor="text1"/>
                <w:kern w:val="0"/>
                <w:sz w:val="18"/>
                <w:szCs w:val="18"/>
                <w14:textFill>
                  <w14:solidFill>
                    <w14:schemeClr w14:val="tx1"/>
                  </w14:solidFill>
                </w14:textFill>
              </w:rPr>
            </w:pPr>
          </w:p>
        </w:tc>
        <w:tc>
          <w:tcPr>
            <w:tcW w:w="617" w:type="dxa"/>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429" w:type="dxa"/>
            <w:vMerge w:val="continue"/>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567" w:type="dxa"/>
            <w:vMerge w:val="continue"/>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851" w:type="dxa"/>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非税 收入 完成率</w:t>
            </w:r>
          </w:p>
        </w:tc>
        <w:tc>
          <w:tcPr>
            <w:tcW w:w="567" w:type="dxa"/>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3118" w:type="dxa"/>
            <w:vAlign w:val="center"/>
          </w:tcPr>
          <w:p>
            <w:pPr>
              <w:widowControl/>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非税收入完成率100%，2分，每少一个百分点，扣0.1分，扣完为止。</w:t>
            </w:r>
          </w:p>
        </w:tc>
        <w:tc>
          <w:tcPr>
            <w:tcW w:w="3472" w:type="dxa"/>
            <w:vAlign w:val="center"/>
          </w:tcPr>
          <w:p>
            <w:pPr>
              <w:widowControl/>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非税收入完成率=（2021年度非税实际收入完成数/2021年度非税收入预算数）×100%，有减免因素的，以非税</w:t>
            </w:r>
            <w:r>
              <w:rPr>
                <w:rFonts w:hint="eastAsia" w:asciiTheme="minorEastAsia" w:hAnsiTheme="minorEastAsia" w:cstheme="minorEastAsia"/>
                <w:color w:val="000000" w:themeColor="text1"/>
                <w:kern w:val="0"/>
                <w:sz w:val="18"/>
                <w:szCs w:val="18"/>
                <w:lang w:eastAsia="zh-CN"/>
                <w14:textFill>
                  <w14:solidFill>
                    <w14:schemeClr w14:val="tx1"/>
                  </w14:solidFill>
                </w14:textFill>
              </w:rPr>
              <w:t>校</w:t>
            </w:r>
            <w:r>
              <w:rPr>
                <w:rFonts w:hint="eastAsia" w:asciiTheme="minorEastAsia" w:hAnsiTheme="minorEastAsia" w:cstheme="minorEastAsia"/>
                <w:color w:val="000000" w:themeColor="text1"/>
                <w:kern w:val="0"/>
                <w:sz w:val="18"/>
                <w:szCs w:val="18"/>
                <w14:textFill>
                  <w14:solidFill>
                    <w14:schemeClr w14:val="tx1"/>
                  </w14:solidFill>
                </w14:textFill>
              </w:rPr>
              <w:t>确定的为准。</w:t>
            </w:r>
          </w:p>
        </w:tc>
        <w:tc>
          <w:tcPr>
            <w:tcW w:w="617" w:type="dxa"/>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textDirection w:val="tbRlV"/>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p>
            <w:pPr>
              <w:widowControl/>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过    程</w:t>
            </w:r>
          </w:p>
          <w:p>
            <w:pPr>
              <w:widowControl/>
              <w:ind w:left="113" w:right="113"/>
              <w:jc w:val="center"/>
              <w:rPr>
                <w:rFonts w:asciiTheme="minorEastAsia" w:hAnsiTheme="minorEastAsia" w:cstheme="minorEastAsia"/>
                <w:color w:val="000000" w:themeColor="text1"/>
                <w:kern w:val="0"/>
                <w:sz w:val="18"/>
                <w:szCs w:val="18"/>
                <w14:textFill>
                  <w14:solidFill>
                    <w14:schemeClr w14:val="tx1"/>
                  </w14:solidFill>
                </w14:textFill>
              </w:rPr>
            </w:pPr>
          </w:p>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p>
            <w:pPr>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过      程</w:t>
            </w:r>
          </w:p>
        </w:tc>
        <w:tc>
          <w:tcPr>
            <w:tcW w:w="429" w:type="dxa"/>
            <w:vMerge w:val="restart"/>
            <w:tcBorders>
              <w:right w:val="single" w:color="auto" w:sz="4" w:space="0"/>
            </w:tcBorders>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预算执行</w:t>
            </w:r>
          </w:p>
        </w:tc>
        <w:tc>
          <w:tcPr>
            <w:tcW w:w="567" w:type="dxa"/>
            <w:vMerge w:val="restart"/>
            <w:tcBorders>
              <w:left w:val="single" w:color="auto" w:sz="4" w:space="0"/>
            </w:tcBorders>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8</w:t>
            </w:r>
          </w:p>
        </w:tc>
        <w:tc>
          <w:tcPr>
            <w:tcW w:w="851" w:type="dxa"/>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预算  完成率</w:t>
            </w:r>
          </w:p>
        </w:tc>
        <w:tc>
          <w:tcPr>
            <w:tcW w:w="567" w:type="dxa"/>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3118" w:type="dxa"/>
            <w:vAlign w:val="center"/>
          </w:tcPr>
          <w:p>
            <w:pPr>
              <w:widowControl/>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完成率&lt;1，计2分，</w:t>
            </w:r>
          </w:p>
          <w:p>
            <w:pPr>
              <w:widowControl/>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完成率=1，计1分，</w:t>
            </w:r>
          </w:p>
          <w:p>
            <w:pPr>
              <w:widowControl/>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完成率&gt;1，不得分。</w:t>
            </w:r>
          </w:p>
          <w:p>
            <w:pPr>
              <w:widowControl/>
              <w:jc w:val="left"/>
              <w:rPr>
                <w:rFonts w:asciiTheme="minorEastAsia" w:hAnsiTheme="minorEastAsia" w:cstheme="minorEastAsia"/>
                <w:color w:val="000000" w:themeColor="text1"/>
                <w:kern w:val="0"/>
                <w:sz w:val="18"/>
                <w:szCs w:val="18"/>
                <w14:textFill>
                  <w14:solidFill>
                    <w14:schemeClr w14:val="tx1"/>
                  </w14:solidFill>
                </w14:textFill>
              </w:rPr>
            </w:pPr>
          </w:p>
        </w:tc>
        <w:tc>
          <w:tcPr>
            <w:tcW w:w="3472" w:type="dxa"/>
            <w:vAlign w:val="center"/>
          </w:tcPr>
          <w:p>
            <w:pPr>
              <w:autoSpaceDN w:val="0"/>
              <w:jc w:val="left"/>
              <w:textAlignment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预算完成率=（预算完成数/预算数）×100%。预算完成数：部门（单位）本年度实际完成的预算数；预算数：财政部门批复的本年度部门（单位）预算数。</w:t>
            </w:r>
          </w:p>
        </w:tc>
        <w:tc>
          <w:tcPr>
            <w:tcW w:w="617" w:type="dxa"/>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vAlign w:val="center"/>
          </w:tcPr>
          <w:p>
            <w:pPr>
              <w:jc w:val="center"/>
              <w:rPr>
                <w:rFonts w:asciiTheme="minorEastAsia" w:hAnsiTheme="minorEastAsia" w:cstheme="minorEastAsia"/>
                <w:color w:val="000000" w:themeColor="text1"/>
                <w:kern w:val="0"/>
                <w:sz w:val="18"/>
                <w:szCs w:val="18"/>
                <w14:textFill>
                  <w14:solidFill>
                    <w14:schemeClr w14:val="tx1"/>
                  </w14:solidFill>
                </w14:textFill>
              </w:rPr>
            </w:pPr>
          </w:p>
        </w:tc>
        <w:tc>
          <w:tcPr>
            <w:tcW w:w="429" w:type="dxa"/>
            <w:vMerge w:val="continue"/>
            <w:tcBorders>
              <w:right w:val="single" w:color="auto" w:sz="4" w:space="0"/>
            </w:tcBorders>
            <w:vAlign w:val="center"/>
          </w:tcPr>
          <w:p>
            <w:pPr>
              <w:jc w:val="center"/>
              <w:rPr>
                <w:rFonts w:asciiTheme="minorEastAsia" w:hAnsiTheme="minorEastAsia" w:cstheme="minorEastAsia"/>
                <w:color w:val="000000" w:themeColor="text1"/>
                <w:kern w:val="0"/>
                <w:sz w:val="18"/>
                <w:szCs w:val="18"/>
                <w14:textFill>
                  <w14:solidFill>
                    <w14:schemeClr w14:val="tx1"/>
                  </w14:solidFill>
                </w14:textFill>
              </w:rPr>
            </w:pPr>
          </w:p>
        </w:tc>
        <w:tc>
          <w:tcPr>
            <w:tcW w:w="567" w:type="dxa"/>
            <w:vMerge w:val="continue"/>
            <w:tcBorders>
              <w:left w:val="single" w:color="auto" w:sz="4" w:space="0"/>
            </w:tcBorders>
            <w:vAlign w:val="center"/>
          </w:tcPr>
          <w:p>
            <w:pPr>
              <w:jc w:val="center"/>
              <w:rPr>
                <w:rFonts w:asciiTheme="minorEastAsia" w:hAnsiTheme="minorEastAsia" w:cstheme="minorEastAsia"/>
                <w:color w:val="000000" w:themeColor="text1"/>
                <w:kern w:val="0"/>
                <w:sz w:val="18"/>
                <w:szCs w:val="18"/>
                <w14:textFill>
                  <w14:solidFill>
                    <w14:schemeClr w14:val="tx1"/>
                  </w14:solidFill>
                </w14:textFill>
              </w:rPr>
            </w:pPr>
          </w:p>
        </w:tc>
        <w:tc>
          <w:tcPr>
            <w:tcW w:w="851" w:type="dxa"/>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资金  结余</w:t>
            </w:r>
          </w:p>
        </w:tc>
        <w:tc>
          <w:tcPr>
            <w:tcW w:w="567" w:type="dxa"/>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3118" w:type="dxa"/>
            <w:vAlign w:val="center"/>
          </w:tcPr>
          <w:p>
            <w:pPr>
              <w:widowControl/>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结余超过10%（不含），2分；结余在0-10%（含）的，1分；本年超支不得分。</w:t>
            </w:r>
          </w:p>
        </w:tc>
        <w:tc>
          <w:tcPr>
            <w:tcW w:w="3472" w:type="dxa"/>
            <w:vAlign w:val="center"/>
          </w:tcPr>
          <w:p>
            <w:pPr>
              <w:widowControl/>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本项结余不含未完工项目资金的结转数。</w:t>
            </w:r>
          </w:p>
        </w:tc>
        <w:tc>
          <w:tcPr>
            <w:tcW w:w="617" w:type="dxa"/>
            <w:vAlign w:val="center"/>
          </w:tcPr>
          <w:p>
            <w:pPr>
              <w:widowControl/>
              <w:jc w:val="center"/>
              <w:rPr>
                <w:rFonts w:hint="eastAsia" w:asciiTheme="minorEastAsia" w:hAnsiTheme="minorEastAsia" w:eastAsiaTheme="minorEastAsia" w:cstheme="minorEastAsia"/>
                <w:color w:val="000000" w:themeColor="text1"/>
                <w:kern w:val="0"/>
                <w:sz w:val="18"/>
                <w:szCs w:val="18"/>
                <w:lang w:eastAsia="zh-CN"/>
                <w14:textFill>
                  <w14:solidFill>
                    <w14:schemeClr w14:val="tx1"/>
                  </w14:solidFill>
                </w14:textFill>
              </w:rPr>
            </w:pP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vAlign w:val="center"/>
          </w:tcPr>
          <w:p>
            <w:pPr>
              <w:jc w:val="center"/>
              <w:rPr>
                <w:rFonts w:asciiTheme="minorEastAsia" w:hAnsiTheme="minorEastAsia" w:cstheme="minorEastAsia"/>
                <w:color w:val="000000" w:themeColor="text1"/>
                <w:kern w:val="0"/>
                <w:sz w:val="18"/>
                <w:szCs w:val="18"/>
                <w14:textFill>
                  <w14:solidFill>
                    <w14:schemeClr w14:val="tx1"/>
                  </w14:solidFill>
                </w14:textFill>
              </w:rPr>
            </w:pPr>
          </w:p>
        </w:tc>
        <w:tc>
          <w:tcPr>
            <w:tcW w:w="429" w:type="dxa"/>
            <w:vMerge w:val="continue"/>
            <w:tcBorders>
              <w:right w:val="single" w:color="auto" w:sz="4" w:space="0"/>
            </w:tcBorders>
            <w:vAlign w:val="center"/>
          </w:tcPr>
          <w:p>
            <w:pPr>
              <w:jc w:val="center"/>
              <w:rPr>
                <w:rFonts w:asciiTheme="minorEastAsia" w:hAnsiTheme="minorEastAsia" w:cstheme="minorEastAsia"/>
                <w:color w:val="000000" w:themeColor="text1"/>
                <w:kern w:val="0"/>
                <w:sz w:val="18"/>
                <w:szCs w:val="18"/>
                <w14:textFill>
                  <w14:solidFill>
                    <w14:schemeClr w14:val="tx1"/>
                  </w14:solidFill>
                </w14:textFill>
              </w:rPr>
            </w:pPr>
          </w:p>
        </w:tc>
        <w:tc>
          <w:tcPr>
            <w:tcW w:w="567" w:type="dxa"/>
            <w:vMerge w:val="continue"/>
            <w:tcBorders>
              <w:left w:val="single" w:color="auto" w:sz="4" w:space="0"/>
            </w:tcBorders>
            <w:vAlign w:val="center"/>
          </w:tcPr>
          <w:p>
            <w:pPr>
              <w:jc w:val="center"/>
              <w:rPr>
                <w:rFonts w:asciiTheme="minorEastAsia" w:hAnsiTheme="minorEastAsia" w:cstheme="minorEastAsia"/>
                <w:color w:val="000000" w:themeColor="text1"/>
                <w:kern w:val="0"/>
                <w:sz w:val="18"/>
                <w:szCs w:val="18"/>
                <w14:textFill>
                  <w14:solidFill>
                    <w14:schemeClr w14:val="tx1"/>
                  </w14:solidFill>
                </w14:textFill>
              </w:rPr>
            </w:pPr>
          </w:p>
        </w:tc>
        <w:tc>
          <w:tcPr>
            <w:tcW w:w="851" w:type="dxa"/>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“三公经费”控制率</w:t>
            </w:r>
          </w:p>
        </w:tc>
        <w:tc>
          <w:tcPr>
            <w:tcW w:w="567" w:type="dxa"/>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3118" w:type="dxa"/>
            <w:vAlign w:val="center"/>
          </w:tcPr>
          <w:p>
            <w:pPr>
              <w:widowControl/>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以100%为标准。三公经费控制率≤100%，计2分；每超过一个百分点扣0.2分，扣完为止。单位没有制定“三公”经费预算，该项不得分。</w:t>
            </w:r>
          </w:p>
        </w:tc>
        <w:tc>
          <w:tcPr>
            <w:tcW w:w="3472" w:type="dxa"/>
            <w:vAlign w:val="center"/>
          </w:tcPr>
          <w:p>
            <w:pPr>
              <w:widowControl/>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“三公经费”控制率=（“三公经费”实际支出数/“三公经费”预算安排数）×100%。</w:t>
            </w:r>
          </w:p>
        </w:tc>
        <w:tc>
          <w:tcPr>
            <w:tcW w:w="617" w:type="dxa"/>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vAlign w:val="center"/>
          </w:tcPr>
          <w:p>
            <w:pPr>
              <w:jc w:val="center"/>
              <w:rPr>
                <w:rFonts w:asciiTheme="minorEastAsia" w:hAnsiTheme="minorEastAsia" w:cstheme="minorEastAsia"/>
                <w:color w:val="000000" w:themeColor="text1"/>
                <w:kern w:val="0"/>
                <w:sz w:val="18"/>
                <w:szCs w:val="18"/>
                <w14:textFill>
                  <w14:solidFill>
                    <w14:schemeClr w14:val="tx1"/>
                  </w14:solidFill>
                </w14:textFill>
              </w:rPr>
            </w:pPr>
          </w:p>
        </w:tc>
        <w:tc>
          <w:tcPr>
            <w:tcW w:w="429" w:type="dxa"/>
            <w:vMerge w:val="continue"/>
            <w:tcBorders>
              <w:bottom w:val="single" w:color="auto" w:sz="4" w:space="0"/>
              <w:right w:val="single" w:color="auto" w:sz="4" w:space="0"/>
            </w:tcBorders>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567" w:type="dxa"/>
            <w:vMerge w:val="continue"/>
            <w:tcBorders>
              <w:left w:val="single" w:color="auto" w:sz="4" w:space="0"/>
              <w:bottom w:val="single" w:color="auto" w:sz="4" w:space="0"/>
            </w:tcBorders>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851" w:type="dxa"/>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政府</w:t>
            </w:r>
          </w:p>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采购</w:t>
            </w:r>
          </w:p>
        </w:tc>
        <w:tc>
          <w:tcPr>
            <w:tcW w:w="567" w:type="dxa"/>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3118" w:type="dxa"/>
            <w:vAlign w:val="center"/>
          </w:tcPr>
          <w:p>
            <w:pPr>
              <w:widowControl/>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①编制政府采购年度预算并上报的，0.5分；②追加并编制政府采购预算的，0.5分；③政府采购执行率=100%，计1分；每少一个百分点扣0.1分，扣完为止。</w:t>
            </w:r>
          </w:p>
        </w:tc>
        <w:tc>
          <w:tcPr>
            <w:tcW w:w="3472" w:type="dxa"/>
            <w:vAlign w:val="center"/>
          </w:tcPr>
          <w:p>
            <w:pPr>
              <w:widowControl/>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政府采购执行率=（实际实行政府采购金额/应实行政府采购金额）×100%。应实行政府采金额以《湘财购[2012]27号》文件为标准。</w:t>
            </w:r>
          </w:p>
        </w:tc>
        <w:tc>
          <w:tcPr>
            <w:tcW w:w="617" w:type="dxa"/>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429" w:type="dxa"/>
            <w:vMerge w:val="restart"/>
            <w:tcBorders>
              <w:top w:val="single" w:color="auto" w:sz="4" w:space="0"/>
              <w:right w:val="single" w:color="auto" w:sz="4" w:space="0"/>
            </w:tcBorders>
            <w:vAlign w:val="center"/>
          </w:tcPr>
          <w:p>
            <w:pPr>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预算管理</w:t>
            </w:r>
          </w:p>
        </w:tc>
        <w:tc>
          <w:tcPr>
            <w:tcW w:w="567" w:type="dxa"/>
            <w:vMerge w:val="restart"/>
            <w:tcBorders>
              <w:top w:val="single" w:color="auto" w:sz="4" w:space="0"/>
              <w:left w:val="single" w:color="auto" w:sz="4" w:space="0"/>
            </w:tcBorders>
            <w:vAlign w:val="center"/>
          </w:tcPr>
          <w:p>
            <w:pPr>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28</w:t>
            </w:r>
          </w:p>
        </w:tc>
        <w:tc>
          <w:tcPr>
            <w:tcW w:w="851" w:type="dxa"/>
            <w:tcBorders>
              <w:top w:val="single" w:color="auto" w:sz="4" w:space="0"/>
            </w:tcBorders>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管理  制度健全性</w:t>
            </w:r>
          </w:p>
        </w:tc>
        <w:tc>
          <w:tcPr>
            <w:tcW w:w="567" w:type="dxa"/>
            <w:tcBorders>
              <w:top w:val="single" w:color="auto" w:sz="4" w:space="0"/>
            </w:tcBorders>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6</w:t>
            </w:r>
          </w:p>
          <w:p>
            <w:pPr>
              <w:widowControl/>
              <w:rPr>
                <w:rFonts w:asciiTheme="minorEastAsia" w:hAnsiTheme="minorEastAsia" w:cstheme="minorEastAsia"/>
                <w:color w:val="000000" w:themeColor="text1"/>
                <w:kern w:val="0"/>
                <w:sz w:val="18"/>
                <w:szCs w:val="18"/>
                <w14:textFill>
                  <w14:solidFill>
                    <w14:schemeClr w14:val="tx1"/>
                  </w14:solidFill>
                </w14:textFill>
              </w:rPr>
            </w:pPr>
          </w:p>
        </w:tc>
        <w:tc>
          <w:tcPr>
            <w:tcW w:w="3118" w:type="dxa"/>
            <w:tcBorders>
              <w:top w:val="single" w:color="auto" w:sz="4" w:space="0"/>
            </w:tcBorders>
            <w:vAlign w:val="center"/>
          </w:tcPr>
          <w:p>
            <w:pPr>
              <w:widowControl/>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①已制定资金管理办法、内部财务管理制度、会计核算制度等管理制度，1分；②建立健全单位内部控制制度，1分；③会计人员、机构按规定设置，1分；</w:t>
            </w:r>
          </w:p>
          <w:p>
            <w:pPr>
              <w:widowControl/>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④会计基础工作健全，1分；</w:t>
            </w:r>
          </w:p>
          <w:p>
            <w:pPr>
              <w:widowControl/>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⑤会计档案符合规定要求，1分；</w:t>
            </w:r>
          </w:p>
          <w:p>
            <w:pPr>
              <w:widowControl/>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⑥项目管理规范（包括项目立项、申报、招投标、制度建立、按时完工等），1分，每发现少一项扣0.2分，扣完为止。</w:t>
            </w:r>
          </w:p>
        </w:tc>
        <w:tc>
          <w:tcPr>
            <w:tcW w:w="3472" w:type="dxa"/>
            <w:tcBorders>
              <w:top w:val="single" w:color="auto" w:sz="4" w:space="0"/>
            </w:tcBorders>
            <w:vAlign w:val="center"/>
          </w:tcPr>
          <w:p>
            <w:pPr>
              <w:widowControl/>
              <w:jc w:val="left"/>
              <w:rPr>
                <w:rFonts w:asciiTheme="minorEastAsia" w:hAnsiTheme="minorEastAsia" w:cstheme="minorEastAsia"/>
                <w:color w:val="000000" w:themeColor="text1"/>
                <w:kern w:val="0"/>
                <w:sz w:val="18"/>
                <w:szCs w:val="18"/>
                <w14:textFill>
                  <w14:solidFill>
                    <w14:schemeClr w14:val="tx1"/>
                  </w14:solidFill>
                </w14:textFill>
              </w:rPr>
            </w:pPr>
          </w:p>
        </w:tc>
        <w:tc>
          <w:tcPr>
            <w:tcW w:w="617" w:type="dxa"/>
            <w:tcBorders>
              <w:top w:val="single" w:color="auto" w:sz="4" w:space="0"/>
            </w:tcBorders>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6</w:t>
            </w:r>
          </w:p>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429" w:type="dxa"/>
            <w:vMerge w:val="continue"/>
            <w:tcBorders>
              <w:top w:val="single" w:color="auto" w:sz="4" w:space="0"/>
              <w:right w:val="single" w:color="auto" w:sz="4" w:space="0"/>
            </w:tcBorders>
            <w:vAlign w:val="center"/>
          </w:tcPr>
          <w:p>
            <w:pPr>
              <w:jc w:val="center"/>
              <w:rPr>
                <w:rFonts w:asciiTheme="minorEastAsia" w:hAnsiTheme="minorEastAsia" w:cstheme="minorEastAsia"/>
                <w:color w:val="000000" w:themeColor="text1"/>
                <w:kern w:val="0"/>
                <w:sz w:val="18"/>
                <w:szCs w:val="18"/>
                <w14:textFill>
                  <w14:solidFill>
                    <w14:schemeClr w14:val="tx1"/>
                  </w14:solidFill>
                </w14:textFill>
              </w:rPr>
            </w:pPr>
          </w:p>
        </w:tc>
        <w:tc>
          <w:tcPr>
            <w:tcW w:w="567" w:type="dxa"/>
            <w:vMerge w:val="continue"/>
            <w:tcBorders>
              <w:top w:val="single" w:color="auto" w:sz="4" w:space="0"/>
              <w:left w:val="single" w:color="auto" w:sz="4" w:space="0"/>
            </w:tcBorders>
            <w:vAlign w:val="center"/>
          </w:tcPr>
          <w:p>
            <w:pPr>
              <w:jc w:val="center"/>
              <w:rPr>
                <w:rFonts w:asciiTheme="minorEastAsia" w:hAnsiTheme="minorEastAsia" w:cstheme="minorEastAsia"/>
                <w:color w:val="000000" w:themeColor="text1"/>
                <w:kern w:val="0"/>
                <w:sz w:val="18"/>
                <w:szCs w:val="18"/>
                <w14:textFill>
                  <w14:solidFill>
                    <w14:schemeClr w14:val="tx1"/>
                  </w14:solidFill>
                </w14:textFill>
              </w:rPr>
            </w:pPr>
          </w:p>
        </w:tc>
        <w:tc>
          <w:tcPr>
            <w:tcW w:w="851" w:type="dxa"/>
            <w:tcBorders>
              <w:top w:val="single" w:color="auto" w:sz="4" w:space="0"/>
            </w:tcBorders>
            <w:vAlign w:val="center"/>
          </w:tcPr>
          <w:p>
            <w:pP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内控制度情况</w:t>
            </w:r>
          </w:p>
        </w:tc>
        <w:tc>
          <w:tcPr>
            <w:tcW w:w="567" w:type="dxa"/>
            <w:tcBorders>
              <w:top w:val="single" w:color="auto" w:sz="4" w:space="0"/>
            </w:tcBorders>
            <w:vAlign w:val="center"/>
          </w:tcPr>
          <w:p>
            <w:pP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4分</w:t>
            </w:r>
          </w:p>
        </w:tc>
        <w:tc>
          <w:tcPr>
            <w:tcW w:w="3118" w:type="dxa"/>
            <w:tcBorders>
              <w:top w:val="single" w:color="auto" w:sz="4" w:space="0"/>
            </w:tcBorders>
            <w:vAlign w:val="center"/>
          </w:tcPr>
          <w:p>
            <w:pPr>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内部控制制度完全执行，4分，执行过程中，某个环节（节点）执行不到位的，每个环节（节点）扣1分，扣完为止。</w:t>
            </w:r>
          </w:p>
        </w:tc>
        <w:tc>
          <w:tcPr>
            <w:tcW w:w="3472" w:type="dxa"/>
            <w:tcBorders>
              <w:top w:val="single" w:color="auto" w:sz="4" w:space="0"/>
            </w:tcBorders>
            <w:vAlign w:val="center"/>
          </w:tcPr>
          <w:p>
            <w:pPr>
              <w:widowControl/>
              <w:jc w:val="left"/>
              <w:rPr>
                <w:rFonts w:asciiTheme="minorEastAsia" w:hAnsiTheme="minorEastAsia" w:cstheme="minorEastAsia"/>
                <w:color w:val="000000" w:themeColor="text1"/>
                <w:kern w:val="0"/>
                <w:sz w:val="18"/>
                <w:szCs w:val="18"/>
                <w14:textFill>
                  <w14:solidFill>
                    <w14:schemeClr w14:val="tx1"/>
                  </w14:solidFill>
                </w14:textFill>
              </w:rPr>
            </w:pPr>
          </w:p>
        </w:tc>
        <w:tc>
          <w:tcPr>
            <w:tcW w:w="617" w:type="dxa"/>
            <w:tcBorders>
              <w:top w:val="single" w:color="auto" w:sz="4" w:space="0"/>
            </w:tcBorders>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过程</w:t>
            </w:r>
          </w:p>
        </w:tc>
        <w:tc>
          <w:tcPr>
            <w:tcW w:w="429" w:type="dxa"/>
            <w:vMerge w:val="continue"/>
            <w:tcBorders>
              <w:right w:val="single" w:color="auto" w:sz="4" w:space="0"/>
            </w:tcBorders>
            <w:vAlign w:val="center"/>
          </w:tcPr>
          <w:p>
            <w:pPr>
              <w:jc w:val="center"/>
              <w:rPr>
                <w:rFonts w:asciiTheme="minorEastAsia" w:hAnsiTheme="minorEastAsia" w:cstheme="minorEastAsia"/>
                <w:color w:val="000000" w:themeColor="text1"/>
                <w:kern w:val="0"/>
                <w:sz w:val="18"/>
                <w:szCs w:val="18"/>
                <w14:textFill>
                  <w14:solidFill>
                    <w14:schemeClr w14:val="tx1"/>
                  </w14:solidFill>
                </w14:textFill>
              </w:rPr>
            </w:pPr>
          </w:p>
        </w:tc>
        <w:tc>
          <w:tcPr>
            <w:tcW w:w="567" w:type="dxa"/>
            <w:vMerge w:val="continue"/>
            <w:tcBorders>
              <w:left w:val="single" w:color="auto" w:sz="4" w:space="0"/>
            </w:tcBorders>
            <w:vAlign w:val="center"/>
          </w:tcPr>
          <w:p>
            <w:pPr>
              <w:jc w:val="center"/>
              <w:rPr>
                <w:rFonts w:asciiTheme="minorEastAsia" w:hAnsiTheme="minorEastAsia" w:cstheme="minorEastAsia"/>
                <w:color w:val="000000" w:themeColor="text1"/>
                <w:kern w:val="0"/>
                <w:sz w:val="18"/>
                <w:szCs w:val="18"/>
                <w14:textFill>
                  <w14:solidFill>
                    <w14:schemeClr w14:val="tx1"/>
                  </w14:solidFill>
                </w14:textFill>
              </w:rPr>
            </w:pPr>
          </w:p>
        </w:tc>
        <w:tc>
          <w:tcPr>
            <w:tcW w:w="851" w:type="dxa"/>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资金  使用合规性</w:t>
            </w:r>
          </w:p>
        </w:tc>
        <w:tc>
          <w:tcPr>
            <w:tcW w:w="567" w:type="dxa"/>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14</w:t>
            </w:r>
          </w:p>
        </w:tc>
        <w:tc>
          <w:tcPr>
            <w:tcW w:w="3118" w:type="dxa"/>
            <w:vAlign w:val="center"/>
          </w:tcPr>
          <w:p>
            <w:pPr>
              <w:widowControl/>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①支出符合国家财经法规和财务管理制度规定以及有关专项资金管理办法的规定；②资金（开支）拨付有完整的审批程序和手续；③支出符合部门预算批复的用途；④资金使用无截留、挤占、挪用、虚列支出、随意借用、大额现金支付等情况。</w:t>
            </w:r>
          </w:p>
          <w:p>
            <w:pPr>
              <w:widowControl/>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⑤重大财务事项经由集体研究决策；</w:t>
            </w:r>
          </w:p>
          <w:p>
            <w:pPr>
              <w:widowControl/>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⑥专项资金做到专款专用；</w:t>
            </w:r>
          </w:p>
          <w:p>
            <w:pPr>
              <w:widowControl/>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⑦原始凭证的取得真实有效；</w:t>
            </w:r>
          </w:p>
          <w:p>
            <w:pPr>
              <w:widowControl/>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⑧无超范围、超预算开支；</w:t>
            </w:r>
          </w:p>
          <w:p>
            <w:pPr>
              <w:widowControl/>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⑨无超标准发放津补贴、奖金，无用公款支付应由个人支付的款项。以上情况每出现一例不符合要求的扣2分，扣完为止。</w:t>
            </w:r>
          </w:p>
        </w:tc>
        <w:tc>
          <w:tcPr>
            <w:tcW w:w="3472" w:type="dxa"/>
            <w:vAlign w:val="center"/>
          </w:tcPr>
          <w:p>
            <w:pPr>
              <w:widowControl/>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部门（单位）使用预算资金是否符合相关的预算财务管理制度的规定，用以反映和考核部门（单位）预算资金的规范运行情况。</w:t>
            </w:r>
          </w:p>
        </w:tc>
        <w:tc>
          <w:tcPr>
            <w:tcW w:w="617" w:type="dxa"/>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429" w:type="dxa"/>
            <w:vMerge w:val="continue"/>
            <w:tcBorders>
              <w:bottom w:val="single" w:color="auto" w:sz="4" w:space="0"/>
              <w:right w:val="single" w:color="auto" w:sz="4" w:space="0"/>
            </w:tcBorders>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567" w:type="dxa"/>
            <w:vMerge w:val="continue"/>
            <w:tcBorders>
              <w:left w:val="single" w:color="auto" w:sz="4" w:space="0"/>
              <w:bottom w:val="single" w:color="auto" w:sz="4" w:space="0"/>
            </w:tcBorders>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851" w:type="dxa"/>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预决算信息公开性和完善性</w:t>
            </w:r>
          </w:p>
        </w:tc>
        <w:tc>
          <w:tcPr>
            <w:tcW w:w="567" w:type="dxa"/>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4</w:t>
            </w:r>
          </w:p>
        </w:tc>
        <w:tc>
          <w:tcPr>
            <w:tcW w:w="3118" w:type="dxa"/>
            <w:vAlign w:val="center"/>
          </w:tcPr>
          <w:p>
            <w:pPr>
              <w:widowControl/>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 xml:space="preserve">①按规定内容公开预决算信息，1分；②按规定时限公开预决算信息，1分；③基础数据信息和会计信息资料真实、完整，1分；④基础数据信息和汇集信息资料准确，1分。                                           </w:t>
            </w:r>
          </w:p>
        </w:tc>
        <w:tc>
          <w:tcPr>
            <w:tcW w:w="3472" w:type="dxa"/>
            <w:vAlign w:val="center"/>
          </w:tcPr>
          <w:p>
            <w:pPr>
              <w:widowControl/>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预决算信息是指与部门预算、执行、决算、监督、绩效等管理相关的信息。</w:t>
            </w:r>
          </w:p>
        </w:tc>
        <w:tc>
          <w:tcPr>
            <w:tcW w:w="617" w:type="dxa"/>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429" w:type="dxa"/>
            <w:vMerge w:val="restart"/>
            <w:tcBorders>
              <w:top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资产管理</w:t>
            </w:r>
          </w:p>
        </w:tc>
        <w:tc>
          <w:tcPr>
            <w:tcW w:w="567" w:type="dxa"/>
            <w:vMerge w:val="restart"/>
            <w:tcBorders>
              <w:top w:val="single" w:color="auto" w:sz="4" w:space="0"/>
              <w:left w:val="single" w:color="auto" w:sz="4" w:space="0"/>
              <w:bottom w:val="single" w:color="auto" w:sz="4" w:space="0"/>
            </w:tcBorders>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20</w:t>
            </w:r>
          </w:p>
        </w:tc>
        <w:tc>
          <w:tcPr>
            <w:tcW w:w="851" w:type="dxa"/>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管理  制度健全性</w:t>
            </w:r>
          </w:p>
        </w:tc>
        <w:tc>
          <w:tcPr>
            <w:tcW w:w="567" w:type="dxa"/>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3118" w:type="dxa"/>
            <w:vAlign w:val="center"/>
          </w:tcPr>
          <w:p>
            <w:pPr>
              <w:widowControl/>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 xml:space="preserve">①已制定资产管理制度，1分；②相关资产管理制度得到有效执行，1分。                                           </w:t>
            </w:r>
          </w:p>
        </w:tc>
        <w:tc>
          <w:tcPr>
            <w:tcW w:w="3472" w:type="dxa"/>
            <w:vAlign w:val="center"/>
          </w:tcPr>
          <w:p>
            <w:pPr>
              <w:widowControl/>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部门（单位）为加强资产管理，规范资产管理行为而制定的管理制度是否健全完整、用以反映和考核部门（单位）资产管理制度对完成主要职责或促进社会发展的保障情况</w:t>
            </w:r>
          </w:p>
        </w:tc>
        <w:tc>
          <w:tcPr>
            <w:tcW w:w="617" w:type="dxa"/>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429" w:type="dxa"/>
            <w:vMerge w:val="continue"/>
            <w:tcBorders>
              <w:top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567" w:type="dxa"/>
            <w:vMerge w:val="continue"/>
            <w:tcBorders>
              <w:top w:val="single" w:color="auto" w:sz="4" w:space="0"/>
              <w:left w:val="single" w:color="auto" w:sz="4" w:space="0"/>
              <w:bottom w:val="single" w:color="auto" w:sz="4" w:space="0"/>
            </w:tcBorders>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851" w:type="dxa"/>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资产  管理安全性</w:t>
            </w:r>
          </w:p>
        </w:tc>
        <w:tc>
          <w:tcPr>
            <w:tcW w:w="567" w:type="dxa"/>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16</w:t>
            </w:r>
          </w:p>
        </w:tc>
        <w:tc>
          <w:tcPr>
            <w:tcW w:w="3118" w:type="dxa"/>
            <w:vAlign w:val="center"/>
          </w:tcPr>
          <w:p>
            <w:pPr>
              <w:widowControl/>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①资产保存完整；②资产配置合理；③资产处置规范； ④资产账务管理合规，帐实帐卡、账账、账表（决算报表等）相符；⑤资产有偿使用及处置收入及时足额上缴；⑥清查盘点：每年至少清查盘点一次；⑦产权明晰，权证齐全；⑧按标准购置固定资产。以上情况每出现一例不符合要求的扣2分；⑨未按时报送2018年行政事业单位资产报表的，每延迟一天，扣1分，扣完为止。</w:t>
            </w:r>
          </w:p>
        </w:tc>
        <w:tc>
          <w:tcPr>
            <w:tcW w:w="3472" w:type="dxa"/>
            <w:vAlign w:val="center"/>
          </w:tcPr>
          <w:p>
            <w:pPr>
              <w:widowControl/>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部门（单位）的资产是否保存完整，使用合规、配置合理、处置规范、收入及时足额上缴，用以反映和考核部门（单位）资产安全运行情况。</w:t>
            </w:r>
          </w:p>
        </w:tc>
        <w:tc>
          <w:tcPr>
            <w:tcW w:w="617" w:type="dxa"/>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429" w:type="dxa"/>
            <w:vMerge w:val="continue"/>
            <w:tcBorders>
              <w:top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567" w:type="dxa"/>
            <w:vMerge w:val="continue"/>
            <w:tcBorders>
              <w:top w:val="single" w:color="auto" w:sz="4" w:space="0"/>
              <w:left w:val="single" w:color="auto" w:sz="4" w:space="0"/>
              <w:bottom w:val="single" w:color="auto" w:sz="4" w:space="0"/>
            </w:tcBorders>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851" w:type="dxa"/>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固定  资产利用率</w:t>
            </w:r>
          </w:p>
        </w:tc>
        <w:tc>
          <w:tcPr>
            <w:tcW w:w="567" w:type="dxa"/>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3118" w:type="dxa"/>
            <w:vAlign w:val="center"/>
          </w:tcPr>
          <w:p>
            <w:pPr>
              <w:widowControl/>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固定资产利用率,100%,2分,每低于一个百分点扣0.2分，扣完为止。</w:t>
            </w:r>
          </w:p>
        </w:tc>
        <w:tc>
          <w:tcPr>
            <w:tcW w:w="3472" w:type="dxa"/>
            <w:vAlign w:val="center"/>
          </w:tcPr>
          <w:p>
            <w:pPr>
              <w:widowControl/>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固定资产利用率=（实际在用固定资产总额/所有固定资产总额）×100%</w:t>
            </w:r>
          </w:p>
        </w:tc>
        <w:tc>
          <w:tcPr>
            <w:tcW w:w="617" w:type="dxa"/>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429" w:type="dxa"/>
            <w:vMerge w:val="restart"/>
            <w:tcBorders>
              <w:right w:val="single" w:color="auto" w:sz="4" w:space="0"/>
            </w:tcBorders>
            <w:vAlign w:val="center"/>
          </w:tcPr>
          <w:p>
            <w:pPr>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绩效管理</w:t>
            </w:r>
          </w:p>
        </w:tc>
        <w:tc>
          <w:tcPr>
            <w:tcW w:w="567" w:type="dxa"/>
            <w:vMerge w:val="restart"/>
            <w:tcBorders>
              <w:top w:val="single" w:color="auto" w:sz="4" w:space="0"/>
              <w:left w:val="single" w:color="auto" w:sz="4" w:space="0"/>
            </w:tcBorders>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17</w:t>
            </w:r>
          </w:p>
        </w:tc>
        <w:tc>
          <w:tcPr>
            <w:tcW w:w="851" w:type="dxa"/>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目标 管理</w:t>
            </w:r>
          </w:p>
        </w:tc>
        <w:tc>
          <w:tcPr>
            <w:tcW w:w="567" w:type="dxa"/>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8</w:t>
            </w:r>
          </w:p>
        </w:tc>
        <w:tc>
          <w:tcPr>
            <w:tcW w:w="3118" w:type="dxa"/>
            <w:vAlign w:val="center"/>
          </w:tcPr>
          <w:p>
            <w:pPr>
              <w:widowControl/>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①本单位所有专项、项目资金均实行目标管理的，各2分,每少一个专项、项目的，扣1分，扣完为止；②编制并报送2021年度部门整体支出绩效目标的，2分；③在规定时间内报送、公开以上目标的，2分，否则不得分。</w:t>
            </w:r>
          </w:p>
        </w:tc>
        <w:tc>
          <w:tcPr>
            <w:tcW w:w="3472" w:type="dxa"/>
            <w:vAlign w:val="center"/>
          </w:tcPr>
          <w:p>
            <w:pPr>
              <w:widowControl/>
              <w:jc w:val="left"/>
              <w:rPr>
                <w:rFonts w:asciiTheme="minorEastAsia" w:hAnsiTheme="minorEastAsia" w:cstheme="minorEastAsia"/>
                <w:color w:val="000000" w:themeColor="text1"/>
                <w:kern w:val="0"/>
                <w:sz w:val="18"/>
                <w:szCs w:val="18"/>
                <w14:textFill>
                  <w14:solidFill>
                    <w14:schemeClr w14:val="tx1"/>
                  </w14:solidFill>
                </w14:textFill>
              </w:rPr>
            </w:pPr>
          </w:p>
        </w:tc>
        <w:tc>
          <w:tcPr>
            <w:tcW w:w="617" w:type="dxa"/>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429" w:type="dxa"/>
            <w:vMerge w:val="continue"/>
            <w:tcBorders>
              <w:bottom w:val="single" w:color="auto" w:sz="4" w:space="0"/>
              <w:right w:val="single" w:color="auto" w:sz="4" w:space="0"/>
            </w:tcBorders>
            <w:vAlign w:val="center"/>
          </w:tcPr>
          <w:p>
            <w:pPr>
              <w:jc w:val="center"/>
              <w:rPr>
                <w:rFonts w:asciiTheme="minorEastAsia" w:hAnsiTheme="minorEastAsia" w:cstheme="minorEastAsia"/>
                <w:color w:val="000000" w:themeColor="text1"/>
                <w:kern w:val="0"/>
                <w:sz w:val="18"/>
                <w:szCs w:val="18"/>
                <w14:textFill>
                  <w14:solidFill>
                    <w14:schemeClr w14:val="tx1"/>
                  </w14:solidFill>
                </w14:textFill>
              </w:rPr>
            </w:pPr>
          </w:p>
        </w:tc>
        <w:tc>
          <w:tcPr>
            <w:tcW w:w="567" w:type="dxa"/>
            <w:vMerge w:val="continue"/>
            <w:tcBorders>
              <w:left w:val="single" w:color="auto" w:sz="4" w:space="0"/>
              <w:bottom w:val="single" w:color="auto" w:sz="4" w:space="0"/>
            </w:tcBorders>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851" w:type="dxa"/>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绩效 评价</w:t>
            </w:r>
          </w:p>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管理</w:t>
            </w:r>
          </w:p>
        </w:tc>
        <w:tc>
          <w:tcPr>
            <w:tcW w:w="567" w:type="dxa"/>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7</w:t>
            </w:r>
          </w:p>
        </w:tc>
        <w:tc>
          <w:tcPr>
            <w:tcW w:w="3118" w:type="dxa"/>
            <w:vAlign w:val="center"/>
          </w:tcPr>
          <w:p>
            <w:pPr>
              <w:widowControl/>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①开展20</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21</w:t>
            </w:r>
            <w:r>
              <w:rPr>
                <w:rFonts w:hint="eastAsia" w:asciiTheme="minorEastAsia" w:hAnsiTheme="minorEastAsia" w:cstheme="minorEastAsia"/>
                <w:color w:val="000000" w:themeColor="text1"/>
                <w:kern w:val="0"/>
                <w:sz w:val="18"/>
                <w:szCs w:val="18"/>
                <w14:textFill>
                  <w14:solidFill>
                    <w14:schemeClr w14:val="tx1"/>
                  </w14:solidFill>
                </w14:textFill>
              </w:rPr>
              <w:t>年度专项资金绩效自评的，2分，每少一个专项资金的自评扣1分，扣完为止；②开展2019年度已完工项目绩效自评的，2分，每少一个项目扣1分，扣完为止；③开展20</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21</w:t>
            </w:r>
            <w:r>
              <w:rPr>
                <w:rFonts w:hint="eastAsia" w:asciiTheme="minorEastAsia" w:hAnsiTheme="minorEastAsia" w:cstheme="minorEastAsia"/>
                <w:color w:val="000000" w:themeColor="text1"/>
                <w:kern w:val="0"/>
                <w:sz w:val="18"/>
                <w:szCs w:val="18"/>
                <w14:textFill>
                  <w14:solidFill>
                    <w14:schemeClr w14:val="tx1"/>
                  </w14:solidFill>
                </w14:textFill>
              </w:rPr>
              <w:t>年度部门整体支出绩效自评的，1分；④在规定时间内报送、公开以上自评报告材料的，2分。</w:t>
            </w:r>
          </w:p>
        </w:tc>
        <w:tc>
          <w:tcPr>
            <w:tcW w:w="3472" w:type="dxa"/>
            <w:vAlign w:val="center"/>
          </w:tcPr>
          <w:p>
            <w:pPr>
              <w:widowControl/>
              <w:jc w:val="left"/>
              <w:rPr>
                <w:rFonts w:asciiTheme="minorEastAsia" w:hAnsiTheme="minorEastAsia" w:cstheme="minorEastAsia"/>
                <w:color w:val="000000" w:themeColor="text1"/>
                <w:kern w:val="0"/>
                <w:sz w:val="18"/>
                <w:szCs w:val="18"/>
                <w14:textFill>
                  <w14:solidFill>
                    <w14:schemeClr w14:val="tx1"/>
                  </w14:solidFill>
                </w14:textFill>
              </w:rPr>
            </w:pPr>
          </w:p>
        </w:tc>
        <w:tc>
          <w:tcPr>
            <w:tcW w:w="617" w:type="dxa"/>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429" w:type="dxa"/>
            <w:tcBorders>
              <w:top w:val="nil"/>
              <w:bottom w:val="single" w:color="auto" w:sz="4" w:space="0"/>
              <w:right w:val="single" w:color="auto" w:sz="4" w:space="0"/>
            </w:tcBorders>
            <w:vAlign w:val="center"/>
          </w:tcPr>
          <w:p>
            <w:pPr>
              <w:jc w:val="center"/>
              <w:rPr>
                <w:rFonts w:asciiTheme="minorEastAsia" w:hAnsiTheme="minorEastAsia" w:cstheme="minorEastAsia"/>
                <w:color w:val="000000" w:themeColor="text1"/>
                <w:kern w:val="0"/>
                <w:sz w:val="18"/>
                <w:szCs w:val="18"/>
                <w14:textFill>
                  <w14:solidFill>
                    <w14:schemeClr w14:val="tx1"/>
                  </w14:solidFill>
                </w14:textFill>
              </w:rPr>
            </w:pPr>
          </w:p>
        </w:tc>
        <w:tc>
          <w:tcPr>
            <w:tcW w:w="567" w:type="dxa"/>
            <w:tcBorders>
              <w:top w:val="nil"/>
              <w:left w:val="single" w:color="auto" w:sz="4" w:space="0"/>
              <w:bottom w:val="single" w:color="auto" w:sz="4" w:space="0"/>
            </w:tcBorders>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851" w:type="dxa"/>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评价 结果 运用</w:t>
            </w:r>
          </w:p>
        </w:tc>
        <w:tc>
          <w:tcPr>
            <w:tcW w:w="567" w:type="dxa"/>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3118" w:type="dxa"/>
            <w:vAlign w:val="center"/>
          </w:tcPr>
          <w:p>
            <w:pPr>
              <w:widowControl/>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根据20</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21</w:t>
            </w:r>
            <w:r>
              <w:rPr>
                <w:rFonts w:hint="eastAsia" w:asciiTheme="minorEastAsia" w:hAnsiTheme="minorEastAsia" w:cstheme="minorEastAsia"/>
                <w:color w:val="000000" w:themeColor="text1"/>
                <w:kern w:val="0"/>
                <w:sz w:val="18"/>
                <w:szCs w:val="18"/>
                <w14:textFill>
                  <w14:solidFill>
                    <w14:schemeClr w14:val="tx1"/>
                  </w14:solidFill>
                </w14:textFill>
              </w:rPr>
              <w:t>年度财政重点绩效评价和单位自评情况，向财政报送整改结果并整改到位的，2分，否则不得分。</w:t>
            </w:r>
          </w:p>
        </w:tc>
        <w:tc>
          <w:tcPr>
            <w:tcW w:w="3472" w:type="dxa"/>
            <w:vAlign w:val="center"/>
          </w:tcPr>
          <w:p>
            <w:pPr>
              <w:jc w:val="left"/>
              <w:rPr>
                <w:rFonts w:asciiTheme="minorEastAsia" w:hAnsiTheme="minorEastAsia" w:cstheme="minorEastAsia"/>
                <w:color w:val="000000" w:themeColor="text1"/>
                <w:kern w:val="0"/>
                <w:sz w:val="18"/>
                <w:szCs w:val="18"/>
                <w14:textFill>
                  <w14:solidFill>
                    <w14:schemeClr w14:val="tx1"/>
                  </w14:solidFill>
                </w14:textFill>
              </w:rPr>
            </w:pPr>
          </w:p>
        </w:tc>
        <w:tc>
          <w:tcPr>
            <w:tcW w:w="617" w:type="dxa"/>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textDirection w:val="tbRlV"/>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产   出</w:t>
            </w:r>
          </w:p>
        </w:tc>
        <w:tc>
          <w:tcPr>
            <w:tcW w:w="429" w:type="dxa"/>
            <w:vMerge w:val="restart"/>
            <w:tcBorders>
              <w:top w:val="single" w:color="auto" w:sz="4" w:space="0"/>
              <w:right w:val="single" w:color="auto" w:sz="4" w:space="0"/>
            </w:tcBorders>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职责履行</w:t>
            </w:r>
          </w:p>
        </w:tc>
        <w:tc>
          <w:tcPr>
            <w:tcW w:w="567" w:type="dxa"/>
            <w:vMerge w:val="restart"/>
            <w:tcBorders>
              <w:top w:val="single" w:color="auto" w:sz="4" w:space="0"/>
              <w:left w:val="single" w:color="auto" w:sz="4" w:space="0"/>
            </w:tcBorders>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5</w:t>
            </w:r>
          </w:p>
        </w:tc>
        <w:tc>
          <w:tcPr>
            <w:tcW w:w="851" w:type="dxa"/>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重点　工作　完成率</w:t>
            </w:r>
          </w:p>
        </w:tc>
        <w:tc>
          <w:tcPr>
            <w:tcW w:w="567" w:type="dxa"/>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3118" w:type="dxa"/>
            <w:vAlign w:val="center"/>
          </w:tcPr>
          <w:p>
            <w:pPr>
              <w:widowControl/>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该项得分=重点工作完成率×2</w:t>
            </w:r>
          </w:p>
        </w:tc>
        <w:tc>
          <w:tcPr>
            <w:tcW w:w="3472" w:type="dxa"/>
            <w:vAlign w:val="center"/>
          </w:tcPr>
          <w:p>
            <w:pPr>
              <w:autoSpaceDN w:val="0"/>
              <w:jc w:val="left"/>
              <w:textAlignment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重点工作为市政府确定的为民办实事和部门重点工程与重点工作。</w:t>
            </w:r>
          </w:p>
        </w:tc>
        <w:tc>
          <w:tcPr>
            <w:tcW w:w="617" w:type="dxa"/>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textDirection w:val="tbRlV"/>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429" w:type="dxa"/>
            <w:vMerge w:val="continue"/>
            <w:tcBorders>
              <w:bottom w:val="single" w:color="auto" w:sz="4" w:space="0"/>
              <w:right w:val="single" w:color="auto" w:sz="4" w:space="0"/>
            </w:tcBorders>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567" w:type="dxa"/>
            <w:vMerge w:val="continue"/>
            <w:tcBorders>
              <w:left w:val="single" w:color="auto" w:sz="4" w:space="0"/>
              <w:bottom w:val="single" w:color="auto" w:sz="4" w:space="0"/>
            </w:tcBorders>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851" w:type="dxa"/>
            <w:vAlign w:val="center"/>
          </w:tcPr>
          <w:p>
            <w:pP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工作</w:t>
            </w:r>
          </w:p>
          <w:p>
            <w:pP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质量</w:t>
            </w:r>
          </w:p>
        </w:tc>
        <w:tc>
          <w:tcPr>
            <w:tcW w:w="567" w:type="dxa"/>
            <w:vAlign w:val="center"/>
          </w:tcPr>
          <w:p>
            <w:pP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3</w:t>
            </w:r>
          </w:p>
        </w:tc>
        <w:tc>
          <w:tcPr>
            <w:tcW w:w="3118" w:type="dxa"/>
            <w:vAlign w:val="center"/>
          </w:tcPr>
          <w:p>
            <w:pPr>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以绩效考核评估结果为标准，优秀，计3分；良好，2分；合格，1分；不合格，0分。</w:t>
            </w:r>
          </w:p>
        </w:tc>
        <w:tc>
          <w:tcPr>
            <w:tcW w:w="3472" w:type="dxa"/>
            <w:vAlign w:val="center"/>
          </w:tcPr>
          <w:p>
            <w:pPr>
              <w:autoSpaceDN w:val="0"/>
              <w:jc w:val="left"/>
              <w:textAlignment w:val="center"/>
              <w:rPr>
                <w:rFonts w:asciiTheme="minorEastAsia" w:hAnsiTheme="minorEastAsia" w:cstheme="minorEastAsia"/>
                <w:color w:val="000000" w:themeColor="text1"/>
                <w:kern w:val="0"/>
                <w:sz w:val="18"/>
                <w:szCs w:val="18"/>
                <w14:textFill>
                  <w14:solidFill>
                    <w14:schemeClr w14:val="tx1"/>
                  </w14:solidFill>
                </w14:textFill>
              </w:rPr>
            </w:pPr>
          </w:p>
        </w:tc>
        <w:tc>
          <w:tcPr>
            <w:tcW w:w="617" w:type="dxa"/>
            <w:vAlign w:val="center"/>
          </w:tcPr>
          <w:p>
            <w:pPr>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textDirection w:val="tbRlV"/>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效  果</w:t>
            </w:r>
          </w:p>
        </w:tc>
        <w:tc>
          <w:tcPr>
            <w:tcW w:w="429" w:type="dxa"/>
            <w:vMerge w:val="restart"/>
            <w:tcBorders>
              <w:top w:val="single" w:color="auto" w:sz="4" w:space="0"/>
              <w:bottom w:val="single" w:color="auto" w:sz="4" w:space="0"/>
            </w:tcBorders>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履职效益</w:t>
            </w:r>
          </w:p>
        </w:tc>
        <w:tc>
          <w:tcPr>
            <w:tcW w:w="567" w:type="dxa"/>
            <w:vMerge w:val="restart"/>
            <w:tcBorders>
              <w:top w:val="single" w:color="auto" w:sz="4" w:space="0"/>
              <w:bottom w:val="single" w:color="auto" w:sz="4" w:space="0"/>
            </w:tcBorders>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4</w:t>
            </w:r>
          </w:p>
        </w:tc>
        <w:tc>
          <w:tcPr>
            <w:tcW w:w="851" w:type="dxa"/>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经济  效益</w:t>
            </w:r>
          </w:p>
        </w:tc>
        <w:tc>
          <w:tcPr>
            <w:tcW w:w="567" w:type="dxa"/>
            <w:vMerge w:val="restart"/>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6590" w:type="dxa"/>
            <w:gridSpan w:val="2"/>
            <w:vMerge w:val="restart"/>
            <w:vAlign w:val="center"/>
          </w:tcPr>
          <w:p>
            <w:pPr>
              <w:widowControl/>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此三项指标可根据部门实际并结合2021年度部门整体支出绩效目标设立情况有选择的进行评价。</w:t>
            </w:r>
          </w:p>
        </w:tc>
        <w:tc>
          <w:tcPr>
            <w:tcW w:w="617" w:type="dxa"/>
            <w:vMerge w:val="restart"/>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429"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567"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851" w:type="dxa"/>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社会  效益</w:t>
            </w:r>
          </w:p>
        </w:tc>
        <w:tc>
          <w:tcPr>
            <w:tcW w:w="567" w:type="dxa"/>
            <w:vMerge w:val="continue"/>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p>
        </w:tc>
        <w:tc>
          <w:tcPr>
            <w:tcW w:w="6590" w:type="dxa"/>
            <w:gridSpan w:val="2"/>
            <w:vMerge w:val="continue"/>
            <w:vAlign w:val="center"/>
          </w:tcPr>
          <w:p>
            <w:pPr>
              <w:widowControl/>
              <w:jc w:val="left"/>
              <w:rPr>
                <w:rFonts w:asciiTheme="minorEastAsia" w:hAnsiTheme="minorEastAsia" w:cstheme="minorEastAsia"/>
                <w:color w:val="000000" w:themeColor="text1"/>
                <w:kern w:val="0"/>
                <w:sz w:val="18"/>
                <w:szCs w:val="18"/>
                <w14:textFill>
                  <w14:solidFill>
                    <w14:schemeClr w14:val="tx1"/>
                  </w14:solidFill>
                </w14:textFill>
              </w:rPr>
            </w:pPr>
          </w:p>
        </w:tc>
        <w:tc>
          <w:tcPr>
            <w:tcW w:w="617" w:type="dxa"/>
            <w:vMerge w:val="continue"/>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429"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567"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851" w:type="dxa"/>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生态  效益</w:t>
            </w:r>
          </w:p>
        </w:tc>
        <w:tc>
          <w:tcPr>
            <w:tcW w:w="567" w:type="dxa"/>
            <w:vMerge w:val="continue"/>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p>
        </w:tc>
        <w:tc>
          <w:tcPr>
            <w:tcW w:w="6590" w:type="dxa"/>
            <w:gridSpan w:val="2"/>
            <w:vMerge w:val="continue"/>
            <w:vAlign w:val="center"/>
          </w:tcPr>
          <w:p>
            <w:pPr>
              <w:widowControl/>
              <w:jc w:val="left"/>
              <w:rPr>
                <w:rFonts w:asciiTheme="minorEastAsia" w:hAnsiTheme="minorEastAsia" w:cstheme="minorEastAsia"/>
                <w:color w:val="000000" w:themeColor="text1"/>
                <w:kern w:val="0"/>
                <w:sz w:val="18"/>
                <w:szCs w:val="18"/>
                <w14:textFill>
                  <w14:solidFill>
                    <w14:schemeClr w14:val="tx1"/>
                  </w14:solidFill>
                </w14:textFill>
              </w:rPr>
            </w:pPr>
          </w:p>
        </w:tc>
        <w:tc>
          <w:tcPr>
            <w:tcW w:w="617" w:type="dxa"/>
            <w:vMerge w:val="continue"/>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429"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567"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c>
          <w:tcPr>
            <w:tcW w:w="851" w:type="dxa"/>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社会公众或服务对象满意度</w:t>
            </w:r>
          </w:p>
        </w:tc>
        <w:tc>
          <w:tcPr>
            <w:tcW w:w="567" w:type="dxa"/>
            <w:vAlign w:val="center"/>
          </w:tcPr>
          <w:p>
            <w:pPr>
              <w:widowControl/>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c>
          <w:tcPr>
            <w:tcW w:w="3118" w:type="dxa"/>
            <w:vAlign w:val="center"/>
          </w:tcPr>
          <w:p>
            <w:pPr>
              <w:widowControl/>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90%（含）以上计2分；80%（含）-90%，计1分；70%（含）-80%，计0.5分；低于70%,计0分。</w:t>
            </w:r>
          </w:p>
        </w:tc>
        <w:tc>
          <w:tcPr>
            <w:tcW w:w="3472" w:type="dxa"/>
            <w:vAlign w:val="center"/>
          </w:tcPr>
          <w:p>
            <w:pPr>
              <w:widowControl/>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社会公众或服务对象是指部门（单位）履行职责而影响到的部门，群体或个人，一般采取社会调查的方式(不少于30份)。</w:t>
            </w:r>
          </w:p>
        </w:tc>
        <w:tc>
          <w:tcPr>
            <w:tcW w:w="617" w:type="dxa"/>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合计</w:t>
            </w:r>
          </w:p>
        </w:tc>
        <w:tc>
          <w:tcPr>
            <w:tcW w:w="8575" w:type="dxa"/>
            <w:gridSpan w:val="5"/>
            <w:vAlign w:val="center"/>
          </w:tcPr>
          <w:p>
            <w:pPr>
              <w:widowControl/>
              <w:jc w:val="center"/>
              <w:rPr>
                <w:rFonts w:hint="default"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84</w:t>
            </w:r>
          </w:p>
        </w:tc>
        <w:tc>
          <w:tcPr>
            <w:tcW w:w="617" w:type="dxa"/>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p>
        </w:tc>
      </w:tr>
    </w:tbl>
    <w:p>
      <w:pPr>
        <w:spacing w:line="600" w:lineRule="exact"/>
        <w:rPr>
          <w:rFonts w:asciiTheme="minorEastAsia" w:hAnsiTheme="minorEastAsia" w:cstheme="minorEastAsia"/>
          <w:color w:val="000000" w:themeColor="text1"/>
          <w:kern w:val="0"/>
          <w:sz w:val="24"/>
          <w14:textFill>
            <w14:solidFill>
              <w14:schemeClr w14:val="tx1"/>
            </w14:solidFill>
          </w14:textFill>
        </w:rPr>
      </w:pPr>
    </w:p>
    <w:p>
      <w:pPr>
        <w:rPr>
          <w:rFonts w:asciiTheme="minorEastAsia" w:hAnsiTheme="minorEastAsia" w:cstheme="minorEastAsia"/>
          <w:color w:val="000000" w:themeColor="text1"/>
          <w:sz w:val="24"/>
          <w14:textFill>
            <w14:solidFill>
              <w14:schemeClr w14:val="tx1"/>
            </w14:solidFill>
          </w14:textFill>
        </w:rPr>
      </w:pPr>
    </w:p>
    <w:p>
      <w:pPr>
        <w:rPr>
          <w:rFonts w:asciiTheme="minorEastAsia" w:hAnsiTheme="minorEastAsia" w:cstheme="minorEastAsia"/>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kern w:val="0"/>
          <w:sz w:val="32"/>
          <w:szCs w:val="32"/>
          <w:shd w:val="clear" w:color="auto" w:fill="FFFFFF"/>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kern w:val="0"/>
          <w:sz w:val="32"/>
          <w:szCs w:val="32"/>
          <w:shd w:val="clear" w:color="auto" w:fill="FFFFFF"/>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zY2E2NThmNTlmNmMzMDE1ZGUyMTE2NzZkNjRjMDEifQ=="/>
  </w:docVars>
  <w:rsids>
    <w:rsidRoot w:val="00BE1B3D"/>
    <w:rsid w:val="0025477A"/>
    <w:rsid w:val="003451CD"/>
    <w:rsid w:val="00356BDD"/>
    <w:rsid w:val="00361BC5"/>
    <w:rsid w:val="004C162C"/>
    <w:rsid w:val="009225A8"/>
    <w:rsid w:val="00B010E3"/>
    <w:rsid w:val="00BE1B3D"/>
    <w:rsid w:val="00CE7591"/>
    <w:rsid w:val="00EC45A6"/>
    <w:rsid w:val="08E22A58"/>
    <w:rsid w:val="0D777500"/>
    <w:rsid w:val="0DC2450A"/>
    <w:rsid w:val="0E4E3DE0"/>
    <w:rsid w:val="13FF3EF7"/>
    <w:rsid w:val="1D941472"/>
    <w:rsid w:val="1EAC476E"/>
    <w:rsid w:val="274B02F4"/>
    <w:rsid w:val="28622EA9"/>
    <w:rsid w:val="28C54FA0"/>
    <w:rsid w:val="45AD0E01"/>
    <w:rsid w:val="48CC18F2"/>
    <w:rsid w:val="4BC64910"/>
    <w:rsid w:val="55041763"/>
    <w:rsid w:val="675E312D"/>
    <w:rsid w:val="6A1F37A3"/>
    <w:rsid w:val="6D182F7D"/>
    <w:rsid w:val="6EB32647"/>
    <w:rsid w:val="6F654E60"/>
    <w:rsid w:val="78FB0158"/>
    <w:rsid w:val="7ADD7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4">
    <w:name w:val="Normal (Web)"/>
    <w:basedOn w:val="1"/>
    <w:qFormat/>
    <w:uiPriority w:val="0"/>
    <w:rPr>
      <w:sz w:val="24"/>
    </w:rPr>
  </w:style>
  <w:style w:type="character" w:styleId="7">
    <w:name w:val="page number"/>
    <w:basedOn w:val="6"/>
    <w:qFormat/>
    <w:uiPriority w:val="0"/>
  </w:style>
  <w:style w:type="character" w:styleId="8">
    <w:name w:val="FollowedHyperlink"/>
    <w:basedOn w:val="6"/>
    <w:qFormat/>
    <w:uiPriority w:val="0"/>
    <w:rPr>
      <w:color w:val="444444"/>
      <w:u w:val="none"/>
    </w:rPr>
  </w:style>
  <w:style w:type="character" w:styleId="9">
    <w:name w:val="Hyperlink"/>
    <w:basedOn w:val="6"/>
    <w:qFormat/>
    <w:uiPriority w:val="0"/>
    <w:rPr>
      <w:color w:val="444444"/>
      <w:u w:val="none"/>
    </w:rPr>
  </w:style>
  <w:style w:type="character" w:customStyle="1" w:styleId="10">
    <w:name w:val="gai"/>
    <w:basedOn w:val="6"/>
    <w:qFormat/>
    <w:uiPriority w:val="0"/>
  </w:style>
  <w:style w:type="character" w:customStyle="1" w:styleId="11">
    <w:name w:val="gai1"/>
    <w:basedOn w:val="6"/>
    <w:qFormat/>
    <w:uiPriority w:val="0"/>
  </w:style>
  <w:style w:type="character" w:customStyle="1" w:styleId="12">
    <w:name w:val="gai2"/>
    <w:basedOn w:val="6"/>
    <w:qFormat/>
    <w:uiPriority w:val="0"/>
  </w:style>
  <w:style w:type="character" w:customStyle="1" w:styleId="13">
    <w:name w:val="gai3"/>
    <w:basedOn w:val="6"/>
    <w:qFormat/>
    <w:uiPriority w:val="0"/>
  </w:style>
  <w:style w:type="character" w:customStyle="1" w:styleId="14">
    <w:name w:val="gai4"/>
    <w:basedOn w:val="6"/>
    <w:qFormat/>
    <w:uiPriority w:val="0"/>
  </w:style>
  <w:style w:type="character" w:customStyle="1" w:styleId="15">
    <w:name w:val="you"/>
    <w:basedOn w:val="6"/>
    <w:qFormat/>
    <w:uiPriority w:val="0"/>
  </w:style>
  <w:style w:type="character" w:customStyle="1" w:styleId="16">
    <w:name w:val="info-valid"/>
    <w:basedOn w:val="6"/>
    <w:qFormat/>
    <w:uiPriority w:val="0"/>
    <w:rPr>
      <w:color w:val="444444"/>
    </w:rPr>
  </w:style>
  <w:style w:type="character" w:customStyle="1" w:styleId="17">
    <w:name w:val="tit2"/>
    <w:basedOn w:val="6"/>
    <w:qFormat/>
    <w:uiPriority w:val="0"/>
    <w:rPr>
      <w:color w:val="1D0000"/>
      <w:sz w:val="33"/>
      <w:szCs w:val="33"/>
    </w:rPr>
  </w:style>
  <w:style w:type="character" w:customStyle="1" w:styleId="18">
    <w:name w:val="tianqi"/>
    <w:basedOn w:val="6"/>
    <w:qFormat/>
    <w:uiPriority w:val="0"/>
  </w:style>
  <w:style w:type="character" w:customStyle="1" w:styleId="19">
    <w:name w:val="sjzs"/>
    <w:basedOn w:val="6"/>
    <w:qFormat/>
    <w:uiPriority w:val="0"/>
    <w:rPr>
      <w:sz w:val="27"/>
      <w:szCs w:val="27"/>
    </w:rPr>
  </w:style>
  <w:style w:type="character" w:customStyle="1" w:styleId="20">
    <w:name w:val="quanp"/>
    <w:basedOn w:val="6"/>
    <w:qFormat/>
    <w:uiPriority w:val="0"/>
    <w:rPr>
      <w:color w:val="FFFFFF"/>
      <w:shd w:val="clear" w:color="auto" w:fill="7CB8FE"/>
    </w:rPr>
  </w:style>
  <w:style w:type="character" w:customStyle="1" w:styleId="21">
    <w:name w:val="lname"/>
    <w:basedOn w:val="6"/>
    <w:qFormat/>
    <w:uiPriority w:val="0"/>
    <w:rPr>
      <w:color w:val="000000"/>
      <w:sz w:val="30"/>
      <w:szCs w:val="30"/>
    </w:rPr>
  </w:style>
  <w:style w:type="character" w:customStyle="1" w:styleId="22">
    <w:name w:val="first-child4"/>
    <w:basedOn w:val="6"/>
    <w:qFormat/>
    <w:uiPriority w:val="0"/>
    <w:rPr>
      <w:color w:val="BD1B09"/>
    </w:rPr>
  </w:style>
  <w:style w:type="character" w:customStyle="1" w:styleId="23">
    <w:name w:val="first-child5"/>
    <w:basedOn w:val="6"/>
    <w:qFormat/>
    <w:uiPriority w:val="0"/>
    <w:rPr>
      <w:color w:val="878787"/>
      <w:sz w:val="36"/>
      <w:szCs w:val="36"/>
      <w:shd w:val="clear" w:color="auto" w:fill="FFFFFF"/>
    </w:rPr>
  </w:style>
  <w:style w:type="character" w:customStyle="1" w:styleId="24">
    <w:name w:val="ldjs"/>
    <w:basedOn w:val="6"/>
    <w:qFormat/>
    <w:uiPriority w:val="0"/>
    <w:rPr>
      <w:color w:val="666666"/>
      <w:sz w:val="24"/>
      <w:szCs w:val="24"/>
    </w:rPr>
  </w:style>
  <w:style w:type="character" w:customStyle="1" w:styleId="25">
    <w:name w:val="quanp2"/>
    <w:basedOn w:val="6"/>
    <w:qFormat/>
    <w:uiPriority w:val="0"/>
    <w:rPr>
      <w:color w:val="FFFFFF"/>
      <w:sz w:val="0"/>
      <w:szCs w:val="0"/>
      <w:shd w:val="clear" w:color="auto" w:fill="7CB8FE"/>
    </w:rPr>
  </w:style>
  <w:style w:type="character" w:customStyle="1" w:styleId="26">
    <w:name w:val="jiaoluo"/>
    <w:basedOn w:val="6"/>
    <w:qFormat/>
    <w:uiPriority w:val="0"/>
  </w:style>
  <w:style w:type="character" w:customStyle="1" w:styleId="27">
    <w:name w:val="last3"/>
    <w:basedOn w:val="6"/>
    <w:qFormat/>
    <w:uiPriority w:val="0"/>
  </w:style>
  <w:style w:type="character" w:customStyle="1" w:styleId="28">
    <w:name w:val="last4"/>
    <w:basedOn w:val="6"/>
    <w:qFormat/>
    <w:uiPriority w:val="0"/>
  </w:style>
  <w:style w:type="character" w:customStyle="1" w:styleId="29">
    <w:name w:val="fanhui"/>
    <w:basedOn w:val="6"/>
    <w:qFormat/>
    <w:uiPriority w:val="0"/>
    <w:rPr>
      <w:color w:val="FFFFFF"/>
      <w:sz w:val="24"/>
      <w:szCs w:val="24"/>
    </w:rPr>
  </w:style>
  <w:style w:type="character" w:customStyle="1" w:styleId="30">
    <w:name w:val="jiaoluo2"/>
    <w:basedOn w:val="6"/>
    <w:qFormat/>
    <w:uiPriority w:val="0"/>
  </w:style>
  <w:style w:type="character" w:customStyle="1" w:styleId="31">
    <w:name w:val="zuo"/>
    <w:basedOn w:val="6"/>
    <w:qFormat/>
    <w:uiPriority w:val="0"/>
  </w:style>
  <w:style w:type="character" w:customStyle="1" w:styleId="32">
    <w:name w:val="dcs"/>
    <w:basedOn w:val="6"/>
    <w:qFormat/>
    <w:uiPriority w:val="0"/>
    <w:rPr>
      <w:color w:val="BD1B09"/>
    </w:rPr>
  </w:style>
  <w:style w:type="character" w:customStyle="1" w:styleId="33">
    <w:name w:val="time"/>
    <w:basedOn w:val="6"/>
    <w:qFormat/>
    <w:uiPriority w:val="0"/>
    <w:rPr>
      <w:color w:val="999999"/>
    </w:rPr>
  </w:style>
  <w:style w:type="character" w:customStyle="1" w:styleId="34">
    <w:name w:val="time1"/>
    <w:basedOn w:val="6"/>
    <w:qFormat/>
    <w:uiPriority w:val="0"/>
    <w:rPr>
      <w:color w:val="999999"/>
    </w:rPr>
  </w:style>
  <w:style w:type="paragraph" w:styleId="35">
    <w:name w:val="List Paragraph"/>
    <w:basedOn w:val="1"/>
    <w:qFormat/>
    <w:uiPriority w:val="34"/>
    <w:pPr>
      <w:ind w:firstLine="420" w:firstLineChars="200"/>
    </w:pPr>
  </w:style>
  <w:style w:type="paragraph" w:customStyle="1" w:styleId="36">
    <w:name w:val="正文首行缩进 21"/>
    <w:basedOn w:val="37"/>
    <w:qFormat/>
    <w:uiPriority w:val="0"/>
    <w:pPr>
      <w:ind w:firstLine="420" w:firstLineChars="200"/>
    </w:pPr>
  </w:style>
  <w:style w:type="paragraph" w:customStyle="1" w:styleId="37">
    <w:name w:val="正文文本缩进1"/>
    <w:basedOn w:val="1"/>
    <w:uiPriority w:val="0"/>
    <w:pPr>
      <w:ind w:left="420" w:leftChars="200"/>
    </w:pPr>
  </w:style>
  <w:style w:type="paragraph" w:customStyle="1" w:styleId="38">
    <w:name w:val="18"/>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3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1898</Words>
  <Characters>2076</Characters>
  <Lines>9</Lines>
  <Paragraphs>14</Paragraphs>
  <TotalTime>0</TotalTime>
  <ScaleCrop>false</ScaleCrop>
  <LinksUpToDate>false</LinksUpToDate>
  <CharactersWithSpaces>2084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2022-10-13T09:06:00Z</dcterms:created>
  <dc:creator>Administrator</dc:creator>
  <cp:lastModifiedBy>Administrator</cp:lastModifiedBy>
  <dcterms:modified xsi:type="dcterms:W3CDTF">2023-12-13T07:48:03Z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B93BF34011B541A28B5E4B83D7681D60_13</vt:lpwstr>
  </property>
</Properties>
</file>