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方正小标宋_GBK" w:hAnsi="方正小标宋_GBK" w:eastAsia="方正小标宋_GBK" w:cs="方正小标宋_GBK"/>
          <w:sz w:val="28"/>
          <w:szCs w:val="28"/>
          <w:lang w:eastAsia="zh-CN"/>
        </w:rPr>
        <w:t>五七小学</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b/>
          <w:bCs/>
          <w:i w:val="0"/>
          <w:iCs w:val="0"/>
          <w:caps w:val="0"/>
          <w:color w:val="444444"/>
          <w:spacing w:val="0"/>
          <w:sz w:val="24"/>
          <w:szCs w:val="24"/>
          <w:shd w:val="clear" w:fill="FFFFFF"/>
        </w:rPr>
        <w:t>一、部门基本情况</w:t>
      </w:r>
    </w:p>
    <w:p>
      <w:pPr>
        <w:spacing w:line="360" w:lineRule="auto"/>
        <w:ind w:firstLine="241" w:firstLineChars="100"/>
        <w:jc w:val="left"/>
        <w:rPr>
          <w:rFonts w:hint="eastAsia" w:ascii="宋体" w:hAnsi="宋体" w:eastAsia="宋体" w:cs="宋体"/>
          <w:b/>
          <w:bCs/>
          <w:i w:val="0"/>
          <w:iCs w:val="0"/>
          <w:caps w:val="0"/>
          <w:color w:val="444444"/>
          <w:spacing w:val="0"/>
          <w:sz w:val="24"/>
          <w:szCs w:val="24"/>
          <w:shd w:val="clear" w:fill="FFFFFF"/>
          <w:lang w:val="en-US" w:eastAsia="zh-CN"/>
        </w:rPr>
      </w:pPr>
      <w:r>
        <w:rPr>
          <w:rFonts w:hint="eastAsia" w:ascii="宋体" w:hAnsi="宋体" w:eastAsia="宋体" w:cs="宋体"/>
          <w:b/>
          <w:bCs/>
          <w:i w:val="0"/>
          <w:iCs w:val="0"/>
          <w:caps w:val="0"/>
          <w:color w:val="444444"/>
          <w:spacing w:val="0"/>
          <w:sz w:val="24"/>
          <w:szCs w:val="24"/>
          <w:shd w:val="clear" w:fill="FFFFFF"/>
          <w:lang w:val="en-US" w:eastAsia="zh-CN"/>
        </w:rPr>
        <w:t>（一）机构设置及人员情况</w:t>
      </w:r>
    </w:p>
    <w:p>
      <w:pPr>
        <w:pStyle w:val="3"/>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rPr>
        <w:t>学校根据实际情况分别设有工会、办公室、教导处、学生处、总务处等机构。</w:t>
      </w:r>
    </w:p>
    <w:p>
      <w:pPr>
        <w:pStyle w:val="3"/>
        <w:keepNext w:val="0"/>
        <w:keepLines w:val="0"/>
        <w:pageBreakBefore w:val="0"/>
        <w:widowControl/>
        <w:kinsoku/>
        <w:wordWrap/>
        <w:overflowPunct/>
        <w:topLinePunct w:val="0"/>
        <w:autoSpaceDE/>
        <w:autoSpaceDN/>
        <w:bidi w:val="0"/>
        <w:adjustRightInd/>
        <w:snapToGrid/>
        <w:spacing w:before="120" w:beforeAutospacing="0" w:after="120" w:afterAutospacing="0" w:line="360" w:lineRule="auto"/>
        <w:ind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lang w:eastAsia="zh-CN"/>
        </w:rPr>
        <w:t>教职工</w:t>
      </w:r>
      <w:r>
        <w:rPr>
          <w:rFonts w:hint="eastAsia" w:ascii="宋体" w:hAnsi="宋体" w:eastAsia="宋体" w:cs="宋体"/>
          <w:color w:val="444444"/>
          <w:kern w:val="0"/>
          <w:sz w:val="24"/>
          <w:szCs w:val="24"/>
          <w:shd w:val="clear" w:color="auto" w:fill="FFFFFF"/>
        </w:rPr>
        <w:t>编制人数12人，其中事业编制数12人；实有人数20人，其中在职教师12人，在职工勤1人；退休教师7人。</w:t>
      </w:r>
    </w:p>
    <w:p>
      <w:pPr>
        <w:pStyle w:val="3"/>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360" w:lineRule="auto"/>
        <w:ind w:leftChars="200" w:right="0" w:rightChars="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b/>
          <w:bCs/>
          <w:i w:val="0"/>
          <w:iCs w:val="0"/>
          <w:caps w:val="0"/>
          <w:color w:val="444444"/>
          <w:spacing w:val="0"/>
          <w:sz w:val="24"/>
          <w:szCs w:val="24"/>
          <w:shd w:val="clear" w:fill="FFFFFF"/>
          <w:lang w:val="en-US" w:eastAsia="zh-CN"/>
        </w:rPr>
        <w:t>（二）主要工作职责</w:t>
      </w:r>
    </w:p>
    <w:p>
      <w:pPr>
        <w:pStyle w:val="3"/>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360" w:lineRule="auto"/>
        <w:ind w:leftChars="0" w:right="0" w:rightChars="0"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lang w:val="en-US" w:eastAsia="zh-CN"/>
        </w:rPr>
        <w:t>1.</w:t>
      </w:r>
      <w:r>
        <w:rPr>
          <w:rFonts w:hint="eastAsia" w:ascii="宋体" w:hAnsi="宋体" w:eastAsia="宋体" w:cs="宋体"/>
          <w:color w:val="444444"/>
          <w:kern w:val="0"/>
          <w:sz w:val="24"/>
          <w:szCs w:val="24"/>
          <w:shd w:val="clear" w:color="auto" w:fill="FFFFFF"/>
        </w:rPr>
        <w:t>负责贯彻执行国家教育法律法规和方针政策，拟订学校改革与发展规划和计划，并抓好组织实施和落实。</w:t>
      </w:r>
    </w:p>
    <w:p>
      <w:pPr>
        <w:pStyle w:val="3"/>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360" w:lineRule="auto"/>
        <w:ind w:leftChars="0" w:right="0" w:rightChars="0"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lang w:val="en-US" w:eastAsia="zh-CN"/>
        </w:rPr>
        <w:t>2.</w:t>
      </w:r>
      <w:r>
        <w:rPr>
          <w:rFonts w:hint="eastAsia" w:ascii="宋体" w:hAnsi="宋体" w:eastAsia="宋体" w:cs="宋体"/>
          <w:color w:val="444444"/>
          <w:kern w:val="0"/>
          <w:sz w:val="24"/>
          <w:szCs w:val="24"/>
          <w:shd w:val="clear" w:color="auto" w:fill="FFFFFF"/>
        </w:rPr>
        <w:t>负责本校基本信息的统计、分析和发布，建立健全学生学籍档案，做好学校贫困生资助等工作。</w:t>
      </w:r>
    </w:p>
    <w:p>
      <w:pPr>
        <w:pStyle w:val="3"/>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360" w:lineRule="auto"/>
        <w:ind w:leftChars="0" w:right="0" w:rightChars="0"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lang w:val="en-US" w:eastAsia="zh-CN"/>
        </w:rPr>
        <w:t>3.</w:t>
      </w:r>
      <w:r>
        <w:rPr>
          <w:rFonts w:hint="eastAsia" w:ascii="宋体" w:hAnsi="宋体" w:eastAsia="宋体" w:cs="宋体"/>
          <w:color w:val="444444"/>
          <w:kern w:val="0"/>
          <w:sz w:val="24"/>
          <w:szCs w:val="24"/>
          <w:shd w:val="clear" w:color="auto" w:fill="FFFFFF"/>
        </w:rPr>
        <w:t>负责思想政治、综治维稳、安全保卫、德育工作、体育卫生与艺术教育及国防教育工作。</w:t>
      </w:r>
    </w:p>
    <w:p>
      <w:pPr>
        <w:pStyle w:val="3"/>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360" w:lineRule="auto"/>
        <w:ind w:leftChars="0" w:right="0" w:rightChars="0"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lang w:val="en-US" w:eastAsia="zh-CN"/>
        </w:rPr>
        <w:t>4.</w:t>
      </w:r>
      <w:r>
        <w:rPr>
          <w:rFonts w:hint="eastAsia" w:ascii="宋体" w:hAnsi="宋体" w:eastAsia="宋体" w:cs="宋体"/>
          <w:color w:val="444444"/>
          <w:kern w:val="0"/>
          <w:sz w:val="24"/>
          <w:szCs w:val="24"/>
          <w:shd w:val="clear" w:color="auto" w:fill="FFFFFF"/>
        </w:rPr>
        <w:t>负责教育科研和课堂教学改革工作，承担实施小学学历教育，协调好学校、家庭、社会三结合教育，全面提高素质教育。</w:t>
      </w:r>
    </w:p>
    <w:p>
      <w:pPr>
        <w:pStyle w:val="3"/>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360" w:lineRule="auto"/>
        <w:ind w:leftChars="0" w:right="0" w:rightChars="0"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lang w:val="en-US" w:eastAsia="zh-CN"/>
        </w:rPr>
        <w:t>5.</w:t>
      </w:r>
      <w:r>
        <w:rPr>
          <w:rFonts w:hint="eastAsia" w:ascii="宋体" w:hAnsi="宋体" w:eastAsia="宋体" w:cs="宋体"/>
          <w:color w:val="444444"/>
          <w:kern w:val="0"/>
          <w:sz w:val="24"/>
          <w:szCs w:val="24"/>
          <w:shd w:val="clear" w:color="auto" w:fill="FFFFFF"/>
        </w:rPr>
        <w:t>负责统筹规划教师队伍建设；会同有关部门做好教师培养、职称评审、考核考评等工作。</w:t>
      </w:r>
    </w:p>
    <w:p>
      <w:pPr>
        <w:pStyle w:val="3"/>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360" w:lineRule="auto"/>
        <w:ind w:leftChars="0" w:right="0" w:rightChars="0"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lang w:val="en-US" w:eastAsia="zh-CN"/>
        </w:rPr>
        <w:t>6.</w:t>
      </w:r>
      <w:r>
        <w:rPr>
          <w:rFonts w:hint="eastAsia" w:ascii="宋体" w:hAnsi="宋体" w:eastAsia="宋体" w:cs="宋体"/>
          <w:color w:val="444444"/>
          <w:kern w:val="0"/>
          <w:sz w:val="24"/>
          <w:szCs w:val="24"/>
          <w:shd w:val="clear" w:color="auto" w:fill="FFFFFF"/>
        </w:rPr>
        <w:t>负责学校的教育经费和后勤管理工作，承担学校的电化教育、现代远程教育、信息化建设以及教学仪器设备和图书资料管理、各类培训和教学效益评价工作。</w:t>
      </w:r>
    </w:p>
    <w:p>
      <w:pPr>
        <w:pStyle w:val="3"/>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360" w:lineRule="auto"/>
        <w:ind w:leftChars="0" w:right="0" w:rightChars="0"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lang w:val="en-US" w:eastAsia="zh-CN"/>
        </w:rPr>
        <w:t>7.</w:t>
      </w:r>
      <w:r>
        <w:rPr>
          <w:rFonts w:hint="eastAsia" w:ascii="宋体" w:hAnsi="宋体" w:eastAsia="宋体" w:cs="宋体"/>
          <w:color w:val="444444"/>
          <w:kern w:val="0"/>
          <w:sz w:val="24"/>
          <w:szCs w:val="24"/>
          <w:shd w:val="clear" w:color="auto" w:fill="FFFFFF"/>
        </w:rPr>
        <w:t>负责小学计划招生考试工作，组织适龄少年儿童入学，推进普及义务教育。</w:t>
      </w:r>
    </w:p>
    <w:p>
      <w:pPr>
        <w:pStyle w:val="3"/>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360" w:lineRule="auto"/>
        <w:ind w:leftChars="0" w:right="0" w:rightChars="0" w:firstLine="480" w:firstLineChars="200"/>
        <w:jc w:val="left"/>
        <w:textAlignment w:val="auto"/>
        <w:rPr>
          <w:rFonts w:hint="eastAsia" w:ascii="宋体" w:hAnsi="宋体" w:eastAsia="宋体" w:cs="宋体"/>
          <w:color w:val="444444"/>
          <w:kern w:val="0"/>
          <w:sz w:val="24"/>
          <w:szCs w:val="24"/>
          <w:shd w:val="clear" w:color="auto" w:fill="FFFFFF"/>
        </w:rPr>
      </w:pPr>
      <w:r>
        <w:rPr>
          <w:rFonts w:hint="eastAsia" w:ascii="宋体" w:hAnsi="宋体" w:eastAsia="宋体" w:cs="宋体"/>
          <w:color w:val="444444"/>
          <w:kern w:val="0"/>
          <w:sz w:val="24"/>
          <w:szCs w:val="24"/>
          <w:shd w:val="clear" w:color="auto" w:fill="FFFFFF"/>
          <w:lang w:val="en-US" w:eastAsia="zh-CN"/>
        </w:rPr>
        <w:t>8.</w:t>
      </w:r>
      <w:r>
        <w:rPr>
          <w:rFonts w:hint="eastAsia" w:ascii="宋体" w:hAnsi="宋体" w:eastAsia="宋体" w:cs="宋体"/>
          <w:color w:val="444444"/>
          <w:kern w:val="0"/>
          <w:sz w:val="24"/>
          <w:szCs w:val="24"/>
          <w:shd w:val="clear" w:color="auto" w:fill="FFFFFF"/>
        </w:rPr>
        <w:t>完成上级主管部门交办的其他工作事项。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20"/>
        <w:jc w:val="both"/>
        <w:rPr>
          <w:rFonts w:hint="eastAsia" w:ascii="宋体" w:hAnsi="宋体" w:eastAsia="宋体" w:cs="宋体"/>
          <w:b/>
          <w:bCs/>
          <w:i w:val="0"/>
          <w:iCs w:val="0"/>
          <w:caps w:val="0"/>
          <w:color w:val="444444"/>
          <w:spacing w:val="0"/>
          <w:sz w:val="24"/>
          <w:szCs w:val="24"/>
          <w:shd w:val="clear" w:fill="FFFFFF"/>
        </w:rPr>
      </w:pPr>
      <w:r>
        <w:rPr>
          <w:rFonts w:hint="eastAsia" w:ascii="宋体" w:hAnsi="宋体" w:eastAsia="宋体" w:cs="宋体"/>
          <w:b/>
          <w:bCs/>
          <w:i w:val="0"/>
          <w:iCs w:val="0"/>
          <w:caps w:val="0"/>
          <w:color w:val="444444"/>
          <w:spacing w:val="0"/>
          <w:sz w:val="24"/>
          <w:szCs w:val="24"/>
          <w:shd w:val="clear" w:fill="FFFFFF"/>
        </w:rPr>
        <w:t>二、部门整体支出管理及使用情况</w:t>
      </w:r>
    </w:p>
    <w:p>
      <w:pPr>
        <w:spacing w:line="360" w:lineRule="auto"/>
        <w:ind w:firstLine="482" w:firstLineChars="200"/>
        <w:jc w:val="left"/>
        <w:rPr>
          <w:rFonts w:hint="eastAsia" w:ascii="宋体" w:hAnsi="宋体" w:eastAsia="宋体" w:cs="宋体"/>
          <w:b/>
          <w:bCs/>
          <w:i w:val="0"/>
          <w:iCs w:val="0"/>
          <w:caps w:val="0"/>
          <w:color w:val="444444"/>
          <w:spacing w:val="0"/>
          <w:sz w:val="24"/>
          <w:szCs w:val="24"/>
          <w:shd w:val="clear" w:fill="FFFFFF"/>
          <w:lang w:val="en-US" w:eastAsia="zh-CN"/>
        </w:rPr>
      </w:pPr>
      <w:r>
        <w:rPr>
          <w:rFonts w:hint="eastAsia" w:ascii="宋体" w:hAnsi="宋体" w:eastAsia="宋体" w:cs="宋体"/>
          <w:b/>
          <w:bCs/>
          <w:i w:val="0"/>
          <w:iCs w:val="0"/>
          <w:caps w:val="0"/>
          <w:color w:val="444444"/>
          <w:spacing w:val="0"/>
          <w:sz w:val="24"/>
          <w:szCs w:val="24"/>
          <w:shd w:val="clear" w:fill="FFFFFF"/>
          <w:lang w:val="en-US" w:eastAsia="zh-CN"/>
        </w:rPr>
        <w:t>（一）预算执行情况</w:t>
      </w:r>
    </w:p>
    <w:p>
      <w:pPr>
        <w:numPr>
          <w:ilvl w:val="0"/>
          <w:numId w:val="0"/>
        </w:numPr>
        <w:spacing w:line="360" w:lineRule="auto"/>
        <w:ind w:firstLine="480" w:firstLineChars="200"/>
        <w:jc w:val="left"/>
        <w:rPr>
          <w:rFonts w:hint="eastAsia" w:ascii="宋体" w:hAnsi="宋体" w:eastAsia="宋体" w:cs="宋体"/>
          <w:b/>
          <w:bCs/>
          <w:i w:val="0"/>
          <w:iCs w:val="0"/>
          <w:caps w:val="0"/>
          <w:color w:val="444444"/>
          <w:spacing w:val="0"/>
          <w:sz w:val="24"/>
          <w:szCs w:val="24"/>
          <w:highlight w:val="none"/>
          <w:shd w:val="clear" w:fill="FFFFFF"/>
          <w:lang w:val="en-US" w:eastAsia="zh-CN"/>
        </w:rPr>
      </w:pPr>
      <w:r>
        <w:rPr>
          <w:rFonts w:hint="eastAsia" w:ascii="宋体" w:hAnsi="宋体" w:eastAsia="宋体" w:cs="宋体"/>
          <w:i w:val="0"/>
          <w:iCs w:val="0"/>
          <w:caps w:val="0"/>
          <w:color w:val="000000"/>
          <w:spacing w:val="0"/>
          <w:sz w:val="24"/>
          <w:szCs w:val="24"/>
        </w:rPr>
        <w:t>2022年度财政拨款支出年初预算数为130.93万元，支出决算数为135.78万元，完成年初预算的103.7%</w:t>
      </w:r>
      <w:r>
        <w:rPr>
          <w:rFonts w:hint="eastAsia" w:ascii="宋体" w:hAnsi="宋体" w:eastAsia="宋体" w:cs="宋体"/>
          <w:i w:val="0"/>
          <w:iCs w:val="0"/>
          <w:caps w:val="0"/>
          <w:color w:val="000000"/>
          <w:spacing w:val="0"/>
          <w:sz w:val="24"/>
          <w:szCs w:val="24"/>
          <w:lang w:eastAsia="zh-CN"/>
        </w:rPr>
        <w:t>。</w:t>
      </w:r>
    </w:p>
    <w:p>
      <w:pPr>
        <w:numPr>
          <w:ilvl w:val="0"/>
          <w:numId w:val="0"/>
        </w:numPr>
        <w:spacing w:line="360" w:lineRule="auto"/>
        <w:ind w:firstLine="482" w:firstLineChars="200"/>
        <w:jc w:val="left"/>
        <w:rPr>
          <w:rFonts w:hint="eastAsia" w:ascii="宋体" w:hAnsi="宋体" w:eastAsia="宋体" w:cs="宋体"/>
          <w:b/>
          <w:bCs/>
          <w:i w:val="0"/>
          <w:iCs w:val="0"/>
          <w:caps w:val="0"/>
          <w:color w:val="444444"/>
          <w:spacing w:val="0"/>
          <w:sz w:val="24"/>
          <w:szCs w:val="24"/>
          <w:highlight w:val="none"/>
          <w:shd w:val="clear" w:fill="FFFFFF"/>
          <w:lang w:val="en-US" w:eastAsia="zh-CN"/>
        </w:rPr>
      </w:pPr>
      <w:r>
        <w:rPr>
          <w:rFonts w:hint="eastAsia" w:ascii="宋体" w:hAnsi="宋体" w:eastAsia="宋体" w:cs="宋体"/>
          <w:b/>
          <w:bCs/>
          <w:i w:val="0"/>
          <w:iCs w:val="0"/>
          <w:caps w:val="0"/>
          <w:color w:val="444444"/>
          <w:spacing w:val="0"/>
          <w:sz w:val="24"/>
          <w:szCs w:val="24"/>
          <w:shd w:val="clear" w:fill="FFFFFF"/>
          <w:lang w:val="en-US" w:eastAsia="zh-CN"/>
        </w:rPr>
        <w:t>（二）</w:t>
      </w:r>
      <w:r>
        <w:rPr>
          <w:rFonts w:hint="eastAsia" w:ascii="宋体" w:hAnsi="宋体" w:eastAsia="宋体" w:cs="宋体"/>
          <w:b/>
          <w:bCs/>
          <w:i w:val="0"/>
          <w:iCs w:val="0"/>
          <w:caps w:val="0"/>
          <w:color w:val="444444"/>
          <w:spacing w:val="0"/>
          <w:sz w:val="24"/>
          <w:szCs w:val="24"/>
          <w:highlight w:val="none"/>
          <w:shd w:val="clear" w:fill="FFFFFF"/>
          <w:lang w:val="en-US" w:eastAsia="zh-CN"/>
        </w:rPr>
        <w:t>基本支出情况</w:t>
      </w:r>
    </w:p>
    <w:p>
      <w:pPr>
        <w:numPr>
          <w:ilvl w:val="0"/>
          <w:numId w:val="0"/>
        </w:numPr>
        <w:spacing w:line="360" w:lineRule="auto"/>
        <w:ind w:firstLine="480" w:firstLineChars="200"/>
        <w:jc w:val="left"/>
        <w:rPr>
          <w:rFonts w:hint="eastAsia" w:ascii="宋体" w:hAnsi="宋体" w:eastAsia="宋体" w:cs="宋体"/>
          <w:i w:val="0"/>
          <w:iCs w:val="0"/>
          <w:caps w:val="0"/>
          <w:color w:val="444444"/>
          <w:spacing w:val="0"/>
          <w:kern w:val="2"/>
          <w:sz w:val="24"/>
          <w:szCs w:val="24"/>
          <w:highlight w:val="none"/>
          <w:shd w:val="clear" w:fill="FFFFFF"/>
          <w:lang w:val="en-US" w:eastAsia="zh-CN" w:bidi="ar-SA"/>
        </w:rPr>
      </w:pPr>
      <w:r>
        <w:rPr>
          <w:rFonts w:hint="eastAsia" w:ascii="宋体" w:hAnsi="宋体" w:eastAsia="宋体" w:cs="宋体"/>
          <w:i w:val="0"/>
          <w:iCs w:val="0"/>
          <w:caps w:val="0"/>
          <w:color w:val="444444"/>
          <w:spacing w:val="0"/>
          <w:kern w:val="2"/>
          <w:sz w:val="24"/>
          <w:szCs w:val="24"/>
          <w:highlight w:val="none"/>
          <w:shd w:val="clear" w:fill="FFFFFF"/>
          <w:lang w:val="en-US" w:eastAsia="zh-CN" w:bidi="ar-SA"/>
        </w:rPr>
        <w:t>主要为人员经费支出和公用经费支出，其中人员经费支出</w:t>
      </w:r>
      <w:r>
        <w:rPr>
          <w:rFonts w:hint="eastAsia" w:ascii="宋体" w:hAnsi="宋体" w:eastAsia="宋体" w:cs="宋体"/>
          <w:b w:val="0"/>
          <w:bCs w:val="0"/>
          <w:i w:val="0"/>
          <w:iCs w:val="0"/>
          <w:caps w:val="0"/>
          <w:color w:val="000000"/>
          <w:spacing w:val="0"/>
          <w:sz w:val="24"/>
          <w:szCs w:val="24"/>
        </w:rPr>
        <w:t>125.33</w:t>
      </w:r>
      <w:r>
        <w:rPr>
          <w:rFonts w:hint="eastAsia" w:ascii="宋体" w:hAnsi="宋体" w:eastAsia="宋体" w:cs="宋体"/>
          <w:i w:val="0"/>
          <w:iCs w:val="0"/>
          <w:caps w:val="0"/>
          <w:color w:val="444444"/>
          <w:spacing w:val="0"/>
          <w:kern w:val="2"/>
          <w:sz w:val="24"/>
          <w:szCs w:val="24"/>
          <w:highlight w:val="none"/>
          <w:shd w:val="clear" w:fill="FFFFFF"/>
          <w:lang w:val="en-US" w:eastAsia="zh-CN" w:bidi="ar-SA"/>
        </w:rPr>
        <w:t>万元、公用经费支出</w:t>
      </w:r>
      <w:r>
        <w:rPr>
          <w:rFonts w:hint="eastAsia" w:ascii="宋体" w:hAnsi="宋体" w:eastAsia="宋体" w:cs="宋体"/>
          <w:b w:val="0"/>
          <w:bCs w:val="0"/>
          <w:i w:val="0"/>
          <w:iCs w:val="0"/>
          <w:caps w:val="0"/>
          <w:color w:val="000000"/>
          <w:spacing w:val="0"/>
          <w:sz w:val="24"/>
          <w:szCs w:val="24"/>
        </w:rPr>
        <w:t>10.44</w:t>
      </w:r>
      <w:r>
        <w:rPr>
          <w:rFonts w:hint="eastAsia" w:ascii="宋体" w:hAnsi="宋体" w:eastAsia="宋体" w:cs="宋体"/>
          <w:i w:val="0"/>
          <w:iCs w:val="0"/>
          <w:caps w:val="0"/>
          <w:color w:val="444444"/>
          <w:spacing w:val="0"/>
          <w:kern w:val="2"/>
          <w:sz w:val="24"/>
          <w:szCs w:val="24"/>
          <w:highlight w:val="none"/>
          <w:shd w:val="clear" w:fill="FFFFFF"/>
          <w:lang w:val="en-US" w:eastAsia="zh-CN" w:bidi="ar-SA"/>
        </w:rPr>
        <w:t>万元。</w:t>
      </w:r>
    </w:p>
    <w:p>
      <w:pPr>
        <w:spacing w:line="360" w:lineRule="auto"/>
        <w:ind w:firstLine="482" w:firstLineChars="200"/>
        <w:jc w:val="left"/>
        <w:rPr>
          <w:rFonts w:hint="eastAsia" w:ascii="宋体" w:hAnsi="宋体" w:eastAsia="宋体" w:cs="宋体"/>
          <w:b/>
          <w:bCs/>
          <w:i w:val="0"/>
          <w:iCs w:val="0"/>
          <w:caps w:val="0"/>
          <w:color w:val="444444"/>
          <w:spacing w:val="0"/>
          <w:sz w:val="24"/>
          <w:szCs w:val="24"/>
          <w:highlight w:val="none"/>
          <w:shd w:val="clear" w:fill="FFFFFF"/>
          <w:lang w:val="en-US" w:eastAsia="zh-CN"/>
        </w:rPr>
      </w:pPr>
      <w:r>
        <w:rPr>
          <w:rFonts w:hint="eastAsia" w:ascii="宋体" w:hAnsi="宋体" w:eastAsia="宋体" w:cs="宋体"/>
          <w:b/>
          <w:bCs/>
          <w:i w:val="0"/>
          <w:iCs w:val="0"/>
          <w:caps w:val="0"/>
          <w:color w:val="444444"/>
          <w:spacing w:val="0"/>
          <w:sz w:val="24"/>
          <w:szCs w:val="24"/>
          <w:highlight w:val="none"/>
          <w:shd w:val="clear" w:fill="FFFFFF"/>
          <w:lang w:val="en-US" w:eastAsia="zh-CN"/>
        </w:rPr>
        <w:t>（三）项目支出情况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right="0" w:rightChars="0" w:firstLine="480" w:firstLineChars="200"/>
        <w:jc w:val="both"/>
        <w:rPr>
          <w:rFonts w:hint="eastAsia" w:ascii="宋体" w:hAnsi="宋体" w:eastAsia="宋体" w:cs="宋体"/>
          <w:i w:val="0"/>
          <w:iCs w:val="0"/>
          <w:caps w:val="0"/>
          <w:color w:val="444444"/>
          <w:spacing w:val="0"/>
          <w:kern w:val="2"/>
          <w:sz w:val="24"/>
          <w:szCs w:val="24"/>
          <w:highlight w:val="none"/>
          <w:shd w:val="clear" w:fill="FFFFFF"/>
          <w:lang w:val="en-US" w:eastAsia="zh-CN" w:bidi="ar-SA"/>
        </w:rPr>
      </w:pPr>
      <w:r>
        <w:rPr>
          <w:rFonts w:hint="eastAsia" w:ascii="宋体" w:hAnsi="宋体" w:eastAsia="宋体" w:cs="宋体"/>
          <w:i w:val="0"/>
          <w:iCs w:val="0"/>
          <w:caps w:val="0"/>
          <w:color w:val="444444"/>
          <w:spacing w:val="0"/>
          <w:kern w:val="2"/>
          <w:sz w:val="24"/>
          <w:szCs w:val="24"/>
          <w:highlight w:val="none"/>
          <w:shd w:val="clear" w:fill="FFFFFF"/>
          <w:lang w:val="en-US" w:eastAsia="zh-CN" w:bidi="ar-SA"/>
        </w:rPr>
        <w:t>本年项目支出年初预算安排为0万元，本年实际支出为0万元。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20"/>
        <w:jc w:val="both"/>
        <w:rPr>
          <w:rFonts w:hint="eastAsia" w:ascii="宋体" w:hAnsi="宋体" w:eastAsia="宋体" w:cs="宋体"/>
          <w:b/>
          <w:bCs/>
          <w:i w:val="0"/>
          <w:iCs w:val="0"/>
          <w:caps w:val="0"/>
          <w:color w:val="444444"/>
          <w:spacing w:val="0"/>
          <w:sz w:val="24"/>
          <w:szCs w:val="24"/>
          <w:highlight w:val="none"/>
          <w:shd w:val="clear" w:fill="FFFFFF"/>
        </w:rPr>
      </w:pPr>
      <w:r>
        <w:rPr>
          <w:rFonts w:hint="eastAsia" w:ascii="宋体" w:hAnsi="宋体" w:eastAsia="宋体" w:cs="宋体"/>
          <w:b/>
          <w:bCs/>
          <w:i w:val="0"/>
          <w:iCs w:val="0"/>
          <w:caps w:val="0"/>
          <w:color w:val="444444"/>
          <w:spacing w:val="0"/>
          <w:sz w:val="24"/>
          <w:szCs w:val="24"/>
          <w:highlight w:val="none"/>
          <w:shd w:val="clear" w:fill="FFFFFF"/>
          <w:lang w:val="en-US" w:eastAsia="zh-CN"/>
        </w:rPr>
        <w:t>三</w:t>
      </w:r>
      <w:r>
        <w:rPr>
          <w:rFonts w:hint="eastAsia" w:ascii="宋体" w:hAnsi="宋体" w:eastAsia="宋体" w:cs="宋体"/>
          <w:b/>
          <w:bCs/>
          <w:i w:val="0"/>
          <w:iCs w:val="0"/>
          <w:caps w:val="0"/>
          <w:color w:val="444444"/>
          <w:spacing w:val="0"/>
          <w:sz w:val="24"/>
          <w:szCs w:val="24"/>
          <w:highlight w:val="none"/>
          <w:shd w:val="clear" w:fill="FFFFFF"/>
        </w:rPr>
        <w:t>、部门整体支出绩效情况</w:t>
      </w:r>
    </w:p>
    <w:p>
      <w:pPr>
        <w:spacing w:line="360" w:lineRule="auto"/>
        <w:ind w:firstLine="482" w:firstLineChars="200"/>
        <w:jc w:val="left"/>
        <w:rPr>
          <w:rFonts w:hint="eastAsia" w:ascii="宋体" w:hAnsi="宋体" w:eastAsia="宋体" w:cs="宋体"/>
          <w:b/>
          <w:bCs/>
          <w:i w:val="0"/>
          <w:iCs w:val="0"/>
          <w:caps w:val="0"/>
          <w:color w:val="444444"/>
          <w:spacing w:val="0"/>
          <w:sz w:val="24"/>
          <w:szCs w:val="24"/>
          <w:highlight w:val="none"/>
          <w:shd w:val="clear" w:fill="FFFFFF"/>
          <w:lang w:val="en-US" w:eastAsia="zh-CN"/>
        </w:rPr>
      </w:pPr>
      <w:r>
        <w:rPr>
          <w:rFonts w:hint="eastAsia" w:ascii="宋体" w:hAnsi="宋体" w:eastAsia="宋体" w:cs="宋体"/>
          <w:b/>
          <w:bCs/>
          <w:i w:val="0"/>
          <w:iCs w:val="0"/>
          <w:caps w:val="0"/>
          <w:color w:val="444444"/>
          <w:spacing w:val="0"/>
          <w:sz w:val="24"/>
          <w:szCs w:val="24"/>
          <w:highlight w:val="none"/>
          <w:shd w:val="clear" w:fill="FFFFFF"/>
          <w:lang w:val="en-US" w:eastAsia="zh-CN"/>
        </w:rPr>
        <w:t>（一）主要绩效指标完成情况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20"/>
        <w:jc w:val="both"/>
        <w:rPr>
          <w:rFonts w:hint="eastAsia" w:ascii="宋体" w:hAnsi="宋体" w:eastAsia="宋体" w:cs="宋体"/>
          <w:b/>
          <w:bCs/>
          <w:i w:val="0"/>
          <w:iCs w:val="0"/>
          <w:caps w:val="0"/>
          <w:color w:val="444444"/>
          <w:spacing w:val="0"/>
          <w:sz w:val="24"/>
          <w:szCs w:val="24"/>
          <w:highlight w:val="none"/>
          <w:shd w:val="clear" w:fill="FFFFFF"/>
        </w:rPr>
      </w:pPr>
      <w:r>
        <w:rPr>
          <w:rFonts w:hint="eastAsia" w:ascii="宋体" w:hAnsi="宋体" w:eastAsia="宋体" w:cs="宋体"/>
          <w:b/>
          <w:bCs/>
          <w:i w:val="0"/>
          <w:iCs w:val="0"/>
          <w:caps w:val="0"/>
          <w:color w:val="444444"/>
          <w:spacing w:val="0"/>
          <w:sz w:val="24"/>
          <w:szCs w:val="24"/>
          <w:highlight w:val="none"/>
          <w:shd w:val="clear" w:fill="FFFFFF"/>
        </w:rPr>
        <w:t>1、预算执行情况。</w:t>
      </w:r>
    </w:p>
    <w:p>
      <w:pPr>
        <w:numPr>
          <w:ilvl w:val="0"/>
          <w:numId w:val="0"/>
        </w:numPr>
        <w:spacing w:line="360" w:lineRule="auto"/>
        <w:ind w:firstLine="480" w:firstLineChars="200"/>
        <w:jc w:val="left"/>
        <w:rPr>
          <w:rFonts w:hint="eastAsia" w:ascii="宋体" w:hAnsi="宋体" w:eastAsia="宋体" w:cs="宋体"/>
          <w:b/>
          <w:bCs/>
          <w:i w:val="0"/>
          <w:iCs w:val="0"/>
          <w:caps w:val="0"/>
          <w:color w:val="444444"/>
          <w:spacing w:val="0"/>
          <w:sz w:val="24"/>
          <w:szCs w:val="24"/>
          <w:highlight w:val="none"/>
          <w:shd w:val="clear" w:fill="FFFFFF"/>
          <w:lang w:val="en-US" w:eastAsia="zh-CN"/>
        </w:rPr>
      </w:pPr>
      <w:r>
        <w:rPr>
          <w:rFonts w:hint="eastAsia" w:ascii="宋体" w:hAnsi="宋体" w:eastAsia="宋体" w:cs="宋体"/>
          <w:i w:val="0"/>
          <w:iCs w:val="0"/>
          <w:caps w:val="0"/>
          <w:color w:val="000000"/>
          <w:spacing w:val="0"/>
          <w:sz w:val="24"/>
          <w:szCs w:val="24"/>
        </w:rPr>
        <w:t>2022年度财政拨款支出年初预算数为130.93万元，支出决算数为135.78万元，完成年初预算的103.7%</w:t>
      </w:r>
      <w:r>
        <w:rPr>
          <w:rFonts w:hint="eastAsia" w:ascii="宋体" w:hAnsi="宋体" w:eastAsia="宋体" w:cs="宋体"/>
          <w:i w:val="0"/>
          <w:iCs w:val="0"/>
          <w:caps w:val="0"/>
          <w:color w:val="000000"/>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20"/>
        <w:jc w:val="both"/>
        <w:rPr>
          <w:rFonts w:hint="eastAsia" w:ascii="宋体" w:hAnsi="宋体" w:eastAsia="宋体" w:cs="宋体"/>
          <w:b/>
          <w:bCs/>
          <w:i w:val="0"/>
          <w:iCs w:val="0"/>
          <w:caps w:val="0"/>
          <w:color w:val="444444"/>
          <w:spacing w:val="0"/>
          <w:sz w:val="24"/>
          <w:szCs w:val="24"/>
          <w:highlight w:val="none"/>
          <w:shd w:val="clear" w:fill="FFFFFF"/>
        </w:rPr>
      </w:pPr>
      <w:r>
        <w:rPr>
          <w:rFonts w:hint="eastAsia" w:ascii="宋体" w:hAnsi="宋体" w:eastAsia="宋体" w:cs="宋体"/>
          <w:b/>
          <w:bCs/>
          <w:i w:val="0"/>
          <w:iCs w:val="0"/>
          <w:caps w:val="0"/>
          <w:color w:val="444444"/>
          <w:spacing w:val="0"/>
          <w:sz w:val="24"/>
          <w:szCs w:val="24"/>
          <w:highlight w:val="none"/>
          <w:shd w:val="clear" w:fill="FFFFFF"/>
        </w:rPr>
        <w:t>2、预决算信息公开情况。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20"/>
        <w:jc w:val="both"/>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sz w:val="24"/>
          <w:szCs w:val="24"/>
          <w:lang w:eastAsia="zh-CN"/>
        </w:rPr>
        <w:t>五七小学</w:t>
      </w:r>
      <w:r>
        <w:rPr>
          <w:rFonts w:hint="eastAsia" w:ascii="宋体" w:hAnsi="宋体" w:eastAsia="宋体" w:cs="宋体"/>
          <w:i w:val="0"/>
          <w:iCs w:val="0"/>
          <w:caps w:val="0"/>
          <w:color w:val="444444"/>
          <w:spacing w:val="0"/>
          <w:kern w:val="2"/>
          <w:sz w:val="24"/>
          <w:szCs w:val="24"/>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4"/>
          <w:szCs w:val="24"/>
          <w:shd w:val="clear" w:fill="FFFFFF"/>
          <w:lang w:val="en-US" w:eastAsia="zh-CN" w:bidi="ar-SA"/>
        </w:rPr>
        <w:t>府统一平台公开了部门预算、决算和绩效目标、绩效自评报告、“三公经费”等信息，接受群众和社会监督。</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20"/>
        <w:jc w:val="both"/>
        <w:rPr>
          <w:rFonts w:hint="eastAsia" w:ascii="宋体" w:hAnsi="宋体" w:eastAsia="宋体" w:cs="宋体"/>
          <w:b/>
          <w:bCs/>
          <w:i w:val="0"/>
          <w:iCs w:val="0"/>
          <w:caps w:val="0"/>
          <w:color w:val="444444"/>
          <w:spacing w:val="0"/>
          <w:sz w:val="24"/>
          <w:szCs w:val="24"/>
          <w:shd w:val="clear" w:fill="FFFFFF"/>
        </w:rPr>
      </w:pPr>
      <w:r>
        <w:rPr>
          <w:rFonts w:hint="eastAsia" w:ascii="宋体" w:hAnsi="宋体" w:eastAsia="宋体" w:cs="宋体"/>
          <w:b/>
          <w:bCs/>
          <w:i w:val="0"/>
          <w:iCs w:val="0"/>
          <w:caps w:val="0"/>
          <w:color w:val="444444"/>
          <w:spacing w:val="0"/>
          <w:sz w:val="24"/>
          <w:szCs w:val="24"/>
          <w:shd w:val="clear" w:fill="FFFFFF"/>
        </w:rPr>
        <w:t>资产管理情况。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right="0" w:rightChars="0" w:firstLine="480" w:firstLineChars="200"/>
        <w:jc w:val="both"/>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截止2022年12月31日，</w:t>
      </w:r>
      <w:r>
        <w:rPr>
          <w:rFonts w:hint="eastAsia" w:ascii="宋体" w:hAnsi="宋体" w:eastAsia="宋体" w:cs="宋体"/>
          <w:sz w:val="24"/>
          <w:szCs w:val="24"/>
          <w:lang w:eastAsia="zh-CN"/>
        </w:rPr>
        <w:t>五七小学</w:t>
      </w:r>
      <w:r>
        <w:rPr>
          <w:rFonts w:hint="eastAsia" w:ascii="宋体" w:hAnsi="宋体" w:eastAsia="宋体" w:cs="宋体"/>
          <w:i w:val="0"/>
          <w:iCs w:val="0"/>
          <w:caps w:val="0"/>
          <w:color w:val="444444"/>
          <w:spacing w:val="0"/>
          <w:kern w:val="2"/>
          <w:sz w:val="24"/>
          <w:szCs w:val="24"/>
          <w:highlight w:val="none"/>
          <w:shd w:val="clear" w:fill="FFFFFF"/>
          <w:lang w:val="en-US" w:eastAsia="zh-CN" w:bidi="ar-SA"/>
        </w:rPr>
        <w:t>拥有各类资产总额36.61万元。单位为加强资产管理，内部制定了资产管理制度，</w:t>
      </w:r>
      <w:r>
        <w:rPr>
          <w:rFonts w:hint="eastAsia" w:ascii="宋体" w:hAnsi="宋体" w:eastAsia="宋体" w:cs="宋体"/>
          <w:i w:val="0"/>
          <w:iCs w:val="0"/>
          <w:caps w:val="0"/>
          <w:color w:val="444444"/>
          <w:spacing w:val="0"/>
          <w:kern w:val="2"/>
          <w:sz w:val="24"/>
          <w:szCs w:val="24"/>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360" w:lineRule="auto"/>
        <w:ind w:firstLine="482" w:firstLineChars="200"/>
        <w:jc w:val="left"/>
        <w:rPr>
          <w:rFonts w:hint="eastAsia" w:ascii="宋体" w:hAnsi="宋体" w:eastAsia="宋体" w:cs="宋体"/>
          <w:b/>
          <w:bCs/>
          <w:i w:val="0"/>
          <w:iCs w:val="0"/>
          <w:caps w:val="0"/>
          <w:color w:val="444444"/>
          <w:spacing w:val="0"/>
          <w:sz w:val="24"/>
          <w:szCs w:val="24"/>
          <w:shd w:val="clear" w:fill="FFFFFF"/>
          <w:lang w:val="en-US" w:eastAsia="zh-CN"/>
        </w:rPr>
      </w:pPr>
      <w:r>
        <w:rPr>
          <w:rFonts w:hint="eastAsia" w:ascii="宋体" w:hAnsi="宋体" w:eastAsia="宋体" w:cs="宋体"/>
          <w:b/>
          <w:bCs/>
          <w:i w:val="0"/>
          <w:iCs w:val="0"/>
          <w:caps w:val="0"/>
          <w:color w:val="444444"/>
          <w:spacing w:val="0"/>
          <w:sz w:val="24"/>
          <w:szCs w:val="24"/>
          <w:shd w:val="clear" w:fill="FFFFFF"/>
          <w:lang w:val="en-US" w:eastAsia="zh-CN"/>
        </w:rPr>
        <w:t>（二）职责覆行和主要绩效情况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年，我</w:t>
      </w:r>
      <w:r>
        <w:rPr>
          <w:rFonts w:hint="eastAsia" w:ascii="宋体" w:hAnsi="宋体" w:eastAsia="宋体" w:cs="宋体"/>
          <w:sz w:val="24"/>
          <w:szCs w:val="24"/>
          <w:lang w:val="en-US" w:eastAsia="zh-CN"/>
        </w:rPr>
        <w:t>校</w:t>
      </w:r>
      <w:r>
        <w:rPr>
          <w:rFonts w:hint="eastAsia" w:ascii="宋体" w:hAnsi="宋体" w:eastAsia="宋体" w:cs="宋体"/>
          <w:sz w:val="24"/>
          <w:szCs w:val="24"/>
        </w:rPr>
        <w:t>积极履职，强化管理，较好地完成了年度工作目标。通过加强预算收支管理，不断建立健全内部管理制度，梳理内部管理流程，部门整体支出管理水平得到提升。部门整体支出绩效情况如下：</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1.预算执行比较到位。</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2.产出指标执行比较到位。</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（1）数量指标：小学毕业合格率，年度指标值100%。</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（2）质量指标：毕业升学率，年度指标值100%，实际完成值100%。</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（3）时效指标：目标完成及时率，年度指标值100%，实际完成值100%，。</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（4）成本指标：行政效能，我单位不断改善行政管理，严格经费及资产管理，改进文风会风，精简会议，提高了行政效率，降低了行政成本。</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3、效益指标执行比较到位。</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（1）经济效益指标：为社会培养合格学生，年度指标值100%，实际完成值100%。</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（2）社会效益指标：我单位的各方面工作都得到社会大众的肯定和好评，年度指标值100%，实际完成值100%。</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（3）可持续影响指标：搞好学生的教育教学工作，培养青少年的良好习惯，年度指标值100%，实际完成值100%。</w:t>
      </w:r>
    </w:p>
    <w:p>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sz w:val="24"/>
          <w:szCs w:val="24"/>
        </w:rPr>
        <w:t>社会公众或服务对象满意度：突出重点，聚力特色，协同创优，内涵发展，全面提高学校的综合治理能力和办学水平。  </w:t>
      </w:r>
    </w:p>
    <w:p>
      <w:pPr>
        <w:keepNext w:val="0"/>
        <w:keepLines w:val="0"/>
        <w:pageBreakBefore w:val="0"/>
        <w:widowControl w:val="0"/>
        <w:numPr>
          <w:ilvl w:val="0"/>
          <w:numId w:val="3"/>
        </w:numPr>
        <w:kinsoku/>
        <w:wordWrap/>
        <w:overflowPunct/>
        <w:topLinePunct w:val="0"/>
        <w:autoSpaceDE/>
        <w:autoSpaceDN/>
        <w:bidi w:val="0"/>
        <w:adjustRightInd/>
        <w:snapToGrid/>
        <w:spacing w:before="120" w:beforeAutospacing="0" w:after="120" w:afterAutospacing="0" w:line="360" w:lineRule="auto"/>
        <w:ind w:firstLine="482" w:firstLineChars="200"/>
        <w:jc w:val="both"/>
        <w:textAlignment w:val="auto"/>
        <w:rPr>
          <w:rFonts w:hint="eastAsia" w:ascii="宋体" w:hAnsi="宋体" w:eastAsia="宋体" w:cs="宋体"/>
          <w:b/>
          <w:bCs/>
          <w:i w:val="0"/>
          <w:iCs w:val="0"/>
          <w:caps w:val="0"/>
          <w:color w:val="444444"/>
          <w:spacing w:val="0"/>
          <w:sz w:val="24"/>
          <w:szCs w:val="24"/>
          <w:shd w:val="clear" w:fill="FFFFFF"/>
          <w:lang w:val="en-US" w:eastAsia="zh-CN"/>
        </w:rPr>
      </w:pPr>
      <w:r>
        <w:rPr>
          <w:rFonts w:hint="eastAsia" w:ascii="宋体" w:hAnsi="宋体" w:eastAsia="宋体" w:cs="宋体"/>
          <w:b/>
          <w:bCs/>
          <w:i w:val="0"/>
          <w:iCs w:val="0"/>
          <w:caps w:val="0"/>
          <w:color w:val="444444"/>
          <w:spacing w:val="0"/>
          <w:sz w:val="24"/>
          <w:szCs w:val="24"/>
          <w:shd w:val="clear" w:fill="FFFFFF"/>
          <w:lang w:val="en-US" w:eastAsia="zh-CN"/>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1.预算编制工作有待细化。预算编制不够明确和细化，预算编制的合理性需要提高，预算执行力度还要进一步加强。</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.公用经费控制有一定难度，基本为刚性支出。</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.对财会专业知识了解的人才不足。</w:t>
      </w:r>
    </w:p>
    <w:p>
      <w:pPr>
        <w:keepNext w:val="0"/>
        <w:keepLines w:val="0"/>
        <w:pageBreakBefore w:val="0"/>
        <w:widowControl w:val="0"/>
        <w:numPr>
          <w:ilvl w:val="0"/>
          <w:numId w:val="3"/>
        </w:numPr>
        <w:kinsoku/>
        <w:wordWrap/>
        <w:overflowPunct/>
        <w:topLinePunct w:val="0"/>
        <w:autoSpaceDE/>
        <w:autoSpaceDN/>
        <w:bidi w:val="0"/>
        <w:adjustRightInd/>
        <w:snapToGrid/>
        <w:spacing w:before="120" w:beforeAutospacing="0" w:after="120" w:afterAutospacing="0" w:line="360" w:lineRule="auto"/>
        <w:ind w:left="0" w:leftChars="0" w:firstLine="482" w:firstLineChars="200"/>
        <w:jc w:val="both"/>
        <w:textAlignment w:val="auto"/>
        <w:rPr>
          <w:rFonts w:hint="eastAsia" w:ascii="宋体" w:hAnsi="宋体" w:eastAsia="宋体" w:cs="宋体"/>
          <w:b/>
          <w:bCs/>
          <w:i w:val="0"/>
          <w:iCs w:val="0"/>
          <w:caps w:val="0"/>
          <w:color w:val="444444"/>
          <w:spacing w:val="0"/>
          <w:sz w:val="24"/>
          <w:szCs w:val="24"/>
          <w:shd w:val="clear" w:fill="FFFFFF"/>
          <w:lang w:val="en-US" w:eastAsia="zh-CN"/>
        </w:rPr>
      </w:pPr>
      <w:r>
        <w:rPr>
          <w:rFonts w:hint="eastAsia" w:ascii="宋体" w:hAnsi="宋体" w:eastAsia="宋体" w:cs="宋体"/>
          <w:b/>
          <w:bCs/>
          <w:i w:val="0"/>
          <w:iCs w:val="0"/>
          <w:caps w:val="0"/>
          <w:color w:val="444444"/>
          <w:spacing w:val="0"/>
          <w:sz w:val="24"/>
          <w:szCs w:val="24"/>
          <w:shd w:val="clear" w:fill="FFFFFF"/>
          <w:lang w:val="en-US" w:eastAsia="zh-CN"/>
        </w:rPr>
        <w:t>改进措施及有关建议</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针对上述存在的问题及对外整体支出管理工作的需要，拟实施的改进措施如下：</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加强财务管理，严格财务审核。加强单位财务管理，健全单位财务管理制度体系，规范单位财务行为。在费用报账支付时，按照预算规定的费用项目和用途进行资金使用审核、列报支付、财务核算，杜绝超支现象的发生。  </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完善资产管理，抓好经费控制。严格编制政府采购年初预算和计划，规范各类资产的购置审批制度、资产出租出借和收入管理制度、资产采购制度、使用管理制度、资产处置和报废审批制度、资产管理岗位职责制度等，加强单位内部的资产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4、对相关人员加强培训</w:t>
      </w:r>
      <w:r>
        <w:rPr>
          <w:rFonts w:hint="eastAsia" w:ascii="宋体" w:hAnsi="宋体" w:eastAsia="宋体" w:cs="宋体"/>
          <w:sz w:val="24"/>
          <w:szCs w:val="24"/>
          <w:lang w:eastAsia="zh-CN"/>
        </w:rPr>
        <w:t>，</w:t>
      </w:r>
      <w:r>
        <w:rPr>
          <w:rFonts w:hint="eastAsia" w:ascii="宋体" w:hAnsi="宋体" w:eastAsia="宋体" w:cs="宋体"/>
          <w:sz w:val="24"/>
          <w:szCs w:val="24"/>
        </w:rPr>
        <w:t>规范部门预算收支核算，切实提高部门预算收支管理水平。</w:t>
      </w:r>
    </w:p>
    <w:p>
      <w:pPr>
        <w:spacing w:line="600" w:lineRule="exact"/>
        <w:rPr>
          <w:rFonts w:asciiTheme="minorEastAsia" w:hAnsiTheme="minorEastAsia" w:cstheme="minorEastAsia"/>
          <w:kern w:val="0"/>
          <w:sz w:val="24"/>
        </w:rPr>
      </w:pPr>
      <w:r>
        <w:rPr>
          <w:rFonts w:hint="eastAsia" w:asciiTheme="minorEastAsia" w:hAnsiTheme="minorEastAsia" w:cstheme="minorEastAsia"/>
          <w:kern w:val="0"/>
          <w:sz w:val="24"/>
        </w:rPr>
        <w:t>附件1</w:t>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p>
    <w:p>
      <w:pPr>
        <w:spacing w:line="600" w:lineRule="exact"/>
        <w:jc w:val="center"/>
        <w:rPr>
          <w:rFonts w:asciiTheme="minorEastAsia" w:hAnsiTheme="minorEastAsia" w:cstheme="minorEastAsia"/>
          <w:bCs/>
          <w:kern w:val="0"/>
          <w:sz w:val="24"/>
        </w:rPr>
      </w:pPr>
      <w:r>
        <w:rPr>
          <w:rFonts w:hint="eastAsia" w:asciiTheme="minorEastAsia" w:hAnsiTheme="minorEastAsia" w:cstheme="minorEastAsia"/>
          <w:bCs/>
          <w:kern w:val="0"/>
          <w:sz w:val="24"/>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一级指标</w:t>
            </w:r>
          </w:p>
        </w:tc>
        <w:tc>
          <w:tcPr>
            <w:tcW w:w="429"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85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   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3118"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评价标准</w:t>
            </w:r>
          </w:p>
        </w:tc>
        <w:tc>
          <w:tcPr>
            <w:tcW w:w="3472"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备注</w:t>
            </w:r>
          </w:p>
        </w:tc>
        <w:tc>
          <w:tcPr>
            <w:tcW w:w="61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投    入</w:t>
            </w:r>
          </w:p>
        </w:tc>
        <w:tc>
          <w:tcPr>
            <w:tcW w:w="429"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预算配置</w:t>
            </w:r>
          </w:p>
        </w:tc>
        <w:tc>
          <w:tcPr>
            <w:tcW w:w="56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18</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“三公经费”变动率≤0,计3分；“三公经费”＞0，每超过一个百分点扣0.3分，扣完为止。</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“三公经费”变动率=[（本年度“三公经费”总额-上年度“三公经费”总额）/上年度“三公经费”总额]×100%。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“三公经费”：指政府部门人员因公出国（境）经费、公务车购置及运行费、公务招待费产生的消费。</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①招待费用明确招待标准和招待人数,1分;②车辆维护、燃油使用政府定点，1分。③制定“三公经费”管理办法，1分，每少一项扣1分，扣完为止。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招待费变动率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“公务招待费”变动率≤0,计2分；“公务招待费变动率”＞0，每超过一个百分点扣0.2分，扣完为止。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公务招待费变动率=[（本年度“公务招待费”总额-上年度“公务招待费”总额）/上年度“公务招待费”总额]×100%。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运行费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“公务用车购置运行费”变动率≤0,计2分；“公务用车购置运行费变动率”＞0，每超过一个百分点扣0.2分，扣完为止。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 和服务支出 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“商品和服务支出”变动率≤0,计2分；“商品和服务支出”变动率＞0，每超过一个百分点扣0.2分，扣完为止。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“商品和服务支出”变动率=[（本年度“商品和服务支出”总额-上年度“商品和服务支出”总额）/上年度“商品和服务支出”总额]×100%。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支出  安排率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重点支出安排率≥90%，计2分；80%（含）-90%，计1分；70%（含）-80%，计0.5分；低于70%不得分。</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重点支出安排率=（重点项目支出/项目总支出）×100%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①实行收支两条线，1分；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②未发生截留、坐支或转移，1分。以上每发现一次违规现象扣1分，扣完为止。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非税收入完成率100%，2分，每少一个百分点，扣0.1分，扣完为止。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非税收入完成率=（2021年度非税实际收入完成数/2021年度非税收入预算数）×100%，有减免因素的，以非税局确定的为准。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p>
            <w:pPr>
              <w:widowControl/>
              <w:ind w:left="113" w:right="113"/>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tc>
        <w:tc>
          <w:tcPr>
            <w:tcW w:w="429" w:type="dxa"/>
            <w:vMerge w:val="restart"/>
            <w:tcBorders>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预算执行</w:t>
            </w:r>
          </w:p>
        </w:tc>
        <w:tc>
          <w:tcPr>
            <w:tcW w:w="567" w:type="dxa"/>
            <w:vMerge w:val="restart"/>
            <w:tcBorders>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完成率&lt;1，计2分，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完成率=1，计1分，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完成率&gt;1，不得分。</w:t>
            </w:r>
          </w:p>
          <w:p>
            <w:pPr>
              <w:widowControl/>
              <w:jc w:val="left"/>
              <w:rPr>
                <w:rFonts w:asciiTheme="minorEastAsia" w:hAnsiTheme="minorEastAsia" w:cstheme="minorEastAsia"/>
                <w:kern w:val="0"/>
                <w:sz w:val="18"/>
                <w:szCs w:val="18"/>
              </w:rPr>
            </w:pP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结余</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结余超过10%（不含），2分；结余在0-10%（含）的，1分；本年超支不得分。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本项结余不含未完工项目资金的结转数。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控制率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以100%为标准。三公经费控制率≤100%，计2分；每超过一个百分点扣0.2分，扣完为止。单位没有制定“三公”经费预算，该项不得分。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“三公经费”控制率=（“三公经费”实际支出数/“三公经费”预算安排数）×100%。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采购</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①编制政府采购年度预算并上报的，0.5分；②追加并编制政府采购预算的，0.5分；③政府采购执行率=100%，计1分；每少一个百分点扣0.1分，扣完为止。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政府采购执行率=（实际实行政府采购金额/应实行政府采购金额）×100%。应实行政府采金额以《湘财购[2012]27号》文件为标准。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预算管理</w:t>
            </w:r>
          </w:p>
        </w:tc>
        <w:tc>
          <w:tcPr>
            <w:tcW w:w="567" w:type="dxa"/>
            <w:vMerge w:val="restart"/>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28</w:t>
            </w:r>
          </w:p>
        </w:tc>
        <w:tc>
          <w:tcPr>
            <w:tcW w:w="851" w:type="dxa"/>
            <w:tcBorders>
              <w:top w:val="single" w:color="auto" w:sz="4" w:space="0"/>
            </w:tcBorders>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rPr>
                <w:rFonts w:asciiTheme="minorEastAsia" w:hAnsiTheme="minorEastAsia" w:cstheme="minorEastAsia"/>
                <w:kern w:val="0"/>
                <w:sz w:val="18"/>
                <w:szCs w:val="18"/>
              </w:rPr>
            </w:pPr>
          </w:p>
        </w:tc>
        <w:tc>
          <w:tcPr>
            <w:tcW w:w="3118" w:type="dxa"/>
            <w:tcBorders>
              <w:top w:val="single" w:color="auto" w:sz="4" w:space="0"/>
            </w:tcBorders>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①已制定资金管理办法、内部财务管理制度、会计核算制度等管理制度，1分；</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②建立健全单位内部控制制度，1分；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③会计人员、机构按规定设置，1分；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④会计基础工作健全，1分；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⑤会计档案符合规定要求，1分；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p>
        </w:tc>
        <w:tc>
          <w:tcPr>
            <w:tcW w:w="851"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内控制度情况</w:t>
            </w:r>
          </w:p>
        </w:tc>
        <w:tc>
          <w:tcPr>
            <w:tcW w:w="567"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3118" w:type="dxa"/>
            <w:tcBorders>
              <w:top w:val="single" w:color="auto" w:sz="4" w:space="0"/>
            </w:tcBorders>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过程</w:t>
            </w: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资金  使用</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14</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①支出符合国家财经法规和财务管理制度规定以及有关专项资金管理办法的规定；</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②资金（开支）拨付有完整的审批程序和手续；</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③支出符合部门预算批复的用途；</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④资金使用无截留、挤占、挪用、虚列支出、随意借用、大额现金支付等情况。</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⑤重大财务事项经由集体研究决策；</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⑥专项资金做到专款专用；</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⑦原始凭证的取得真实有效；</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⑧无超范围、超预算开支；</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⑨无超标准发放津补贴、奖金，无用公款支付应由个人支付的款项。</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部门（单位）使用预算资金是否符合相关的预算财务管理制度的规定，用以反映和考核部门（单位）预算资金的规范运行情况。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预决算信息公开性和完善性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预决算信息是指与部门预算、执行、决算、监督、绩效等管理相关的信息。</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①已制定资产管理制度，1分；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②相关资产管理制度得到有效执行，1分。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资产  管理</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安全性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16</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 xml:space="preserve">①资产保存完整；②资产配置合理；③资产处置规范； </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以上情况每出现一例不符合要求的扣2分；⑨未按时报送2018年行政事业单位资产报表的，每延迟一天，扣1分，扣完为止。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固定  资产</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利用率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固定资产利用率,100%,2分,每低于一个百分点扣0.2分，扣完为止。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固定资产利用率=（实际在用固定资产总额/所有固定资产总额）×100%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绩效管理</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17</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目标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 评价</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tcBorders>
              <w:top w:val="nil"/>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tcBorders>
              <w:top w:val="nil"/>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评价 结果 运用</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sz w:val="18"/>
                <w:szCs w:val="18"/>
              </w:rPr>
            </w:pPr>
            <w:r>
              <w:rPr>
                <w:rFonts w:hint="eastAsia" w:asciiTheme="minorEastAsia" w:hAnsiTheme="minorEastAsia" w:cstheme="minorEastAsia"/>
                <w:kern w:val="0"/>
                <w:sz w:val="18"/>
                <w:szCs w:val="18"/>
              </w:rPr>
              <w:t>根据2019年度财政重点绩效评价和单位自评情况，向财政报送整改结果并整改到位的，2分，否则不得分。</w:t>
            </w:r>
          </w:p>
        </w:tc>
        <w:tc>
          <w:tcPr>
            <w:tcW w:w="3472" w:type="dxa"/>
            <w:vAlign w:val="center"/>
          </w:tcPr>
          <w:p>
            <w:pPr>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   出</w:t>
            </w:r>
          </w:p>
        </w:tc>
        <w:tc>
          <w:tcPr>
            <w:tcW w:w="429" w:type="dxa"/>
            <w:vMerge w:val="restart"/>
            <w:tcBorders>
              <w:top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职责履行</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工作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该项得分=重点工作完成率×2</w:t>
            </w: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重点工作为市政府确定的为民办实事和部门重点工程与重点工作。</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w:t>
            </w:r>
          </w:p>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质量</w:t>
            </w:r>
          </w:p>
        </w:tc>
        <w:tc>
          <w:tcPr>
            <w:tcW w:w="567"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以绩效考核评估结果为标准，优秀，计3分；良好，2分；合格，1分；不合格，0分。</w:t>
            </w:r>
          </w:p>
        </w:tc>
        <w:tc>
          <w:tcPr>
            <w:tcW w:w="3472" w:type="dxa"/>
            <w:vAlign w:val="center"/>
          </w:tcPr>
          <w:p>
            <w:pPr>
              <w:autoSpaceDN w:val="0"/>
              <w:jc w:val="left"/>
              <w:textAlignment w:val="center"/>
              <w:rPr>
                <w:rFonts w:asciiTheme="minorEastAsia" w:hAnsiTheme="minorEastAsia" w:cstheme="minorEastAsia"/>
                <w:kern w:val="0"/>
                <w:sz w:val="18"/>
                <w:szCs w:val="18"/>
              </w:rPr>
            </w:pPr>
          </w:p>
        </w:tc>
        <w:tc>
          <w:tcPr>
            <w:tcW w:w="617" w:type="dxa"/>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效  果</w:t>
            </w:r>
          </w:p>
        </w:tc>
        <w:tc>
          <w:tcPr>
            <w:tcW w:w="429"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履职效益</w:t>
            </w:r>
          </w:p>
        </w:tc>
        <w:tc>
          <w:tcPr>
            <w:tcW w:w="567"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经济  效益</w:t>
            </w:r>
          </w:p>
        </w:tc>
        <w:tc>
          <w:tcPr>
            <w:tcW w:w="567" w:type="dxa"/>
            <w:vMerge w:val="restart"/>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6590" w:type="dxa"/>
            <w:gridSpan w:val="2"/>
            <w:vMerge w:val="restart"/>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此三项指标可根据部门实际并结合2021年度部门整体支出绩效目标设立情况有选择的进行评价。</w:t>
            </w:r>
          </w:p>
        </w:tc>
        <w:tc>
          <w:tcPr>
            <w:tcW w:w="61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生态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社会公众或服务对象满意度</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90%（含）以上计2分；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80%（含）-90%，计1分；70%（含）-80%，计0.5分；低于70%,计0分。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社会公众或服务对象是指部门（单位）履行职责而影响到的部门，群体或个人，一般采取社会调查的方式(不少于30份)。</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合计</w:t>
            </w:r>
          </w:p>
        </w:tc>
        <w:tc>
          <w:tcPr>
            <w:tcW w:w="8575" w:type="dxa"/>
            <w:gridSpan w:val="5"/>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81</w:t>
            </w:r>
          </w:p>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20" w:beforeAutospacing="0" w:after="120" w:afterAutospacing="0" w:line="360" w:lineRule="auto"/>
        <w:ind w:firstLine="480" w:firstLineChars="200"/>
        <w:jc w:val="both"/>
        <w:textAlignment w:val="auto"/>
        <w:rPr>
          <w:rFonts w:hint="eastAsia" w:ascii="宋体" w:hAnsi="宋体" w:eastAsia="宋体" w:cs="宋体"/>
          <w:sz w:val="24"/>
          <w:szCs w:val="24"/>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20"/>
        <w:jc w:val="both"/>
        <w:rPr>
          <w:rFonts w:hint="eastAsia" w:ascii="宋体" w:hAnsi="宋体" w:eastAsia="宋体" w:cs="宋体"/>
          <w:b/>
          <w:bCs/>
          <w:i w:val="0"/>
          <w:iCs w:val="0"/>
          <w:caps w:val="0"/>
          <w:color w:val="444444"/>
          <w:spacing w:val="0"/>
          <w:sz w:val="24"/>
          <w:szCs w:val="24"/>
          <w:shd w:val="clear" w:fill="FFFFFF"/>
          <w:lang w:val="en-US" w:eastAsia="zh-CN"/>
        </w:rPr>
      </w:pPr>
    </w:p>
    <w:p>
      <w:pPr>
        <w:pStyle w:val="6"/>
        <w:spacing w:line="360" w:lineRule="auto"/>
        <w:ind w:firstLine="480" w:firstLineChars="200"/>
        <w:rPr>
          <w:rFonts w:hint="eastAsia" w:ascii="宋体" w:hAnsi="宋体" w:eastAsia="宋体" w:cs="宋体"/>
          <w:i w:val="0"/>
          <w:iCs w:val="0"/>
          <w:caps w:val="0"/>
          <w:color w:val="444444"/>
          <w:spacing w:val="0"/>
          <w:kern w:val="2"/>
          <w:sz w:val="24"/>
          <w:szCs w:val="24"/>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EBE24"/>
    <w:multiLevelType w:val="singleLevel"/>
    <w:tmpl w:val="E88EBE24"/>
    <w:lvl w:ilvl="0" w:tentative="0">
      <w:start w:val="4"/>
      <w:numFmt w:val="decimal"/>
      <w:suff w:val="nothing"/>
      <w:lvlText w:val="%1、"/>
      <w:lvlJc w:val="left"/>
    </w:lvl>
  </w:abstractNum>
  <w:abstractNum w:abstractNumId="1">
    <w:nsid w:val="FA3B84A4"/>
    <w:multiLevelType w:val="singleLevel"/>
    <w:tmpl w:val="FA3B84A4"/>
    <w:lvl w:ilvl="0" w:tentative="0">
      <w:start w:val="4"/>
      <w:numFmt w:val="chineseCounting"/>
      <w:suff w:val="nothing"/>
      <w:lvlText w:val="%1、"/>
      <w:lvlJc w:val="left"/>
      <w:rPr>
        <w:rFonts w:hint="eastAsia"/>
      </w:rPr>
    </w:lvl>
  </w:abstractNum>
  <w:abstractNum w:abstractNumId="2">
    <w:nsid w:val="6C1BBC88"/>
    <w:multiLevelType w:val="singleLevel"/>
    <w:tmpl w:val="6C1BBC88"/>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6305C0C"/>
    <w:rsid w:val="09E17252"/>
    <w:rsid w:val="0D5E3707"/>
    <w:rsid w:val="11E84674"/>
    <w:rsid w:val="126C42B4"/>
    <w:rsid w:val="17042185"/>
    <w:rsid w:val="1F010C8F"/>
    <w:rsid w:val="20F63895"/>
    <w:rsid w:val="26166273"/>
    <w:rsid w:val="2B032004"/>
    <w:rsid w:val="2C7529D1"/>
    <w:rsid w:val="2D6C05C8"/>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776C9"/>
    <w:rsid w:val="56FC7F41"/>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711</Words>
  <Characters>794</Characters>
  <Lines>0</Lines>
  <Paragraphs>0</Paragraphs>
  <TotalTime>0</TotalTime>
  <ScaleCrop>false</ScaleCrop>
  <LinksUpToDate>false</LinksUpToDate>
  <CharactersWithSpaces>794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361CF67D3C5B4D5F873B3721FDB2BFBA_13</vt:lpwstr>
  </property>
</Properties>
</file>