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300" w:line="600" w:lineRule="atLeast"/>
        <w:jc w:val="cente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2021年度北塔区</w:t>
      </w:r>
      <w: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t>陈家桥学校</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整体支出</w:t>
      </w:r>
    </w:p>
    <w:p>
      <w:pPr>
        <w:pStyle w:val="4"/>
        <w:widowControl/>
        <w:spacing w:after="300" w:line="600" w:lineRule="atLeast"/>
        <w:jc w:val="cente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绩效评价报告</w:t>
      </w:r>
      <w:bookmarkStart w:id="1" w:name="_GoBack"/>
      <w:bookmarkEnd w:id="1"/>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一、部门职责及机构设置情况</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（一）主要职能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遵守法律、法规；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贯彻国家的教育方针，执行国家教育教学标准，保证教育教学质量；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维护受教育者、教师及其他职工的合法权益；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以适当方式为受教育者及其监护人了解受教育者的学业成绩及其他有关情况提供便利；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遵照国家有关规定收取费用并公开收费项目；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依法接受监督；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按照章程自主管理；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组织实施教育教学活动；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招收学生或者其他受教育者；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对受教育者进行学籍管理，实施奖励或者处分；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对受教育者颁发相应的学业证书；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聘任教师及其他职工，实施奖励或者处分；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管理、使用本单位的设施和经费；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拒绝任何组织和个人对教育教学活动的非法干涉。</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（二）机构设置：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根据上述职责，学校根据实际情况分别设有党支部、工会、教导处、</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政教处</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、总务处</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少先队大队</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等机构。</w:t>
      </w:r>
    </w:p>
    <w:p>
      <w:pPr>
        <w:pStyle w:val="4"/>
        <w:widowControl/>
        <w:spacing w:after="300" w:line="600" w:lineRule="atLeast"/>
        <w:jc w:val="left"/>
        <w:rPr>
          <w:rFonts w:asciiTheme="minorEastAsia" w:hAnsiTheme="minorEastAsia" w:cstheme="minorEastAsia"/>
          <w:color w:val="000000" w:themeColor="text1"/>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人员情况：</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编制人数</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人，其中事业编制数</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人；实有人数</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人，其中在职教师</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73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人，在职工勤</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人；退休教师</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二、部门预</w:t>
      </w:r>
      <w:r>
        <w:rPr>
          <w:rFonts w:hint="eastAsia" w:ascii="黑体" w:hAnsi="黑体" w:eastAsia="黑体" w:cs="黑体"/>
          <w:color w:val="000000" w:themeColor="text1"/>
          <w:sz w:val="32"/>
          <w:szCs w:val="32"/>
          <w:shd w:val="clear" w:fill="FFFFFF"/>
          <w:lang w:val="en-US" w:eastAsia="zh-CN"/>
          <w14:textFill>
            <w14:solidFill>
              <w14:schemeClr w14:val="tx1"/>
            </w14:solidFill>
          </w14:textFill>
        </w:rPr>
        <w:t>决</w:t>
      </w:r>
      <w:r>
        <w:rPr>
          <w:rFonts w:hint="eastAsia" w:ascii="黑体" w:hAnsi="黑体" w:eastAsia="黑体" w:cs="黑体"/>
          <w:color w:val="000000" w:themeColor="text1"/>
          <w:sz w:val="32"/>
          <w:szCs w:val="32"/>
          <w:shd w:val="clear" w:fill="FFFFFF"/>
          <w14:textFill>
            <w14:solidFill>
              <w14:schemeClr w14:val="tx1"/>
            </w14:solidFill>
          </w14:textFill>
        </w:rPr>
        <w:t>算的基本情况</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1.年度收支预算情况。</w:t>
      </w:r>
    </w:p>
    <w:p>
      <w:pPr>
        <w:keepNext w:val="0"/>
        <w:keepLines w:val="0"/>
        <w:widowControl/>
        <w:suppressLineNumbers w:val="0"/>
        <w:ind w:left="0" w:leftChars="0"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年度预算收入</w:t>
      </w:r>
      <w:r>
        <w:rPr>
          <w:rFonts w:ascii="仿宋" w:hAnsi="仿宋" w:eastAsia="仿宋" w:cs="仿宋"/>
          <w:color w:val="000000" w:themeColor="text1"/>
          <w:kern w:val="0"/>
          <w:sz w:val="32"/>
          <w:szCs w:val="32"/>
          <w:lang w:val="en-US" w:eastAsia="zh-CN" w:bidi="ar"/>
          <w14:textFill>
            <w14:solidFill>
              <w14:schemeClr w14:val="tx1"/>
            </w14:solidFill>
          </w14:textFill>
        </w:rPr>
        <w:t>1038.28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万元，其中财政拨款收入</w:t>
      </w:r>
      <w:r>
        <w:rPr>
          <w:rFonts w:ascii="仿宋" w:hAnsi="仿宋" w:eastAsia="仿宋" w:cs="仿宋"/>
          <w:color w:val="000000" w:themeColor="text1"/>
          <w:kern w:val="0"/>
          <w:sz w:val="32"/>
          <w:szCs w:val="32"/>
          <w:lang w:val="en-US" w:eastAsia="zh-CN" w:bidi="ar"/>
          <w14:textFill>
            <w14:solidFill>
              <w14:schemeClr w14:val="tx1"/>
            </w14:solidFill>
          </w14:textFill>
        </w:rPr>
        <w:t>1038.28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万元，本年度预算支出</w:t>
      </w:r>
      <w:r>
        <w:rPr>
          <w:rFonts w:ascii="仿宋" w:hAnsi="仿宋" w:eastAsia="仿宋" w:cs="仿宋"/>
          <w:color w:val="000000" w:themeColor="text1"/>
          <w:kern w:val="0"/>
          <w:sz w:val="32"/>
          <w:szCs w:val="32"/>
          <w:lang w:val="en-US" w:eastAsia="zh-CN" w:bidi="ar"/>
          <w14:textFill>
            <w14:solidFill>
              <w14:schemeClr w14:val="tx1"/>
            </w14:solidFill>
          </w14:textFill>
        </w:rPr>
        <w:t>1038.28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万元，其中基本支出</w:t>
      </w:r>
      <w:r>
        <w:rPr>
          <w:rFonts w:ascii="仿宋" w:hAnsi="仿宋" w:eastAsia="仿宋" w:cs="仿宋"/>
          <w:color w:val="000000" w:themeColor="text1"/>
          <w:kern w:val="0"/>
          <w:sz w:val="32"/>
          <w:szCs w:val="32"/>
          <w:lang w:val="en-US" w:eastAsia="zh-CN" w:bidi="ar"/>
          <w14:textFill>
            <w14:solidFill>
              <w14:schemeClr w14:val="tx1"/>
            </w14:solidFill>
          </w14:textFill>
        </w:rPr>
        <w:t>1038.28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万，预算收支平衡。</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2021年度一般公共预算财政拨款支出情况。</w:t>
      </w:r>
    </w:p>
    <w:p>
      <w:pPr>
        <w:keepNext w:val="0"/>
        <w:keepLines w:val="0"/>
        <w:widowControl/>
        <w:suppressLineNumbers w:val="0"/>
        <w:ind w:left="0" w:leftChars="0" w:firstLine="640" w:firstLineChars="200"/>
        <w:jc w:val="left"/>
        <w:rPr>
          <w:rFonts w:hint="eastAsia" w:ascii="仿宋_GB2312" w:hAnsi="仿宋_GB2312" w:eastAsia="仿宋_GB2312" w:cs="仿宋_GB2312"/>
          <w:b w:val="0"/>
          <w:bCs w:val="0"/>
          <w:color w:val="000000" w:themeColor="text1"/>
          <w:sz w:val="32"/>
          <w:szCs w:val="32"/>
          <w:shd w:val="clear" w:fill="FFFFFF"/>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w:t>
      </w:r>
      <w:r>
        <w:rPr>
          <w:rFonts w:ascii="仿宋" w:hAnsi="仿宋" w:eastAsia="仿宋" w:cs="仿宋"/>
          <w:b w:val="0"/>
          <w:bCs w:val="0"/>
          <w:color w:val="000000" w:themeColor="text1"/>
          <w:kern w:val="0"/>
          <w:sz w:val="32"/>
          <w:szCs w:val="32"/>
          <w:lang w:val="en-US" w:eastAsia="zh-CN" w:bidi="ar"/>
          <w14:textFill>
            <w14:solidFill>
              <w14:schemeClr w14:val="tx1"/>
            </w14:solidFill>
          </w14:textFill>
        </w:rPr>
        <w:t>财政拨款支出决算结构情况</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2021 年度财政拨款支出 1038.28 万元，主要用于以下方面：一般公共服务支出（类）0.03 万元，占比 0.00%；教育支出（类）840.05万元，占比 80.91%；社会保障和就业支出（类）91.45 万元，占比8.81%；卫生健康支出（类）45.52 万元，占比 4.38%；住房保障支出（类）61.23 万元，占比 5.90%。</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（2）财政拨款支出决算具体情况</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2021 年度财政拨款支出年初预算数为 826.33 万元，支出决算数为 1038.28 万元，完成年初预算的 125.65%，其中：</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①</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一般公共服务支出（类）政府办公厅（室）及相关机构事务（款）行政运行（项）。年初预算为 0.03 万元，支出决算为 0.03 万元，完成年初预算的100%。</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教育支出（类）普通教育（款）小学教育（项）。年初预算为 78.74 万元，支出决算为 307.1 万元，完成年初预算</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的 390.02%,决算数大于预算数主要原因是：1.人员异动；2.校内调整。</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③</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教育支出（类）普通教育（款）初中教育（项）。年初预算为 629.30 万元，支出决算为 519.47 万元，完成年初预算的 82.55%,决算数小于预算数的主要原因是：1.人员异动；2.校内调整。</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④</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教育支出（类）教育费附加安排的支出（款）其他教育费附加安排的支出（项）。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年初预算为 4.97 万元，支出决算为 13.48 万元，完成年初预算的 271.23%,决算数大于预算数主要原因是：人员异动。</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5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⑤</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社会保障和就业支出（类）行政事业单位养老支出（款）对机关事业单位基本养老保险基金的补助（项）。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年初预算为 25.31 万元，支出决算为 83.97 万元，完成年初预算的 331.77%,决算数大于预算数主要原因是：人员异动。</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6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⑥</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社会保障和就业支出（类）财政对其他社会保险基金的补助（款）财政对工伤保险基金的补助（项）。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年初预算为 4.97 万元，支出决算为 7.48 万元，完成年初预算的150.50%,决算数大于预算数主要原因是：人员异动。</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7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⑦</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卫生健康支出（类）行政事业单位医疗（款）事业单位医疗（项）。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年初预算为 20.04 万元，支出决算为 45.52 万元，完成年初预算的 227.15%,决算数大于预算数主要原因是：人员异动。</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eastAsia" w:ascii="仿宋_GB2312" w:hAnsi="仿宋_GB2312" w:eastAsia="仿宋_GB2312" w:cs="仿宋_GB2312"/>
          <w:color w:val="000000" w:themeColor="text1"/>
          <w:sz w:val="32"/>
          <w:szCs w:val="32"/>
          <w:shd w:val="clear" w:fill="FFFFFF"/>
          <w14:textFill>
            <w14:solidFill>
              <w14:schemeClr w14:val="tx1"/>
            </w14:solidFill>
          </w14:textFill>
        </w:rPr>
        <w:instrText xml:space="preserve"> = 8 \* GB3 \* MERGEFORMAT </w:instrTex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color w:val="000000" w:themeColor="text1"/>
          <w14:textFill>
            <w14:solidFill>
              <w14:schemeClr w14:val="tx1"/>
            </w14:solidFill>
          </w14:textFill>
        </w:rPr>
        <w:t>⑧</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住房保障支出（类）住房改革支出（款）住房公积金（项）。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年初预算为 62.97 万元，支出决算为 61.23 万元，完成年初预算的 97.24%,决算数小于预算数的主要原因是：人员异动。</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3.年度“三公”经费支出情况。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年度“三公经费”支出合计为0.00元</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4.政府采购货物、服务的总体情况。</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本部门 2021 年度政府采购支出总额 157.22 万元，其中：政府采购货物支出 13.20 万元、政府采购工程支出60.67 万元、政府采购服务支出 83.35 万元。授予中小企业合同金额 157.22 万元，占政府采购支出总额的100.00%，其中：授予小微企业合同金额 157.22 万元，占政府采购支出总额的 100.00%；货物采购授予中小企业合同金额占货物支出金额的 8.4%，工程采购授予中小企业合同金额占工程支出金额的 38.59%，服务采购授予中小企业合同金额占服务支出金额的 100%。</w:t>
      </w:r>
      <w:r>
        <w:rPr>
          <w:rFonts w:hint="eastAsia" w:ascii="华文楷体" w:hAnsi="华文楷体" w:eastAsia="华文楷体" w:cs="华文楷体"/>
          <w:color w:val="000000" w:themeColor="text1"/>
          <w:sz w:val="32"/>
          <w:szCs w:val="32"/>
          <w:lang w:val="en-US" w:eastAsia="zh-CN"/>
          <w14:textFill>
            <w14:solidFill>
              <w14:schemeClr w14:val="tx1"/>
            </w14:solidFill>
          </w14:textFill>
        </w:rPr>
        <w:t>5.国有资产占用情况。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我校共有车辆0辆，单位价值50 万元以上通用设备0 台（套），单价100 万元以上专用设备0台（套）。</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三</w:t>
      </w:r>
      <w:r>
        <w:rPr>
          <w:rFonts w:hint="eastAsia" w:ascii="黑体" w:hAnsi="黑体" w:eastAsia="黑体" w:cs="黑体"/>
          <w:color w:val="000000" w:themeColor="text1"/>
          <w:kern w:val="0"/>
          <w:sz w:val="32"/>
          <w:szCs w:val="32"/>
          <w:shd w:val="clear" w:color="auto" w:fill="FFFFFF"/>
          <w14:textFill>
            <w14:solidFill>
              <w14:schemeClr w14:val="tx1"/>
            </w14:solidFill>
          </w14:textFill>
        </w:rPr>
        <w:t>、部门整体支出绩效情况</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2021年，我</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校</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充分履行职责职能，严格执行各项管理制度，经济、社会等效益显著、社会公众满意度上升，较好地完成了全年工作目标。</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强化教育履职。</w:t>
      </w:r>
      <w:r>
        <w:rPr>
          <w:rFonts w:hint="eastAsia" w:ascii="仿宋_GB2312" w:hAnsi="仿宋_GB2312" w:eastAsia="仿宋_GB2312" w:cs="仿宋_GB2312"/>
          <w:color w:val="000000" w:themeColor="text1"/>
          <w:sz w:val="32"/>
          <w:szCs w:val="32"/>
          <w14:textFill>
            <w14:solidFill>
              <w14:schemeClr w14:val="tx1"/>
            </w14:solidFill>
          </w14:textFill>
        </w:rPr>
        <w:t>加强了“党委统一领导、党政齐抓共管、部门各负其责”的教育工作领导体制，确立了将教育作为“民生福区”的首要举措，以“把北塔区打造成为湖南教育优质均衡示范区”为目标，在推进教育高质量发展上闯出新路子、展现新作为。</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强化理论武装。</w:t>
      </w:r>
      <w:r>
        <w:rPr>
          <w:rFonts w:hint="eastAsia" w:ascii="仿宋_GB2312" w:hAnsi="仿宋_GB2312" w:eastAsia="仿宋_GB2312" w:cs="仿宋_GB2312"/>
          <w:color w:val="000000" w:themeColor="text1"/>
          <w:spacing w:val="8"/>
          <w:sz w:val="32"/>
          <w:szCs w:val="32"/>
          <w14:textFill>
            <w14:solidFill>
              <w14:schemeClr w14:val="tx1"/>
            </w14:solidFill>
          </w14:textFill>
        </w:rPr>
        <w:t>坚持把学习贯彻新时代党的创新理论作为首要政治任务，推行教育系统理论学习中心组学习“每月一次、上下同题”，分级分类抓好党史学习教育、五中六中全会精神学习，广泛开展宣传宣讲，深学细照笃行。</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强化党建引领。</w:t>
      </w:r>
      <w:r>
        <w:rPr>
          <w:rFonts w:hint="eastAsia" w:ascii="仿宋_GB2312" w:hAnsi="仿宋_GB2312" w:eastAsia="仿宋_GB2312" w:cs="仿宋_GB2312"/>
          <w:color w:val="000000" w:themeColor="text1"/>
          <w:sz w:val="32"/>
          <w:szCs w:val="32"/>
          <w14:textFill>
            <w14:solidFill>
              <w14:schemeClr w14:val="tx1"/>
            </w14:solidFill>
          </w14:textFill>
        </w:rPr>
        <w:t>全面落实党组织领导下的校长负责制，在基层党支部支部中实施“党建+”“双培养”工程，在团员青年中大力开展“青年大学习”，在广大少先队员中开展“系好人生第一粒扣子”系列主题活动，党建引领、群团跟进。</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强化执纪监督。</w:t>
      </w:r>
      <w:r>
        <w:rPr>
          <w:rFonts w:hint="eastAsia" w:ascii="仿宋_GB2312" w:hAnsi="仿宋_GB2312" w:eastAsia="仿宋_GB2312" w:cs="仿宋_GB2312"/>
          <w:color w:val="000000" w:themeColor="text1"/>
          <w:sz w:val="32"/>
          <w:szCs w:val="32"/>
          <w14:textFill>
            <w14:solidFill>
              <w14:schemeClr w14:val="tx1"/>
            </w14:solidFill>
          </w14:textFill>
        </w:rPr>
        <w:t>压紧压实全面从严治党主体责任，将清廉之责嵌入教育履职的出发点，以“师德师风建设年”为契机，通过开展“六个一”活动，筑牢班子、党员和广大教师清廉履职的“防火墙”，“崇廉倡廉”成为办学治校的有力抓手，“清廉学校”创建收到了扎实成效。</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全面深化教育督导体制机制改革。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积极配合教育局设立的教育督导专员工作，实现学校教育有督察促进，有引导方向的发展</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四</w:t>
      </w:r>
      <w:r>
        <w:rPr>
          <w:rFonts w:hint="eastAsia" w:ascii="黑体" w:hAnsi="黑体" w:eastAsia="黑体" w:cs="黑体"/>
          <w:color w:val="000000" w:themeColor="text1"/>
          <w:kern w:val="0"/>
          <w:sz w:val="32"/>
          <w:szCs w:val="32"/>
          <w:shd w:val="clear" w:color="auto" w:fill="FFFFFF"/>
          <w14:textFill>
            <w14:solidFill>
              <w14:schemeClr w14:val="tx1"/>
            </w14:solidFill>
          </w14:textFill>
        </w:rPr>
        <w:t>、综合评价情况及评价结论</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heme="minorEastAsia" w:hAnsiTheme="minorEastAsia" w:cstheme="minorEastAsia"/>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2021年我</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校</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校</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《部门整体支出绩效评价指标评分表》评分体系，我</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校</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整体支出绩效</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自评8</w:t>
      </w:r>
      <w:r>
        <w:rPr>
          <w:rFonts w:hint="eastAsia" w:ascii="仿宋_GB2312" w:hAnsi="仿宋_GB2312" w:eastAsia="仿宋_GB2312" w:cs="仿宋_GB2312"/>
          <w:color w:val="000000" w:themeColor="text1"/>
          <w:kern w:val="0"/>
          <w:sz w:val="32"/>
          <w:szCs w:val="32"/>
          <w:highlight w:val="none"/>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shd w:val="clear" w:color="auto" w:fill="FFFFFF"/>
          <w14:textFill>
            <w14:solidFill>
              <w14:schemeClr w14:val="tx1"/>
            </w14:solidFill>
          </w14:textFill>
        </w:rPr>
        <w:t>分，</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自评结果为合格。</w:t>
      </w:r>
    </w:p>
    <w:p>
      <w:pPr>
        <w:rPr>
          <w:rFonts w:hint="eastAsia" w:asciiTheme="minorEastAsia" w:hAnsiTheme="minorEastAsia" w:cstheme="minorEastAsia"/>
          <w:color w:val="000000" w:themeColor="text1"/>
          <w:kern w:val="0"/>
          <w:sz w:val="24"/>
          <w:lang w:val="en-US" w:eastAsia="zh-CN"/>
          <w14:textFill>
            <w14:solidFill>
              <w14:schemeClr w14:val="tx1"/>
            </w14:solidFill>
          </w14:textFill>
        </w:rPr>
      </w:pPr>
      <w:bookmarkStart w:id="0" w:name="RANGE!A1:H22"/>
      <w:r>
        <w:rPr>
          <w:rFonts w:hint="eastAsia" w:asciiTheme="minorEastAsia" w:hAnsiTheme="minorEastAsia" w:cstheme="minorEastAsia"/>
          <w:color w:val="000000" w:themeColor="text1"/>
          <w:kern w:val="0"/>
          <w:sz w:val="24"/>
          <w:lang w:val="en-US" w:eastAsia="zh-CN"/>
          <w14:textFill>
            <w14:solidFill>
              <w14:schemeClr w14:val="tx1"/>
            </w14:solidFill>
          </w14:textFill>
        </w:rPr>
        <w:br w:type="page"/>
      </w:r>
    </w:p>
    <w:p>
      <w:pPr>
        <w:spacing w:line="600" w:lineRule="exact"/>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pPr>
      <w:r>
        <w:rPr>
          <w:rFonts w:hint="eastAsia" w:asciiTheme="minorEastAsia" w:hAnsiTheme="minorEastAsia" w:cstheme="minorEastAsia"/>
          <w:color w:val="000000" w:themeColor="text1"/>
          <w:kern w:val="0"/>
          <w:sz w:val="24"/>
          <w:lang w:val="en-US" w:eastAsia="zh-CN"/>
          <w14:textFill>
            <w14:solidFill>
              <w14:schemeClr w14:val="tx1"/>
            </w14:solidFill>
          </w14:textFill>
        </w:rPr>
        <w:t>附件</w:t>
      </w:r>
      <w:bookmarkEnd w:id="0"/>
      <w:r>
        <w:rPr>
          <w:rFonts w:hint="eastAsia" w:asciiTheme="minorEastAsia" w:hAnsiTheme="minorEastAsia" w:cstheme="minorEastAsia"/>
          <w:color w:val="000000" w:themeColor="text1"/>
          <w:kern w:val="0"/>
          <w:sz w:val="24"/>
          <w14:textFill>
            <w14:solidFill>
              <w14:schemeClr w14:val="tx1"/>
            </w14:solidFill>
          </w14:textFill>
        </w:rPr>
        <w:t>1</w:t>
      </w:r>
    </w:p>
    <w:p>
      <w:pPr>
        <w:spacing w:line="600" w:lineRule="exact"/>
        <w:jc w:val="center"/>
        <w:rPr>
          <w:rFonts w:asciiTheme="minorEastAsia" w:hAnsiTheme="minorEastAsia" w:cstheme="minorEastAsia"/>
          <w:bCs/>
          <w:color w:val="000000" w:themeColor="text1"/>
          <w:kern w:val="0"/>
          <w:sz w:val="24"/>
          <w14:textFill>
            <w14:solidFill>
              <w14:schemeClr w14:val="tx1"/>
            </w14:solidFill>
          </w14:textFill>
        </w:rPr>
      </w:pPr>
      <w:r>
        <w:rPr>
          <w:rFonts w:hint="eastAsia" w:asciiTheme="minorEastAsia" w:hAnsiTheme="minorEastAsia" w:cstheme="minorEastAsia"/>
          <w:bCs/>
          <w:color w:val="000000" w:themeColor="text1"/>
          <w:kern w:val="0"/>
          <w:sz w:val="24"/>
          <w14:textFill>
            <w14:solidFill>
              <w14:schemeClr w14:val="tx1"/>
            </w14:solidFill>
          </w14:textFill>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一级指标</w:t>
            </w:r>
          </w:p>
        </w:tc>
        <w:tc>
          <w:tcPr>
            <w:tcW w:w="429"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二级指标</w:t>
            </w:r>
          </w:p>
        </w:tc>
        <w:tc>
          <w:tcPr>
            <w:tcW w:w="567"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分值</w:t>
            </w:r>
          </w:p>
        </w:tc>
        <w:tc>
          <w:tcPr>
            <w:tcW w:w="851"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三级   指标</w:t>
            </w:r>
          </w:p>
        </w:tc>
        <w:tc>
          <w:tcPr>
            <w:tcW w:w="567"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分值</w:t>
            </w:r>
          </w:p>
        </w:tc>
        <w:tc>
          <w:tcPr>
            <w:tcW w:w="3118"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评价标准</w:t>
            </w:r>
          </w:p>
        </w:tc>
        <w:tc>
          <w:tcPr>
            <w:tcW w:w="3472"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备注</w:t>
            </w:r>
          </w:p>
        </w:tc>
        <w:tc>
          <w:tcPr>
            <w:tcW w:w="617" w:type="dxa"/>
            <w:vAlign w:val="center"/>
          </w:tcPr>
          <w:p>
            <w:pPr>
              <w:widowControl/>
              <w:jc w:val="center"/>
              <w:rPr>
                <w:rFonts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投    入</w:t>
            </w:r>
          </w:p>
        </w:tc>
        <w:tc>
          <w:tcPr>
            <w:tcW w:w="429" w:type="dxa"/>
            <w:vMerge w:val="restart"/>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预算配置</w:t>
            </w:r>
          </w:p>
        </w:tc>
        <w:tc>
          <w:tcPr>
            <w:tcW w:w="567" w:type="dxa"/>
            <w:vMerge w:val="restart"/>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18</w:t>
            </w: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“三公经费”变动率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“三公经费”变动率≤0,计3分；“三公经费”＞0，每超过一个百分点扣0.3分，扣完为止。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公经费”变动率=[（本年度“三公经费”总额-上年度“三公经费”总额）/上年度“三公经费”总额]×100%。“三公经费”：指政府部门人员因公出国（境）经费、公务车购置及运行费、公务招待费产生的消费。</w:t>
            </w:r>
          </w:p>
        </w:tc>
        <w:tc>
          <w:tcPr>
            <w:tcW w:w="617" w:type="dxa"/>
            <w:vAlign w:val="center"/>
          </w:tcPr>
          <w:p>
            <w:pPr>
              <w:widowControl/>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“三公经费”   管理</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①招待费用明确招待标准和招待人数,1分;②车辆维护、燃油使用政府定点，1分。③制定“三公经费”管理办法，1分，每少一项扣1分，扣完为止。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vAlign w:val="center"/>
          </w:tcPr>
          <w:p>
            <w:pPr>
              <w:widowControl/>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公务</w:t>
            </w:r>
          </w:p>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招待费变动率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“公务招待费”变动率≤0,计2分；“公务招待费变动率”＞0，每超过一个百分点扣0.2分，扣完为止。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公务招待费变动率=[（本年度“公务招待费”总额-上年度“公务招待费”总额）/上年度“公务招待费”总额]×100%。</w:t>
            </w:r>
          </w:p>
        </w:tc>
        <w:tc>
          <w:tcPr>
            <w:tcW w:w="617" w:type="dxa"/>
            <w:vAlign w:val="center"/>
          </w:tcPr>
          <w:p>
            <w:pPr>
              <w:widowControl/>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公务用车购置</w:t>
            </w:r>
          </w:p>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运行费</w:t>
            </w:r>
          </w:p>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变动率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“公务用车购置运行费”变动率≤0,计2分；“公务用车购置运行费变动率”＞0，每超过一个百分点扣0.2分，扣完为止。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商品 和服务支出 变动率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“商品和服务支出”变动率≤0,计2分；“商品和服务支出”变动率＞0，每超过一个百分点扣0.2分，扣完为止。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“商品和服务支出”变动率=[（本年度“商品和服务支出”总额-上年度“商品和服务支出”总额）/上年度“商品和服务支出”总额]×100%。</w:t>
            </w:r>
          </w:p>
        </w:tc>
        <w:tc>
          <w:tcPr>
            <w:tcW w:w="617" w:type="dxa"/>
            <w:vAlign w:val="center"/>
          </w:tcPr>
          <w:p>
            <w:pPr>
              <w:widowControl/>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重点  支出  安排率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重点支出安排率≥90%，计2分；80%（含）-90%，计1分；70%（含）-80%，计0.5分；低于70%不得分。</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重点支出安排率=（重点项目支出/项目总支出）×100%重点项目支出：市政府确定的为民办实事和部门重点工程与重点工作支出。项目总支出：部门（单位）年度预算安排的项目支出总额。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非税 收入 管理</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①实行收支两条线，1分；</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②未发生截留、坐支或转移，1分。以上每发现一次违规现象扣1分，扣完为止。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非税 收入 完成率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非税收入完成率100%，2分，每少一个百分点，扣0.1分，扣完为止。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非税收入完成率=（2021年度非税实际收入完成数/2021年度非税收入预算数）×100%，有减免因素的，以非税</w:t>
            </w:r>
            <w:r>
              <w:rPr>
                <w:rFonts w:hint="eastAsia" w:asciiTheme="minorEastAsia" w:hAnsiTheme="minorEastAsia" w:cstheme="minorEastAsia"/>
                <w:color w:val="000000" w:themeColor="text1"/>
                <w:kern w:val="0"/>
                <w:sz w:val="18"/>
                <w:szCs w:val="18"/>
                <w:lang w:eastAsia="zh-CN"/>
                <w14:textFill>
                  <w14:solidFill>
                    <w14:schemeClr w14:val="tx1"/>
                  </w14:solidFill>
                </w14:textFill>
              </w:rPr>
              <w:t>校</w:t>
            </w:r>
            <w:r>
              <w:rPr>
                <w:rFonts w:hint="eastAsia" w:asciiTheme="minorEastAsia" w:hAnsiTheme="minorEastAsia" w:cstheme="minorEastAsia"/>
                <w:color w:val="000000" w:themeColor="text1"/>
                <w:kern w:val="0"/>
                <w:sz w:val="18"/>
                <w:szCs w:val="18"/>
                <w14:textFill>
                  <w14:solidFill>
                    <w14:schemeClr w14:val="tx1"/>
                  </w14:solidFill>
                </w14:textFill>
              </w:rPr>
              <w:t>确定的为准。</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过    程</w:t>
            </w:r>
          </w:p>
          <w:p>
            <w:pPr>
              <w:widowControl/>
              <w:ind w:left="113" w:right="113"/>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p>
            <w:pPr>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过      程</w:t>
            </w:r>
          </w:p>
        </w:tc>
        <w:tc>
          <w:tcPr>
            <w:tcW w:w="429" w:type="dxa"/>
            <w:vMerge w:val="restart"/>
            <w:tcBorders>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预算执行</w:t>
            </w:r>
          </w:p>
        </w:tc>
        <w:tc>
          <w:tcPr>
            <w:tcW w:w="567" w:type="dxa"/>
            <w:vMerge w:val="restart"/>
            <w:tcBorders>
              <w:lef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8</w:t>
            </w: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预算  完成率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完成率&lt;1，计2分，</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完成率=1，计1分，</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完成率&gt;1，不得分。</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3472" w:type="dxa"/>
            <w:vAlign w:val="center"/>
          </w:tcPr>
          <w:p>
            <w:pPr>
              <w:autoSpaceDN w:val="0"/>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lef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资金  结余</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结余超过10%（不含），2分；结余在0-10%（含）的，1分；本年超支不得分。</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本项结余不含未完工项目资金的结转数。</w:t>
            </w:r>
          </w:p>
        </w:tc>
        <w:tc>
          <w:tcPr>
            <w:tcW w:w="617" w:type="dxa"/>
            <w:vAlign w:val="center"/>
          </w:tcPr>
          <w:p>
            <w:pPr>
              <w:widowControl/>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lef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“三公经费”控制率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以100%为标准。三公经费控制率≤100%，计2分；每超过一个百分点扣0.2分，扣完为止。单位没有制定“三公”经费预算，该项不得分。</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“三公经费”控制率=（“三公经费”实际支出数/“三公经费”预算安排数）×100%。</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政府</w:t>
            </w:r>
          </w:p>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采购</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①编制政府采购年度预算并上报的，0.5分；②追加并编制政府采购预算的，0.5分；③政府采购执行率=100%，计1分；每少一个百分点扣0.1分，扣完为止。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政府采购执行率=（实际实行政府采购金额/应实行政府采购金额）×100%。应实行政府采金额以《湘财购[2012]27号》文件为标准。</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restart"/>
            <w:tcBorders>
              <w:top w:val="single" w:color="auto" w:sz="4" w:space="0"/>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预算管理</w:t>
            </w:r>
          </w:p>
        </w:tc>
        <w:tc>
          <w:tcPr>
            <w:tcW w:w="567" w:type="dxa"/>
            <w:vMerge w:val="restart"/>
            <w:tcBorders>
              <w:top w:val="single" w:color="auto" w:sz="4" w:space="0"/>
              <w:lef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28</w:t>
            </w:r>
          </w:p>
        </w:tc>
        <w:tc>
          <w:tcPr>
            <w:tcW w:w="851" w:type="dxa"/>
            <w:tcBorders>
              <w:top w:val="single" w:color="auto" w:sz="4" w:space="0"/>
            </w:tcBorders>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管理  制度健全性</w:t>
            </w:r>
          </w:p>
        </w:tc>
        <w:tc>
          <w:tcPr>
            <w:tcW w:w="567" w:type="dxa"/>
            <w:tcBorders>
              <w:top w:val="single" w:color="auto" w:sz="4" w:space="0"/>
            </w:tcBorders>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6</w:t>
            </w:r>
          </w:p>
          <w:p>
            <w:pPr>
              <w:widowControl/>
              <w:rPr>
                <w:rFonts w:asciiTheme="minorEastAsia" w:hAnsiTheme="minorEastAsia" w:cstheme="minorEastAsia"/>
                <w:color w:val="000000" w:themeColor="text1"/>
                <w:kern w:val="0"/>
                <w:sz w:val="18"/>
                <w:szCs w:val="18"/>
                <w14:textFill>
                  <w14:solidFill>
                    <w14:schemeClr w14:val="tx1"/>
                  </w14:solidFill>
                </w14:textFill>
              </w:rPr>
            </w:pPr>
          </w:p>
        </w:tc>
        <w:tc>
          <w:tcPr>
            <w:tcW w:w="3118" w:type="dxa"/>
            <w:tcBorders>
              <w:top w:val="single" w:color="auto" w:sz="4" w:space="0"/>
            </w:tcBorders>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①已制定资金管理办法、内部财务管理制度、会计核算制度等管理制度，1分；②建立健全单位内部控制制度，1分；③会计人员、机构按规定设置，1分；</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④会计基础工作健全，1分；</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⑤会计档案符合规定要求，1分；</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tcBorders>
              <w:top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6</w:t>
            </w:r>
          </w:p>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top w:val="single" w:color="auto" w:sz="4" w:space="0"/>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top w:val="single" w:color="auto" w:sz="4" w:space="0"/>
              <w:lef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tcBorders>
              <w:top w:val="single" w:color="auto" w:sz="4" w:space="0"/>
            </w:tcBorders>
            <w:vAlign w:val="center"/>
          </w:tcPr>
          <w:p>
            <w:pP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内控制度情况</w:t>
            </w:r>
          </w:p>
        </w:tc>
        <w:tc>
          <w:tcPr>
            <w:tcW w:w="567" w:type="dxa"/>
            <w:tcBorders>
              <w:top w:val="single" w:color="auto" w:sz="4" w:space="0"/>
            </w:tcBorders>
            <w:vAlign w:val="center"/>
          </w:tcPr>
          <w:p>
            <w:pP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4分</w:t>
            </w:r>
          </w:p>
        </w:tc>
        <w:tc>
          <w:tcPr>
            <w:tcW w:w="3118" w:type="dxa"/>
            <w:tcBorders>
              <w:top w:val="single" w:color="auto" w:sz="4" w:space="0"/>
            </w:tcBorders>
            <w:vAlign w:val="center"/>
          </w:tcPr>
          <w:p>
            <w:pPr>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tcBorders>
              <w:top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过程</w:t>
            </w:r>
          </w:p>
        </w:tc>
        <w:tc>
          <w:tcPr>
            <w:tcW w:w="429" w:type="dxa"/>
            <w:vMerge w:val="continue"/>
            <w:tcBorders>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lef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资金  使用合规性</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14</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支出符合国家财经法规和财务管理制度规定以及有关专项资金管理办法的规定；②资金（开支）拨付有完整的审批程序和手续；③支出符合部门预算批复的用途；④资金使用无截留、挤占、挪用、虚列支出、随意借用、大额现金支付等情况。</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⑤重大财务事项经由集体研究决策；</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⑥专项资金做到专款专用；</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⑦原始凭证的取得真实有效；</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⑧无超范围、超预算开支；</w:t>
            </w:r>
          </w:p>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⑨无超标准发放津补贴、奖金，无用公款支付应由个人支付的款项。以上情况每出现一例不符合要求的扣2分，扣完为止。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预决算信息公开性和完善性</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4</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预决算信息是指与部门预算、执行、决算、监督、绩效等管理相关的信息。</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20</w:t>
            </w: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管理  制度健全性</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 xml:space="preserve">①已制定资产管理制度，1分；②相关资产管理制度得到有效执行，1分。                                           </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资产  管理安全性</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16</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①资产保存完整；②资产配置合理；③资产处置规范； ④资产账务管理合规，帐实帐卡、账账、账表（决算报表等）相符；⑤资产有偿使用及处置收入及时足额上缴；⑥清查盘点：每年至少清查盘点一次；⑦产权明晰，权证齐全；⑧按标准购置固定资产。以上情况每出现一例不符合要求的扣2分；⑨未按时报送2018年行政事业单位资产报表的，每延迟一天，扣1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固定  资产利用率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固定资产利用率,100%,2分,每低于一个百分点扣0.2分，扣完为止。</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固定资产利用率=（实际在用固定资产总额/所有固定资产总额）×100%</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restart"/>
            <w:tcBorders>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绩效管理</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17</w:t>
            </w: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目标 管理</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8</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bottom w:val="single" w:color="auto" w:sz="4" w:space="0"/>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绩效 评价</w:t>
            </w:r>
          </w:p>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管理</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7</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①开展20</w:t>
            </w: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21</w:t>
            </w:r>
            <w:r>
              <w:rPr>
                <w:rFonts w:hint="eastAsia" w:asciiTheme="minorEastAsia" w:hAnsiTheme="minorEastAsia" w:cstheme="minorEastAsia"/>
                <w:color w:val="000000" w:themeColor="text1"/>
                <w:kern w:val="0"/>
                <w:sz w:val="18"/>
                <w:szCs w:val="18"/>
                <w14:textFill>
                  <w14:solidFill>
                    <w14:schemeClr w14:val="tx1"/>
                  </w14:solidFill>
                </w14:textFill>
              </w:rPr>
              <w:t>年度专项资金绩效自评的，2分，每少一个专项资金的自评扣1分，扣完为止；②开展2019年度已完工项目绩效自评的，2分，每少一个项目扣1分，扣完为止；③开展20</w:t>
            </w: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21</w:t>
            </w:r>
            <w:r>
              <w:rPr>
                <w:rFonts w:hint="eastAsia" w:asciiTheme="minorEastAsia" w:hAnsiTheme="minorEastAsia" w:cstheme="minorEastAsia"/>
                <w:color w:val="000000" w:themeColor="text1"/>
                <w:kern w:val="0"/>
                <w:sz w:val="18"/>
                <w:szCs w:val="18"/>
                <w14:textFill>
                  <w14:solidFill>
                    <w14:schemeClr w14:val="tx1"/>
                  </w14:solidFill>
                </w14:textFill>
              </w:rPr>
              <w:t>年度部门整体支出绩效自评的，1分；④在规定时间内报送、公开以上自评报告材料的，2分。</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tcBorders>
              <w:top w:val="nil"/>
              <w:bottom w:val="single" w:color="auto" w:sz="4" w:space="0"/>
              <w:right w:val="single" w:color="auto" w:sz="4" w:space="0"/>
            </w:tcBorders>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tcBorders>
              <w:top w:val="nil"/>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评价 结果 运用</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根据20</w:t>
            </w: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21</w:t>
            </w:r>
            <w:r>
              <w:rPr>
                <w:rFonts w:hint="eastAsia" w:asciiTheme="minorEastAsia" w:hAnsiTheme="minorEastAsia" w:cstheme="minorEastAsia"/>
                <w:color w:val="000000" w:themeColor="text1"/>
                <w:kern w:val="0"/>
                <w:sz w:val="18"/>
                <w:szCs w:val="18"/>
                <w14:textFill>
                  <w14:solidFill>
                    <w14:schemeClr w14:val="tx1"/>
                  </w14:solidFill>
                </w14:textFill>
              </w:rPr>
              <w:t>年度财政重点绩效评价和单位自评情况，向财政报送整改结果并整改到位的，2分，否则不得分。</w:t>
            </w:r>
          </w:p>
        </w:tc>
        <w:tc>
          <w:tcPr>
            <w:tcW w:w="3472" w:type="dxa"/>
            <w:vAlign w:val="center"/>
          </w:tcPr>
          <w:p>
            <w:pPr>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产   出</w:t>
            </w:r>
          </w:p>
        </w:tc>
        <w:tc>
          <w:tcPr>
            <w:tcW w:w="429" w:type="dxa"/>
            <w:vMerge w:val="restart"/>
            <w:tcBorders>
              <w:top w:val="single" w:color="auto" w:sz="4" w:space="0"/>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职责履行</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5</w:t>
            </w: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重点　工作　完成率</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该项得分=重点工作完成率×2</w:t>
            </w:r>
          </w:p>
        </w:tc>
        <w:tc>
          <w:tcPr>
            <w:tcW w:w="3472" w:type="dxa"/>
            <w:vAlign w:val="center"/>
          </w:tcPr>
          <w:p>
            <w:pPr>
              <w:autoSpaceDN w:val="0"/>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重点工作为市政府确定的为民办实事和部门重点工程与重点工作。</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工作</w:t>
            </w:r>
          </w:p>
          <w:p>
            <w:pP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质量</w:t>
            </w:r>
          </w:p>
        </w:tc>
        <w:tc>
          <w:tcPr>
            <w:tcW w:w="567" w:type="dxa"/>
            <w:vAlign w:val="center"/>
          </w:tcPr>
          <w:p>
            <w:pP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w:t>
            </w:r>
          </w:p>
        </w:tc>
        <w:tc>
          <w:tcPr>
            <w:tcW w:w="3118" w:type="dxa"/>
            <w:vAlign w:val="center"/>
          </w:tcPr>
          <w:p>
            <w:pPr>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以绩效考核评估结果为标准，优秀，计3分；良好，2分；合格，1分；不合格，0分。</w:t>
            </w:r>
          </w:p>
        </w:tc>
        <w:tc>
          <w:tcPr>
            <w:tcW w:w="3472" w:type="dxa"/>
            <w:vAlign w:val="center"/>
          </w:tcPr>
          <w:p>
            <w:pPr>
              <w:autoSpaceDN w:val="0"/>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p>
        </w:tc>
        <w:tc>
          <w:tcPr>
            <w:tcW w:w="617" w:type="dxa"/>
            <w:vAlign w:val="center"/>
          </w:tcPr>
          <w:p>
            <w:pPr>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效  果</w:t>
            </w:r>
          </w:p>
        </w:tc>
        <w:tc>
          <w:tcPr>
            <w:tcW w:w="429"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履职效益</w:t>
            </w:r>
          </w:p>
        </w:tc>
        <w:tc>
          <w:tcPr>
            <w:tcW w:w="567"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4</w:t>
            </w: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经济  效益</w:t>
            </w:r>
          </w:p>
        </w:tc>
        <w:tc>
          <w:tcPr>
            <w:tcW w:w="567" w:type="dxa"/>
            <w:vMerge w:val="restart"/>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590" w:type="dxa"/>
            <w:gridSpan w:val="2"/>
            <w:vMerge w:val="restart"/>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此三项指标可根据部门实际并结合2021年度部门整体支出绩效目标设立情况有选择的进行评价。</w:t>
            </w:r>
          </w:p>
        </w:tc>
        <w:tc>
          <w:tcPr>
            <w:tcW w:w="617" w:type="dxa"/>
            <w:vMerge w:val="restart"/>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社会  效益</w:t>
            </w:r>
          </w:p>
        </w:tc>
        <w:tc>
          <w:tcPr>
            <w:tcW w:w="567" w:type="dxa"/>
            <w:vMerge w:val="continue"/>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p>
        </w:tc>
        <w:tc>
          <w:tcPr>
            <w:tcW w:w="6590" w:type="dxa"/>
            <w:gridSpan w:val="2"/>
            <w:vMerge w:val="continue"/>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生态  效益</w:t>
            </w:r>
          </w:p>
        </w:tc>
        <w:tc>
          <w:tcPr>
            <w:tcW w:w="567" w:type="dxa"/>
            <w:vMerge w:val="continue"/>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p>
        </w:tc>
        <w:tc>
          <w:tcPr>
            <w:tcW w:w="6590" w:type="dxa"/>
            <w:gridSpan w:val="2"/>
            <w:vMerge w:val="continue"/>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p>
        </w:tc>
        <w:tc>
          <w:tcPr>
            <w:tcW w:w="617" w:type="dxa"/>
            <w:vMerge w:val="continue"/>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c>
          <w:tcPr>
            <w:tcW w:w="851"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社会公众或服务对象满意度</w:t>
            </w:r>
          </w:p>
        </w:tc>
        <w:tc>
          <w:tcPr>
            <w:tcW w:w="567" w:type="dxa"/>
            <w:vAlign w:val="center"/>
          </w:tcPr>
          <w:p>
            <w:pPr>
              <w:widowControl/>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3118"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90%（含）以上计2分；80%（含）-90%，计1分；70%（含）-80%，计0.5分；低于70%,计0分。</w:t>
            </w:r>
          </w:p>
        </w:tc>
        <w:tc>
          <w:tcPr>
            <w:tcW w:w="3472" w:type="dxa"/>
            <w:vAlign w:val="center"/>
          </w:tcPr>
          <w:p>
            <w:pPr>
              <w:widowControl/>
              <w:jc w:val="left"/>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社会公众或服务对象是指部门（单位）履行职责而影响到的部门，群体或个人，一般采取社会调查的方式(不少于30份)。</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合计</w:t>
            </w:r>
          </w:p>
        </w:tc>
        <w:tc>
          <w:tcPr>
            <w:tcW w:w="8575" w:type="dxa"/>
            <w:gridSpan w:val="5"/>
            <w:vAlign w:val="center"/>
          </w:tcPr>
          <w:p>
            <w:pPr>
              <w:widowControl/>
              <w:jc w:val="center"/>
              <w:rPr>
                <w:rFonts w:hint="default"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cstheme="minorEastAsia"/>
                <w:color w:val="000000" w:themeColor="text1"/>
                <w:kern w:val="0"/>
                <w:sz w:val="18"/>
                <w:szCs w:val="18"/>
                <w:lang w:val="en-US" w:eastAsia="zh-CN"/>
                <w14:textFill>
                  <w14:solidFill>
                    <w14:schemeClr w14:val="tx1"/>
                  </w14:solidFill>
                </w14:textFill>
              </w:rPr>
              <w:t>84</w:t>
            </w:r>
          </w:p>
        </w:tc>
        <w:tc>
          <w:tcPr>
            <w:tcW w:w="617" w:type="dxa"/>
            <w:vAlign w:val="center"/>
          </w:tcPr>
          <w:p>
            <w:pPr>
              <w:widowControl/>
              <w:jc w:val="center"/>
              <w:rPr>
                <w:rFonts w:asciiTheme="minorEastAsia" w:hAnsiTheme="minorEastAsia" w:cstheme="minorEastAsia"/>
                <w:color w:val="000000" w:themeColor="text1"/>
                <w:kern w:val="0"/>
                <w:sz w:val="18"/>
                <w:szCs w:val="18"/>
                <w14:textFill>
                  <w14:solidFill>
                    <w14:schemeClr w14:val="tx1"/>
                  </w14:solidFill>
                </w14:textFill>
              </w:rPr>
            </w:pPr>
          </w:p>
        </w:tc>
      </w:tr>
    </w:tbl>
    <w:p>
      <w:pPr>
        <w:spacing w:line="600" w:lineRule="exact"/>
        <w:rPr>
          <w:rFonts w:asciiTheme="minorEastAsia" w:hAnsiTheme="minorEastAsia" w:cstheme="minorEastAsia"/>
          <w:color w:val="000000" w:themeColor="text1"/>
          <w:kern w:val="0"/>
          <w:sz w:val="24"/>
          <w14:textFill>
            <w14:solidFill>
              <w14:schemeClr w14:val="tx1"/>
            </w14:solidFill>
          </w14:textFill>
        </w:rPr>
      </w:pPr>
    </w:p>
    <w:p>
      <w:pPr>
        <w:rPr>
          <w:rFonts w:asciiTheme="minorEastAsia" w:hAnsiTheme="minorEastAsia" w:cstheme="minorEastAsia"/>
          <w:color w:val="000000" w:themeColor="text1"/>
          <w:sz w:val="24"/>
          <w14:textFill>
            <w14:solidFill>
              <w14:schemeClr w14:val="tx1"/>
            </w14:solidFill>
          </w14:textFill>
        </w:rPr>
      </w:pPr>
    </w:p>
    <w:p>
      <w:pPr>
        <w:rPr>
          <w:rFonts w:asciiTheme="minorEastAsia" w:hAnsiTheme="minorEastAsia" w:cstheme="minorEastAsia"/>
          <w:color w:val="000000" w:themeColor="text1"/>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DA1EB"/>
    <w:multiLevelType w:val="singleLevel"/>
    <w:tmpl w:val="010DA1E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NzIwMjc5M2RjZWY0NGU3Y2VhMjk5ZDkzNjM3YmIifQ=="/>
  </w:docVars>
  <w:rsids>
    <w:rsidRoot w:val="00BE1B3D"/>
    <w:rsid w:val="0025477A"/>
    <w:rsid w:val="003451CD"/>
    <w:rsid w:val="00356BDD"/>
    <w:rsid w:val="00361BC5"/>
    <w:rsid w:val="004C162C"/>
    <w:rsid w:val="009225A8"/>
    <w:rsid w:val="00B010E3"/>
    <w:rsid w:val="00BE1B3D"/>
    <w:rsid w:val="00CE7591"/>
    <w:rsid w:val="00EC45A6"/>
    <w:rsid w:val="0D777500"/>
    <w:rsid w:val="0DC2450A"/>
    <w:rsid w:val="1D941472"/>
    <w:rsid w:val="1EAC476E"/>
    <w:rsid w:val="274B02F4"/>
    <w:rsid w:val="28622EA9"/>
    <w:rsid w:val="28C54FA0"/>
    <w:rsid w:val="45AD0E01"/>
    <w:rsid w:val="55041763"/>
    <w:rsid w:val="675E312D"/>
    <w:rsid w:val="6A1F37A3"/>
    <w:rsid w:val="78FB0158"/>
    <w:rsid w:val="7AD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auto"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auto"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color="auto"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 w:type="paragraph" w:styleId="35">
    <w:name w:val="List Paragraph"/>
    <w:basedOn w:val="1"/>
    <w:qFormat/>
    <w:uiPriority w:val="34"/>
    <w:pPr>
      <w:ind w:firstLine="420" w:firstLineChars="200"/>
    </w:pPr>
  </w:style>
  <w:style w:type="paragraph" w:customStyle="1" w:styleId="36">
    <w:name w:val="正文首行缩进 21"/>
    <w:basedOn w:val="37"/>
    <w:qFormat/>
    <w:uiPriority w:val="0"/>
    <w:pPr>
      <w:ind w:firstLine="420" w:firstLineChars="200"/>
    </w:pPr>
  </w:style>
  <w:style w:type="paragraph" w:customStyle="1" w:styleId="37">
    <w:name w:val="正文文本缩进1"/>
    <w:basedOn w:val="1"/>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5377</Words>
  <Characters>5861</Characters>
  <Lines>9</Lines>
  <Paragraphs>14</Paragraphs>
  <TotalTime>22</TotalTime>
  <ScaleCrop>false</ScaleCrop>
  <LinksUpToDate>false</LinksUpToDate>
  <CharactersWithSpaces>6176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2022-10-13T09:06:00Z</dcterms:created>
  <dc:creator>Administrator</dc:creator>
  <cp:lastModifiedBy>Administrator</cp:lastModifiedBy>
  <dcterms:modified xsi:type="dcterms:W3CDTF">2022-11-27T14:36:19Z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2F54F18A2CE84DADA1B21E746E2F1685</vt:lpwstr>
  </property>
</Properties>
</file>