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after="300" w:line="600" w:lineRule="atLeast"/>
        <w:jc w:val="center"/>
        <w:rPr>
          <w:rFonts w:asciiTheme="minorEastAsia" w:hAnsiTheme="minorEastAsia" w:cstheme="minorEastAsia"/>
        </w:rPr>
      </w:pPr>
      <w:r>
        <w:rPr>
          <w:rFonts w:hint="eastAsia" w:asciiTheme="minorEastAsia" w:hAnsiTheme="minorEastAsia" w:cstheme="minorEastAsia"/>
          <w:color w:val="444444"/>
          <w:shd w:val="clear" w:color="auto" w:fill="FFFFFF"/>
        </w:rPr>
        <w:t> </w:t>
      </w:r>
      <w:r>
        <w:rPr>
          <w:rFonts w:hint="eastAsia" w:asciiTheme="minorEastAsia" w:hAnsiTheme="minorEastAsia" w:cstheme="minorEastAsia"/>
          <w:color w:val="444444"/>
          <w:kern w:val="0"/>
          <w:shd w:val="clear" w:color="auto" w:fill="FFFFFF"/>
        </w:rPr>
        <w:t>第五部分</w:t>
      </w:r>
    </w:p>
    <w:p>
      <w:pPr>
        <w:pStyle w:val="4"/>
        <w:widowControl/>
        <w:spacing w:after="300" w:line="600" w:lineRule="atLeast"/>
        <w:jc w:val="center"/>
        <w:rPr>
          <w:rFonts w:asciiTheme="minorEastAsia" w:hAnsiTheme="minorEastAsia" w:cstheme="minorEastAsia"/>
        </w:rPr>
      </w:pPr>
      <w:r>
        <w:rPr>
          <w:rFonts w:hint="eastAsia" w:asciiTheme="minorEastAsia" w:hAnsiTheme="minorEastAsia" w:cstheme="minorEastAsia"/>
          <w:color w:val="444444"/>
          <w:kern w:val="0"/>
          <w:shd w:val="clear" w:color="auto" w:fill="FFFFFF"/>
        </w:rPr>
        <w:t>附件</w:t>
      </w:r>
    </w:p>
    <w:p>
      <w:pPr>
        <w:pStyle w:val="4"/>
        <w:widowControl/>
        <w:spacing w:after="300" w:line="600" w:lineRule="atLeast"/>
        <w:jc w:val="center"/>
        <w:rPr>
          <w:rFonts w:asciiTheme="minorEastAsia" w:hAnsiTheme="minorEastAsia" w:cstheme="minorEastAsia"/>
          <w:b/>
          <w:bCs/>
          <w:color w:val="444444"/>
          <w:shd w:val="clear" w:color="auto" w:fill="FFFFFF"/>
        </w:rPr>
      </w:pPr>
      <w:r>
        <w:rPr>
          <w:rFonts w:hint="eastAsia" w:asciiTheme="minorEastAsia" w:hAnsiTheme="minorEastAsia" w:cstheme="minorEastAsia"/>
          <w:b/>
          <w:bCs/>
          <w:color w:val="444444"/>
          <w:shd w:val="clear" w:color="auto" w:fill="FFFFFF"/>
        </w:rPr>
        <w:t>2021年度北塔区</w:t>
      </w:r>
      <w:r>
        <w:rPr>
          <w:rFonts w:hint="eastAsia" w:asciiTheme="minorEastAsia" w:hAnsiTheme="minorEastAsia" w:cstheme="minorEastAsia"/>
          <w:b/>
          <w:bCs/>
          <w:color w:val="444444"/>
          <w:shd w:val="clear" w:color="auto" w:fill="FFFFFF"/>
          <w:lang w:val="en-US" w:eastAsia="zh-CN"/>
        </w:rPr>
        <w:t>柑子塘小学</w:t>
      </w:r>
      <w:r>
        <w:rPr>
          <w:rFonts w:hint="eastAsia" w:asciiTheme="minorEastAsia" w:hAnsiTheme="minorEastAsia" w:cstheme="minorEastAsia"/>
          <w:b/>
          <w:bCs/>
          <w:color w:val="444444"/>
          <w:shd w:val="clear" w:color="auto" w:fill="FFFFFF"/>
        </w:rPr>
        <w:t>部门整体支出绩效评价报告</w:t>
      </w:r>
    </w:p>
    <w:p>
      <w:pPr>
        <w:keepNext w:val="0"/>
        <w:keepLines w:val="0"/>
        <w:widowControl/>
        <w:suppressLineNumbers w:val="0"/>
        <w:jc w:val="left"/>
      </w:pPr>
      <w:r>
        <w:rPr>
          <w:rFonts w:ascii="黑体" w:hAnsi="宋体" w:eastAsia="黑体" w:cs="黑体"/>
          <w:b/>
          <w:bCs/>
          <w:color w:val="000000"/>
          <w:kern w:val="0"/>
          <w:sz w:val="32"/>
          <w:szCs w:val="32"/>
          <w:lang w:val="en-US" w:eastAsia="zh-CN" w:bidi="ar"/>
        </w:rPr>
        <w:t xml:space="preserve">一、部门基本概况 </w:t>
      </w:r>
    </w:p>
    <w:p>
      <w:pPr>
        <w:keepNext w:val="0"/>
        <w:keepLines w:val="0"/>
        <w:widowControl/>
        <w:suppressLineNumbers w:val="0"/>
        <w:jc w:val="left"/>
      </w:pPr>
      <w:r>
        <w:rPr>
          <w:rFonts w:ascii="仿宋_GB2312" w:hAnsi="仿宋_GB2312" w:eastAsia="仿宋_GB2312" w:cs="仿宋_GB2312"/>
          <w:b/>
          <w:bCs/>
          <w:color w:val="000000"/>
          <w:kern w:val="0"/>
          <w:sz w:val="32"/>
          <w:szCs w:val="32"/>
          <w:lang w:val="en-US" w:eastAsia="zh-CN" w:bidi="ar"/>
        </w:rPr>
        <w:t xml:space="preserve">（1）职能职责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 xml:space="preserve">邵阳市北塔区陈家桥乡柑子塘小学的主要职责是：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 xml:space="preserve">（一）遵守法律、法规；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 xml:space="preserve">（二）贯彻国家的教育方针，执行国家教育教学标准，保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 xml:space="preserve">证教育教学质量；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 xml:space="preserve">（三）维护受教育者、教师及其他职工的合法权益；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 xml:space="preserve">（四）以适当方式为受教育者及其监护人了解受教育者的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 xml:space="preserve">学业成绩及其他有关情况提供便利；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 xml:space="preserve">（五）遵照国家有关规定收取费用并公开收费项目；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 xml:space="preserve">（六）依法接受监督；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 xml:space="preserve">（七）按照章程自主管理；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 xml:space="preserve">（八）组织实施教育教学活动；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 xml:space="preserve">（九）招收学生或者其他受教育者；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 xml:space="preserve">（十）对受教育者进行学籍管理，实施奖励或者处分；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 xml:space="preserve">（十一）对受教育者颁发相应的学业证书；（十二）聘任教师及其他职工，实施奖励或者处分；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 xml:space="preserve">（十三）管理、使用本单位的设施和经费；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 xml:space="preserve">（十四）拒绝任何组织和个人对教育教学活动的非法干涉。 </w:t>
      </w:r>
    </w:p>
    <w:p>
      <w:pPr>
        <w:keepNext w:val="0"/>
        <w:keepLines w:val="0"/>
        <w:widowControl/>
        <w:suppressLineNumbers w:val="0"/>
        <w:jc w:val="left"/>
      </w:pPr>
      <w:r>
        <w:rPr>
          <w:rFonts w:ascii="仿宋_GB2312" w:hAnsi="仿宋_GB2312" w:eastAsia="仿宋_GB2312" w:cs="仿宋_GB2312"/>
          <w:b/>
          <w:bCs/>
          <w:color w:val="000000"/>
          <w:kern w:val="0"/>
          <w:sz w:val="32"/>
          <w:szCs w:val="32"/>
          <w:lang w:val="en-US" w:eastAsia="zh-CN" w:bidi="ar"/>
        </w:rPr>
        <w:t xml:space="preserve">（2）机构设置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 xml:space="preserve">根据上述职责，学校根据实际情况分别设有工会、办公室、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 xml:space="preserve">教导处、学生处、总务处等机构。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 xml:space="preserve">人员情况：编制人数 10 人，其中事业编制数 10 人；实有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人数 20 人，其中在职教师 10 人，在职工勤 2 人；退休教师 8 人。</w:t>
      </w:r>
    </w:p>
    <w:p>
      <w:pPr>
        <w:pStyle w:val="4"/>
        <w:widowControl/>
        <w:spacing w:after="300" w:line="600" w:lineRule="atLeast"/>
        <w:jc w:val="left"/>
        <w:rPr>
          <w:rFonts w:asciiTheme="minorEastAsia" w:hAnsiTheme="minorEastAsia" w:cstheme="minorEastAsia"/>
        </w:rPr>
      </w:pPr>
      <w:r>
        <w:rPr>
          <w:rFonts w:hint="eastAsia" w:asciiTheme="minorEastAsia" w:hAnsiTheme="minorEastAsia" w:cstheme="minorEastAsia"/>
          <w:color w:val="444444"/>
          <w:kern w:val="0"/>
          <w:shd w:val="clear" w:color="auto" w:fill="FFFFFF"/>
        </w:rPr>
        <w:t>二、部门整体支出管理及使用情况</w:t>
      </w:r>
    </w:p>
    <w:p>
      <w:pPr>
        <w:pStyle w:val="4"/>
        <w:widowControl/>
        <w:spacing w:after="300" w:line="600" w:lineRule="atLeast"/>
        <w:jc w:val="left"/>
        <w:rPr>
          <w:rFonts w:asciiTheme="minorEastAsia" w:hAnsiTheme="minorEastAsia" w:cstheme="minorEastAsia"/>
        </w:rPr>
      </w:pPr>
      <w:r>
        <w:rPr>
          <w:rFonts w:hint="eastAsia" w:asciiTheme="minorEastAsia" w:hAnsiTheme="minorEastAsia" w:cstheme="minorEastAsia"/>
          <w:color w:val="444444"/>
          <w:kern w:val="0"/>
          <w:shd w:val="clear" w:color="auto" w:fill="FFFFFF"/>
        </w:rPr>
        <w:t>（一）基本支出</w:t>
      </w:r>
    </w:p>
    <w:p>
      <w:pPr>
        <w:pStyle w:val="4"/>
        <w:widowControl/>
        <w:spacing w:after="300" w:line="600" w:lineRule="atLeast"/>
        <w:ind w:firstLine="480" w:firstLineChars="200"/>
        <w:jc w:val="left"/>
        <w:rPr>
          <w:rFonts w:asciiTheme="minorEastAsia" w:hAnsiTheme="minorEastAsia" w:cstheme="minorEastAsia"/>
        </w:rPr>
      </w:pPr>
      <w:r>
        <w:rPr>
          <w:rFonts w:hint="eastAsia" w:asciiTheme="minorEastAsia" w:hAnsiTheme="minorEastAsia" w:cstheme="minorEastAsia"/>
          <w:color w:val="444444"/>
          <w:kern w:val="0"/>
          <w:shd w:val="clear" w:color="auto" w:fill="FFFFFF"/>
        </w:rPr>
        <w:t>基本支出系保障我</w:t>
      </w:r>
      <w:r>
        <w:rPr>
          <w:rFonts w:hint="eastAsia" w:asciiTheme="minorEastAsia" w:hAnsiTheme="minorEastAsia" w:cstheme="minorEastAsia"/>
          <w:color w:val="444444"/>
          <w:kern w:val="0"/>
          <w:shd w:val="clear" w:color="auto" w:fill="FFFFFF"/>
          <w:lang w:val="en-US" w:eastAsia="zh-CN"/>
        </w:rPr>
        <w:t>校</w:t>
      </w:r>
      <w:r>
        <w:rPr>
          <w:rFonts w:hint="eastAsia" w:asciiTheme="minorEastAsia" w:hAnsiTheme="minorEastAsia" w:cstheme="minorEastAsia"/>
          <w:color w:val="444444"/>
          <w:kern w:val="0"/>
          <w:shd w:val="clear" w:color="auto" w:fill="FFFFFF"/>
        </w:rPr>
        <w:t>机构正常运转、完成日常工作任务而发生的人员支出和公用支出，包括用于在职和离退休人员基本工资、津贴补贴等人员经费以及办公费、印刷费、水电费、办公设备购置等日常公用经费。2021年我</w:t>
      </w:r>
      <w:r>
        <w:rPr>
          <w:rFonts w:hint="eastAsia" w:asciiTheme="minorEastAsia" w:hAnsiTheme="minorEastAsia" w:cstheme="minorEastAsia"/>
          <w:color w:val="444444"/>
          <w:kern w:val="0"/>
          <w:shd w:val="clear" w:color="auto" w:fill="FFFFFF"/>
          <w:lang w:val="en-US" w:eastAsia="zh-CN"/>
        </w:rPr>
        <w:t>校</w:t>
      </w:r>
      <w:r>
        <w:rPr>
          <w:rFonts w:hint="eastAsia" w:asciiTheme="minorEastAsia" w:hAnsiTheme="minorEastAsia" w:cstheme="minorEastAsia"/>
          <w:color w:val="444444"/>
          <w:kern w:val="0"/>
          <w:shd w:val="clear" w:color="auto" w:fill="FFFFFF"/>
        </w:rPr>
        <w:t>基本支出</w:t>
      </w:r>
      <w:r>
        <w:rPr>
          <w:rFonts w:hint="eastAsia" w:asciiTheme="minorEastAsia" w:hAnsiTheme="minorEastAsia" w:cstheme="minorEastAsia"/>
          <w:color w:val="444444"/>
          <w:kern w:val="0"/>
          <w:shd w:val="clear" w:color="auto" w:fill="FFFFFF"/>
          <w:lang w:val="en-US" w:eastAsia="zh-CN"/>
        </w:rPr>
        <w:t>125.10</w:t>
      </w:r>
      <w:r>
        <w:rPr>
          <w:rFonts w:hint="eastAsia" w:asciiTheme="minorEastAsia" w:hAnsiTheme="minorEastAsia" w:cstheme="minorEastAsia"/>
          <w:color w:val="444444"/>
          <w:kern w:val="0"/>
          <w:shd w:val="clear" w:color="auto" w:fill="FFFFFF"/>
        </w:rPr>
        <w:t>万元，其中：工资福利支出82.99万元，商品和服务支出42.11元，对个人和家庭的补助</w:t>
      </w:r>
      <w:r>
        <w:rPr>
          <w:rFonts w:hint="eastAsia" w:asciiTheme="minorEastAsia" w:hAnsiTheme="minorEastAsia" w:cstheme="minorEastAsia"/>
          <w:color w:val="444444"/>
          <w:kern w:val="0"/>
          <w:shd w:val="clear" w:color="auto" w:fill="FFFFFF"/>
          <w:lang w:val="en-US" w:eastAsia="zh-CN"/>
        </w:rPr>
        <w:t>0</w:t>
      </w:r>
      <w:r>
        <w:rPr>
          <w:rFonts w:hint="eastAsia" w:asciiTheme="minorEastAsia" w:hAnsiTheme="minorEastAsia" w:cstheme="minorEastAsia"/>
          <w:color w:val="444444"/>
          <w:kern w:val="0"/>
          <w:shd w:val="clear" w:color="auto" w:fill="FFFFFF"/>
        </w:rPr>
        <w:t>万元，资本性支出0万元。</w:t>
      </w:r>
    </w:p>
    <w:p>
      <w:pPr>
        <w:pStyle w:val="4"/>
        <w:widowControl/>
        <w:spacing w:after="300" w:line="600" w:lineRule="atLeast"/>
        <w:ind w:firstLine="480" w:firstLineChars="200"/>
        <w:jc w:val="left"/>
        <w:rPr>
          <w:rFonts w:asciiTheme="minorEastAsia" w:hAnsiTheme="minorEastAsia" w:cstheme="minorEastAsia"/>
        </w:rPr>
      </w:pPr>
      <w:r>
        <w:rPr>
          <w:rFonts w:hint="eastAsia" w:asciiTheme="minorEastAsia" w:hAnsiTheme="minorEastAsia" w:cstheme="minorEastAsia"/>
          <w:color w:val="444444"/>
          <w:kern w:val="0"/>
          <w:shd w:val="clear" w:color="auto" w:fill="FFFFFF"/>
        </w:rPr>
        <w:t>2021年“三公”经费实际开支总额</w:t>
      </w:r>
      <w:r>
        <w:rPr>
          <w:rFonts w:hint="eastAsia" w:asciiTheme="minorEastAsia" w:hAnsiTheme="minorEastAsia" w:cstheme="minorEastAsia"/>
          <w:color w:val="444444"/>
          <w:kern w:val="0"/>
          <w:shd w:val="clear" w:color="auto" w:fill="FFFFFF"/>
          <w:lang w:val="en-US" w:eastAsia="zh-CN"/>
        </w:rPr>
        <w:t>0</w:t>
      </w:r>
      <w:r>
        <w:rPr>
          <w:rFonts w:hint="eastAsia" w:asciiTheme="minorEastAsia" w:hAnsiTheme="minorEastAsia" w:cstheme="minorEastAsia"/>
          <w:color w:val="444444"/>
          <w:kern w:val="0"/>
          <w:shd w:val="clear" w:color="auto" w:fill="FFFFFF"/>
        </w:rPr>
        <w:t>万元。其中：因公出国（境）费支出本年未发生。公务用车购置及运行维护费实际开支0万元（公务用车购置费未发生，公务用车运行维护费0万元），公务用车保有量0辆；公务接待费实际开支</w:t>
      </w:r>
      <w:r>
        <w:rPr>
          <w:rFonts w:hint="eastAsia" w:asciiTheme="minorEastAsia" w:hAnsiTheme="minorEastAsia" w:cstheme="minorEastAsia"/>
          <w:color w:val="444444"/>
          <w:kern w:val="0"/>
          <w:shd w:val="clear" w:color="auto" w:fill="FFFFFF"/>
          <w:lang w:val="en-US" w:eastAsia="zh-CN"/>
        </w:rPr>
        <w:t>0</w:t>
      </w:r>
      <w:r>
        <w:rPr>
          <w:rFonts w:hint="eastAsia" w:asciiTheme="minorEastAsia" w:hAnsiTheme="minorEastAsia" w:cstheme="minorEastAsia"/>
          <w:color w:val="444444"/>
          <w:kern w:val="0"/>
          <w:shd w:val="clear" w:color="auto" w:fill="FFFFFF"/>
        </w:rPr>
        <w:t>万元。</w:t>
      </w:r>
    </w:p>
    <w:p>
      <w:pPr>
        <w:pStyle w:val="4"/>
        <w:widowControl/>
        <w:spacing w:after="300" w:line="600" w:lineRule="atLeast"/>
        <w:jc w:val="left"/>
        <w:rPr>
          <w:rFonts w:asciiTheme="minorEastAsia" w:hAnsiTheme="minorEastAsia" w:cstheme="minorEastAsia"/>
        </w:rPr>
      </w:pPr>
      <w:r>
        <w:rPr>
          <w:rFonts w:hint="eastAsia" w:asciiTheme="minorEastAsia" w:hAnsiTheme="minorEastAsia" w:cstheme="minorEastAsia"/>
          <w:color w:val="444444"/>
          <w:kern w:val="0"/>
          <w:shd w:val="clear" w:color="auto" w:fill="FFFFFF"/>
        </w:rPr>
        <w:t>（二）专项支出</w:t>
      </w:r>
    </w:p>
    <w:p>
      <w:pPr>
        <w:keepNext w:val="0"/>
        <w:keepLines w:val="0"/>
        <w:widowControl/>
        <w:suppressLineNumbers w:val="0"/>
        <w:jc w:val="left"/>
        <w:rPr>
          <w:rFonts w:hint="eastAsia" w:asciiTheme="minorEastAsia" w:hAnsiTheme="minorEastAsia" w:eastAsiaTheme="minorEastAsia" w:cstheme="minorEastAsia"/>
          <w:color w:val="444444"/>
          <w:kern w:val="0"/>
          <w:sz w:val="24"/>
          <w:szCs w:val="24"/>
          <w:shd w:val="clear" w:color="auto" w:fill="FFFFFF"/>
          <w:lang w:val="en-US" w:eastAsia="zh-CN" w:bidi="ar-SA"/>
        </w:rPr>
      </w:pPr>
      <w:r>
        <w:rPr>
          <w:rFonts w:hint="eastAsia" w:asciiTheme="minorEastAsia" w:hAnsiTheme="minorEastAsia" w:eastAsiaTheme="minorEastAsia" w:cstheme="minorEastAsia"/>
          <w:color w:val="444444"/>
          <w:kern w:val="0"/>
          <w:sz w:val="24"/>
          <w:szCs w:val="24"/>
          <w:shd w:val="clear" w:color="auto" w:fill="FFFFFF"/>
          <w:lang w:val="en-US" w:eastAsia="zh-CN" w:bidi="ar-SA"/>
        </w:rPr>
        <w:t>2022 年本单位项目支出预算 0</w:t>
      </w:r>
      <w:r>
        <w:rPr>
          <w:rFonts w:hint="eastAsia" w:asciiTheme="minorEastAsia" w:hAnsiTheme="minorEastAsia" w:cstheme="minorEastAsia"/>
          <w:color w:val="444444"/>
          <w:kern w:val="0"/>
          <w:sz w:val="24"/>
          <w:szCs w:val="24"/>
          <w:shd w:val="clear" w:color="auto" w:fill="FFFFFF"/>
          <w:lang w:val="en-US" w:eastAsia="zh-CN" w:bidi="ar-SA"/>
        </w:rPr>
        <w:t>万元</w:t>
      </w:r>
      <w:r>
        <w:rPr>
          <w:rFonts w:hint="eastAsia" w:asciiTheme="minorEastAsia" w:hAnsiTheme="minorEastAsia" w:eastAsiaTheme="minorEastAsia" w:cstheme="minorEastAsia"/>
          <w:color w:val="444444"/>
          <w:kern w:val="0"/>
          <w:sz w:val="24"/>
          <w:szCs w:val="24"/>
          <w:shd w:val="clear" w:color="auto" w:fill="FFFFFF"/>
          <w:lang w:val="en-US" w:eastAsia="zh-CN" w:bidi="ar-SA"/>
        </w:rPr>
        <w:t>，主要是部门为完成特定行政工作任务或事业发展目标而发生的支出， 包括有关事业发展专项、专项业务费、基本建设支出等。</w:t>
      </w:r>
    </w:p>
    <w:p>
      <w:pPr>
        <w:pStyle w:val="4"/>
        <w:widowControl/>
        <w:spacing w:after="300" w:line="600" w:lineRule="atLeast"/>
        <w:jc w:val="left"/>
        <w:rPr>
          <w:rFonts w:hint="eastAsia" w:asciiTheme="minorEastAsia" w:hAnsiTheme="minorEastAsia" w:eastAsiaTheme="minorEastAsia" w:cstheme="minorEastAsia"/>
          <w:color w:val="444444"/>
          <w:kern w:val="0"/>
          <w:sz w:val="24"/>
          <w:szCs w:val="24"/>
          <w:shd w:val="clear" w:color="auto" w:fill="FFFFFF"/>
          <w:lang w:val="en-US" w:eastAsia="zh-CN" w:bidi="ar-SA"/>
        </w:rPr>
      </w:pPr>
      <w:r>
        <w:rPr>
          <w:rFonts w:hint="eastAsia" w:asciiTheme="minorEastAsia" w:hAnsiTheme="minorEastAsia" w:eastAsiaTheme="minorEastAsia" w:cstheme="minorEastAsia"/>
          <w:color w:val="444444"/>
          <w:kern w:val="0"/>
          <w:sz w:val="24"/>
          <w:szCs w:val="24"/>
          <w:shd w:val="clear" w:color="auto" w:fill="FFFFFF"/>
          <w:lang w:val="en-US" w:eastAsia="zh-CN" w:bidi="ar-SA"/>
        </w:rPr>
        <w:t>三、资产管理情况</w:t>
      </w:r>
    </w:p>
    <w:p>
      <w:pPr>
        <w:pStyle w:val="4"/>
        <w:widowControl/>
        <w:spacing w:after="300" w:line="600" w:lineRule="atLeast"/>
        <w:ind w:firstLine="480" w:firstLineChars="200"/>
        <w:jc w:val="left"/>
        <w:rPr>
          <w:rFonts w:asciiTheme="minorEastAsia" w:hAnsiTheme="minorEastAsia" w:cstheme="minorEastAsia"/>
        </w:rPr>
      </w:pPr>
      <w:r>
        <w:rPr>
          <w:rFonts w:hint="eastAsia" w:asciiTheme="minorEastAsia" w:hAnsiTheme="minorEastAsia" w:eastAsiaTheme="minorEastAsia" w:cstheme="minorEastAsia"/>
          <w:color w:val="444444"/>
          <w:kern w:val="0"/>
          <w:sz w:val="24"/>
          <w:szCs w:val="24"/>
          <w:shd w:val="clear" w:color="auto" w:fill="FFFFFF"/>
          <w:lang w:val="en-US" w:eastAsia="zh-CN" w:bidi="ar-SA"/>
        </w:rPr>
        <w:t>我</w:t>
      </w:r>
      <w:r>
        <w:rPr>
          <w:rFonts w:hint="eastAsia" w:asciiTheme="minorEastAsia" w:hAnsiTheme="minorEastAsia" w:cstheme="minorEastAsia"/>
          <w:color w:val="444444"/>
          <w:kern w:val="0"/>
          <w:sz w:val="24"/>
          <w:szCs w:val="24"/>
          <w:shd w:val="clear" w:color="auto" w:fill="FFFFFF"/>
          <w:lang w:val="en-US" w:eastAsia="zh-CN" w:bidi="ar-SA"/>
        </w:rPr>
        <w:t>校</w:t>
      </w:r>
      <w:r>
        <w:rPr>
          <w:rFonts w:hint="eastAsia" w:asciiTheme="minorEastAsia" w:hAnsiTheme="minorEastAsia" w:eastAsiaTheme="minorEastAsia" w:cstheme="minorEastAsia"/>
          <w:color w:val="444444"/>
          <w:kern w:val="0"/>
          <w:sz w:val="24"/>
          <w:szCs w:val="24"/>
          <w:shd w:val="clear" w:color="auto" w:fill="FFFFFF"/>
          <w:lang w:val="en-US" w:eastAsia="zh-CN" w:bidi="ar-SA"/>
        </w:rPr>
        <w:t>资产管理由</w:t>
      </w:r>
      <w:r>
        <w:rPr>
          <w:rFonts w:hint="eastAsia" w:asciiTheme="minorEastAsia" w:hAnsiTheme="minorEastAsia" w:cstheme="minorEastAsia"/>
          <w:color w:val="444444"/>
          <w:kern w:val="0"/>
          <w:sz w:val="24"/>
          <w:szCs w:val="24"/>
          <w:shd w:val="clear" w:color="auto" w:fill="FFFFFF"/>
          <w:lang w:val="en-US" w:eastAsia="zh-CN" w:bidi="ar-SA"/>
        </w:rPr>
        <w:t>校务处</w:t>
      </w:r>
      <w:r>
        <w:rPr>
          <w:rFonts w:hint="eastAsia" w:asciiTheme="minorEastAsia" w:hAnsiTheme="minorEastAsia" w:eastAsiaTheme="minorEastAsia" w:cstheme="minorEastAsia"/>
          <w:color w:val="444444"/>
          <w:kern w:val="0"/>
          <w:sz w:val="24"/>
          <w:szCs w:val="24"/>
          <w:shd w:val="clear" w:color="auto" w:fill="FFFFFF"/>
          <w:lang w:val="en-US" w:eastAsia="zh-CN" w:bidi="ar-SA"/>
        </w:rPr>
        <w:t>负责，资产采购按程序实行</w:t>
      </w:r>
      <w:r>
        <w:rPr>
          <w:rFonts w:hint="eastAsia" w:asciiTheme="minorEastAsia" w:hAnsiTheme="minorEastAsia" w:cstheme="minorEastAsia"/>
        </w:rPr>
        <w:t>报批采购，统一在政采云平台下单，采购后登记入账，录入资产信息系统，再派发到相关业务股室。一是我</w:t>
      </w:r>
      <w:r>
        <w:rPr>
          <w:rFonts w:hint="eastAsia" w:asciiTheme="minorEastAsia" w:hAnsiTheme="minorEastAsia" w:cstheme="minorEastAsia"/>
          <w:lang w:val="en-US" w:eastAsia="zh-CN"/>
        </w:rPr>
        <w:t>校</w:t>
      </w:r>
      <w:r>
        <w:rPr>
          <w:rFonts w:hint="eastAsia" w:asciiTheme="minorEastAsia" w:hAnsiTheme="minorEastAsia" w:cstheme="minorEastAsia"/>
        </w:rPr>
        <w:t>资产管理和使用坚持统一政策、统一领导、分级管理、责任到人、物尽其用的原则。二是运用资产信息管理系统加强资产管理。对固定资产分别按使用部门、存放地点和使用人顺序编排编码排序，统一录入“一物一条码”信息管理系统，按要求统一粘贴到固定资产上，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p>
    <w:p>
      <w:pPr>
        <w:pStyle w:val="4"/>
        <w:widowControl/>
        <w:spacing w:after="300" w:line="600" w:lineRule="atLeast"/>
        <w:ind w:firstLine="480" w:firstLineChars="200"/>
        <w:jc w:val="left"/>
        <w:rPr>
          <w:rFonts w:asciiTheme="minorEastAsia" w:hAnsiTheme="minorEastAsia" w:cstheme="minorEastAsia"/>
        </w:rPr>
      </w:pPr>
      <w:r>
        <w:rPr>
          <w:rFonts w:hint="eastAsia" w:asciiTheme="minorEastAsia" w:hAnsiTheme="minorEastAsia" w:cstheme="minorEastAsia"/>
          <w:color w:val="444444"/>
          <w:kern w:val="0"/>
          <w:shd w:val="clear" w:color="auto" w:fill="FFFFFF"/>
        </w:rPr>
        <w:t>截至2021年12月31日，邵阳市北塔区教育局资产总额为9213.8323万元，主要由以下部分构成：流动资产335.31万元,占资产总额的3.64%,主要为其他应收款等;固定资产1144.19万元,占资产总额的12.42%，主要包括房屋、公务用车、办公设备等，在建工程8637.49万，占资产总额93.74%。</w:t>
      </w:r>
      <w:r>
        <w:rPr>
          <w:rFonts w:hint="eastAsia" w:asciiTheme="minorEastAsia" w:hAnsiTheme="minorEastAsia" w:cstheme="minorEastAsia"/>
          <w:color w:val="444444"/>
          <w:shd w:val="clear" w:color="auto" w:fill="FFFFFF"/>
        </w:rPr>
        <w:t> </w:t>
      </w:r>
    </w:p>
    <w:p>
      <w:pPr>
        <w:pStyle w:val="4"/>
        <w:widowControl/>
        <w:spacing w:after="300" w:line="600" w:lineRule="atLeast"/>
        <w:jc w:val="left"/>
        <w:rPr>
          <w:rFonts w:asciiTheme="minorEastAsia" w:hAnsiTheme="minorEastAsia" w:cstheme="minorEastAsia"/>
        </w:rPr>
      </w:pPr>
      <w:r>
        <w:rPr>
          <w:rFonts w:hint="eastAsia" w:asciiTheme="minorEastAsia" w:hAnsiTheme="minorEastAsia" w:cstheme="minorEastAsia"/>
          <w:color w:val="444444"/>
          <w:kern w:val="0"/>
          <w:shd w:val="clear" w:color="auto" w:fill="FFFFFF"/>
        </w:rPr>
        <w:t>四、部门整体支出绩效情况</w:t>
      </w:r>
    </w:p>
    <w:p>
      <w:pPr>
        <w:pStyle w:val="4"/>
        <w:widowControl/>
        <w:spacing w:after="300" w:line="600" w:lineRule="atLeast"/>
        <w:ind w:firstLine="480" w:firstLineChars="200"/>
        <w:jc w:val="left"/>
        <w:rPr>
          <w:rFonts w:asciiTheme="minorEastAsia" w:hAnsiTheme="minorEastAsia" w:cstheme="minorEastAsia"/>
        </w:rPr>
      </w:pPr>
      <w:r>
        <w:rPr>
          <w:rFonts w:hint="eastAsia" w:asciiTheme="minorEastAsia" w:hAnsiTheme="minorEastAsia" w:cstheme="minorEastAsia"/>
          <w:color w:val="444444"/>
          <w:kern w:val="0"/>
          <w:shd w:val="clear" w:color="auto" w:fill="FFFFFF"/>
        </w:rPr>
        <w:t>2021年，我</w:t>
      </w:r>
      <w:r>
        <w:rPr>
          <w:rFonts w:hint="eastAsia" w:asciiTheme="minorEastAsia" w:hAnsiTheme="minorEastAsia" w:cstheme="minorEastAsia"/>
          <w:color w:val="444444"/>
          <w:kern w:val="0"/>
          <w:shd w:val="clear" w:color="auto" w:fill="FFFFFF"/>
          <w:lang w:val="en-US" w:eastAsia="zh-CN"/>
        </w:rPr>
        <w:t>校</w:t>
      </w:r>
      <w:r>
        <w:rPr>
          <w:rFonts w:hint="eastAsia" w:asciiTheme="minorEastAsia" w:hAnsiTheme="minorEastAsia" w:cstheme="minorEastAsia"/>
          <w:color w:val="444444"/>
          <w:kern w:val="0"/>
          <w:shd w:val="clear" w:color="auto" w:fill="FFFFFF"/>
        </w:rPr>
        <w:t>充分履行职责职能，严格执行各项管理制度，经济、社会等效益显著、社会公众满意度上升，较好地完成了全年工作目标。</w:t>
      </w:r>
    </w:p>
    <w:p>
      <w:pPr>
        <w:pStyle w:val="4"/>
        <w:widowControl/>
        <w:numPr>
          <w:ilvl w:val="0"/>
          <w:numId w:val="1"/>
        </w:numPr>
        <w:spacing w:after="300" w:line="600" w:lineRule="atLeast"/>
        <w:jc w:val="left"/>
        <w:rPr>
          <w:rFonts w:asciiTheme="minorEastAsia" w:hAnsiTheme="minorEastAsia" w:cstheme="minorEastAsia"/>
          <w:color w:val="444444"/>
          <w:kern w:val="0"/>
          <w:shd w:val="clear" w:color="auto" w:fill="FFFFFF"/>
        </w:rPr>
      </w:pPr>
      <w:r>
        <w:rPr>
          <w:rFonts w:hint="eastAsia" w:asciiTheme="minorEastAsia" w:hAnsiTheme="minorEastAsia" w:cstheme="minorEastAsia"/>
          <w:b/>
          <w:bCs/>
        </w:rPr>
        <w:t>强化教育履职。</w:t>
      </w:r>
      <w:r>
        <w:rPr>
          <w:rFonts w:hint="eastAsia" w:asciiTheme="minorEastAsia" w:hAnsiTheme="minorEastAsia" w:cstheme="minorEastAsia"/>
        </w:rPr>
        <w:t>加强了“党委统一领导、党政齐抓共管、部门各负其责”的教育工作领导体制，确立了将教育作为“民生福区”的首要举措，以“把北塔区打造成为湖南教育优质均衡示范区”为目标，在推进教育高质量发展上闯出新路子、展现新作为。</w:t>
      </w:r>
    </w:p>
    <w:p>
      <w:pPr>
        <w:pStyle w:val="4"/>
        <w:widowControl/>
        <w:numPr>
          <w:ilvl w:val="0"/>
          <w:numId w:val="1"/>
        </w:numPr>
        <w:spacing w:after="300" w:line="600" w:lineRule="atLeast"/>
        <w:jc w:val="left"/>
        <w:rPr>
          <w:rFonts w:asciiTheme="minorEastAsia" w:hAnsiTheme="minorEastAsia" w:cstheme="minorEastAsia"/>
          <w:color w:val="444444"/>
          <w:kern w:val="0"/>
          <w:shd w:val="clear" w:color="auto" w:fill="FFFFFF"/>
        </w:rPr>
      </w:pPr>
      <w:r>
        <w:rPr>
          <w:rFonts w:hint="eastAsia" w:asciiTheme="minorEastAsia" w:hAnsiTheme="minorEastAsia" w:cstheme="minorEastAsia"/>
          <w:b/>
          <w:bCs/>
        </w:rPr>
        <w:t>强化理论武装。</w:t>
      </w:r>
      <w:r>
        <w:rPr>
          <w:rFonts w:hint="eastAsia" w:asciiTheme="minorEastAsia" w:hAnsiTheme="minorEastAsia" w:cstheme="minorEastAsia"/>
          <w:spacing w:val="8"/>
        </w:rPr>
        <w:t>坚持把学习贯彻新时代党的创新理论作为首要政治任务，推行教育系统理论学习中心组学习“每月一次、上下同题”，分级分类抓好党史学习教育、五中六中全会精神学习，广泛开展宣传宣讲，深学细照笃行。</w:t>
      </w:r>
    </w:p>
    <w:p>
      <w:pPr>
        <w:pStyle w:val="4"/>
        <w:widowControl/>
        <w:numPr>
          <w:ilvl w:val="0"/>
          <w:numId w:val="1"/>
        </w:numPr>
        <w:spacing w:after="300" w:line="600" w:lineRule="atLeast"/>
        <w:jc w:val="left"/>
        <w:rPr>
          <w:rFonts w:asciiTheme="minorEastAsia" w:hAnsiTheme="minorEastAsia" w:cstheme="minorEastAsia"/>
          <w:color w:val="444444"/>
          <w:kern w:val="0"/>
          <w:shd w:val="clear" w:color="auto" w:fill="FFFFFF"/>
        </w:rPr>
      </w:pPr>
      <w:r>
        <w:rPr>
          <w:rFonts w:hint="eastAsia" w:asciiTheme="minorEastAsia" w:hAnsiTheme="minorEastAsia" w:cstheme="minorEastAsia"/>
          <w:b/>
          <w:bCs/>
        </w:rPr>
        <w:t>强化党建引领。</w:t>
      </w:r>
      <w:r>
        <w:rPr>
          <w:rFonts w:hint="eastAsia" w:asciiTheme="minorEastAsia" w:hAnsiTheme="minorEastAsia" w:cstheme="minorEastAsia"/>
        </w:rPr>
        <w:t>全面落实党组织领导下的校长负责制，在基层党支部支部中实施“党建+”“双培养”工程，在团员青年中大力开展“青年大学习”，在广大少先队员中开展“系好人生第一粒扣子”系列主题活动，党建引领、群团跟进。</w:t>
      </w:r>
    </w:p>
    <w:p>
      <w:pPr>
        <w:pStyle w:val="4"/>
        <w:widowControl/>
        <w:numPr>
          <w:ilvl w:val="0"/>
          <w:numId w:val="1"/>
        </w:numPr>
        <w:spacing w:after="300" w:line="600" w:lineRule="atLeast"/>
        <w:jc w:val="left"/>
        <w:rPr>
          <w:rFonts w:asciiTheme="minorEastAsia" w:hAnsiTheme="minorEastAsia" w:cstheme="minorEastAsia"/>
          <w:color w:val="444444"/>
          <w:kern w:val="0"/>
          <w:shd w:val="clear" w:color="auto" w:fill="FFFFFF"/>
        </w:rPr>
      </w:pPr>
      <w:r>
        <w:rPr>
          <w:rFonts w:hint="eastAsia" w:asciiTheme="minorEastAsia" w:hAnsiTheme="minorEastAsia" w:cstheme="minorEastAsia"/>
          <w:b/>
          <w:bCs/>
        </w:rPr>
        <w:t>强化执纪监督。</w:t>
      </w:r>
      <w:r>
        <w:rPr>
          <w:rFonts w:hint="eastAsia" w:asciiTheme="minorEastAsia" w:hAnsiTheme="minorEastAsia" w:cstheme="minorEastAsia"/>
        </w:rPr>
        <w:t>压紧压实全面从严治党主体责任，将清廉之责嵌入教育履职的出发点，以“师德师风建设年”为契机，通过开展“六个一”活动，筑牢班子、党员和广大教师清廉履职的“防火墙”，“崇廉倡廉”成为办学治校的有力抓手，“清廉学校”创建收到了扎实成效。</w:t>
      </w:r>
    </w:p>
    <w:p>
      <w:pPr>
        <w:pStyle w:val="4"/>
        <w:widowControl/>
        <w:spacing w:after="300" w:line="600" w:lineRule="atLeast"/>
        <w:jc w:val="left"/>
        <w:rPr>
          <w:rFonts w:asciiTheme="minorEastAsia" w:hAnsiTheme="minorEastAsia" w:cstheme="minorEastAsia"/>
        </w:rPr>
      </w:pPr>
      <w:r>
        <w:rPr>
          <w:rFonts w:hint="eastAsia" w:asciiTheme="minorEastAsia" w:hAnsiTheme="minorEastAsia" w:cstheme="minorEastAsia"/>
          <w:color w:val="444444"/>
          <w:kern w:val="0"/>
          <w:shd w:val="clear" w:color="auto" w:fill="FFFFFF"/>
        </w:rPr>
        <w:t>五、综合评价情况及评价结论</w:t>
      </w:r>
    </w:p>
    <w:p>
      <w:pPr>
        <w:pStyle w:val="4"/>
        <w:widowControl/>
        <w:spacing w:after="300" w:line="600" w:lineRule="atLeast"/>
        <w:ind w:firstLine="480" w:firstLineChars="200"/>
        <w:jc w:val="left"/>
        <w:rPr>
          <w:rFonts w:asciiTheme="minorEastAsia" w:hAnsiTheme="minorEastAsia" w:cstheme="minorEastAsia"/>
        </w:rPr>
      </w:pPr>
      <w:r>
        <w:rPr>
          <w:rFonts w:hint="eastAsia" w:asciiTheme="minorEastAsia" w:hAnsiTheme="minorEastAsia" w:cstheme="minorEastAsia"/>
          <w:color w:val="444444"/>
          <w:kern w:val="0"/>
          <w:shd w:val="clear" w:color="auto" w:fill="FFFFFF"/>
        </w:rPr>
        <w:t>2021年我</w:t>
      </w:r>
      <w:r>
        <w:rPr>
          <w:rFonts w:hint="eastAsia" w:asciiTheme="minorEastAsia" w:hAnsiTheme="minorEastAsia" w:cstheme="minorEastAsia"/>
          <w:color w:val="444444"/>
          <w:kern w:val="0"/>
          <w:shd w:val="clear" w:color="auto" w:fill="FFFFFF"/>
          <w:lang w:val="en-US" w:eastAsia="zh-CN"/>
        </w:rPr>
        <w:t>校</w:t>
      </w:r>
      <w:r>
        <w:rPr>
          <w:rFonts w:hint="eastAsia" w:asciiTheme="minorEastAsia" w:hAnsiTheme="minorEastAsia" w:cstheme="minorEastAsia"/>
          <w:color w:val="444444"/>
          <w:kern w:val="0"/>
          <w:shd w:val="clear" w:color="auto" w:fill="FFFFFF"/>
        </w:rPr>
        <w:t>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w:t>
      </w:r>
      <w:r>
        <w:rPr>
          <w:rFonts w:hint="eastAsia" w:asciiTheme="minorEastAsia" w:hAnsiTheme="minorEastAsia" w:cstheme="minorEastAsia"/>
          <w:color w:val="444444"/>
          <w:kern w:val="0"/>
          <w:shd w:val="clear" w:color="auto" w:fill="FFFFFF"/>
          <w:lang w:val="en-US" w:eastAsia="zh-CN"/>
        </w:rPr>
        <w:t>校</w:t>
      </w:r>
      <w:r>
        <w:rPr>
          <w:rFonts w:hint="eastAsia" w:asciiTheme="minorEastAsia" w:hAnsiTheme="minorEastAsia" w:cstheme="minorEastAsia"/>
          <w:color w:val="444444"/>
          <w:kern w:val="0"/>
          <w:shd w:val="clear" w:color="auto" w:fill="FFFFFF"/>
        </w:rPr>
        <w:t>整体支出绩效自评</w:t>
      </w:r>
      <w:r>
        <w:rPr>
          <w:rFonts w:hint="eastAsia" w:asciiTheme="minorEastAsia" w:hAnsiTheme="minorEastAsia" w:cstheme="minorEastAsia"/>
          <w:color w:val="444444"/>
          <w:kern w:val="0"/>
          <w:shd w:val="clear" w:color="auto" w:fill="FFFFFF"/>
          <w:lang w:val="en-US" w:eastAsia="zh-CN"/>
        </w:rPr>
        <w:t>90</w:t>
      </w:r>
      <w:bookmarkStart w:id="1" w:name="_GoBack"/>
      <w:bookmarkEnd w:id="1"/>
      <w:r>
        <w:rPr>
          <w:rFonts w:hint="eastAsia" w:asciiTheme="minorEastAsia" w:hAnsiTheme="minorEastAsia" w:cstheme="minorEastAsia"/>
          <w:color w:val="444444"/>
          <w:kern w:val="0"/>
          <w:shd w:val="clear" w:color="auto" w:fill="FFFFFF"/>
        </w:rPr>
        <w:t>分，自评结果为合格。</w:t>
      </w:r>
    </w:p>
    <w:p>
      <w:pPr>
        <w:spacing w:line="600" w:lineRule="exact"/>
        <w:rPr>
          <w:rFonts w:asciiTheme="minorEastAsia" w:hAnsiTheme="minorEastAsia" w:cstheme="minorEastAsia"/>
          <w:kern w:val="0"/>
          <w:sz w:val="24"/>
        </w:rPr>
      </w:pPr>
      <w:bookmarkStart w:id="0" w:name="RANGE!A1:H22"/>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r>
        <w:rPr>
          <w:rFonts w:hint="eastAsia" w:asciiTheme="minorEastAsia" w:hAnsiTheme="minorEastAsia" w:cstheme="minorEastAsia"/>
          <w:kern w:val="0"/>
          <w:sz w:val="24"/>
        </w:rPr>
        <w:t>附件</w:t>
      </w:r>
      <w:bookmarkEnd w:id="0"/>
      <w:r>
        <w:rPr>
          <w:rFonts w:hint="eastAsia" w:asciiTheme="minorEastAsia" w:hAnsiTheme="minorEastAsia" w:cstheme="minorEastAsia"/>
          <w:kern w:val="0"/>
          <w:sz w:val="24"/>
        </w:rPr>
        <w:t>1</w:t>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p>
    <w:p>
      <w:pPr>
        <w:spacing w:line="600" w:lineRule="exact"/>
        <w:jc w:val="center"/>
        <w:rPr>
          <w:rFonts w:asciiTheme="minorEastAsia" w:hAnsiTheme="minorEastAsia" w:cstheme="minorEastAsia"/>
          <w:bCs/>
          <w:kern w:val="0"/>
          <w:sz w:val="24"/>
        </w:rPr>
      </w:pPr>
      <w:r>
        <w:rPr>
          <w:rFonts w:hint="eastAsia" w:asciiTheme="minorEastAsia" w:hAnsiTheme="minorEastAsia" w:cstheme="minorEastAsia"/>
          <w:bCs/>
          <w:kern w:val="0"/>
          <w:sz w:val="24"/>
        </w:rPr>
        <w:t>部门整体支出绩效评价指标评分表</w:t>
      </w:r>
    </w:p>
    <w:tbl>
      <w:tblPr>
        <w:tblStyle w:val="5"/>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一级指标</w:t>
            </w:r>
          </w:p>
        </w:tc>
        <w:tc>
          <w:tcPr>
            <w:tcW w:w="429"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二级指标</w:t>
            </w:r>
          </w:p>
        </w:tc>
        <w:tc>
          <w:tcPr>
            <w:tcW w:w="567"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分值</w:t>
            </w:r>
          </w:p>
        </w:tc>
        <w:tc>
          <w:tcPr>
            <w:tcW w:w="851"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三级   指标</w:t>
            </w:r>
          </w:p>
        </w:tc>
        <w:tc>
          <w:tcPr>
            <w:tcW w:w="567"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分值</w:t>
            </w:r>
          </w:p>
        </w:tc>
        <w:tc>
          <w:tcPr>
            <w:tcW w:w="3118"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评价标准</w:t>
            </w:r>
          </w:p>
        </w:tc>
        <w:tc>
          <w:tcPr>
            <w:tcW w:w="3472"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备注</w:t>
            </w:r>
          </w:p>
        </w:tc>
        <w:tc>
          <w:tcPr>
            <w:tcW w:w="617"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投    入</w:t>
            </w:r>
          </w:p>
        </w:tc>
        <w:tc>
          <w:tcPr>
            <w:tcW w:w="429" w:type="dxa"/>
            <w:vMerge w:val="restart"/>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预算配置</w:t>
            </w:r>
          </w:p>
        </w:tc>
        <w:tc>
          <w:tcPr>
            <w:tcW w:w="567" w:type="dxa"/>
            <w:vMerge w:val="restart"/>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18</w:t>
            </w:r>
          </w:p>
        </w:tc>
        <w:tc>
          <w:tcPr>
            <w:tcW w:w="851" w:type="dxa"/>
            <w:vAlign w:val="center"/>
          </w:tcPr>
          <w:p>
            <w:pPr>
              <w:widowControl/>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“三公经费”</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“三公经费”变动率≤0,计3分；“三公经费”＞0，每超过一个百分点扣0.3分，扣完为止。</w:t>
            </w:r>
          </w:p>
        </w:tc>
        <w:tc>
          <w:tcPr>
            <w:tcW w:w="3472" w:type="dxa"/>
            <w:vAlign w:val="center"/>
          </w:tcPr>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“三公经费”变动率=[（本年度“三公经费”总额-上年度“三公经费”总额）/上年度“三公经费”总额]×100%。</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“三公经费”：指政府部门人员因公出国（境）经费、公务车购置及运行费、公务招待费产生的消费。</w:t>
            </w:r>
          </w:p>
        </w:tc>
        <w:tc>
          <w:tcPr>
            <w:tcW w:w="617" w:type="dxa"/>
            <w:vAlign w:val="center"/>
          </w:tcPr>
          <w:p>
            <w:pPr>
              <w:widowControl/>
              <w:jc w:val="center"/>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   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①招待费用明确招待标准和招待人数,1分;②车辆维护、燃油使用政府定点，1分。③制定“三公经费”管理办法，1分，每少一项扣1分，扣完为止。</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招待费变动率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“公务招待费”变动率≤0,计2分；“公务招待费变动率”＞0，每超过一个百分点扣0.2分，扣完为止。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公务招待费变动率=[（本年度“公务招待费”总额-上年度“公务招待费”总额）/上年度“公务招待费”总额]×100%。</w:t>
            </w:r>
          </w:p>
        </w:tc>
        <w:tc>
          <w:tcPr>
            <w:tcW w:w="617" w:type="dxa"/>
            <w:vAlign w:val="center"/>
          </w:tcPr>
          <w:p>
            <w:pPr>
              <w:widowControl/>
              <w:jc w:val="center"/>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公务用车购置</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运行费</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“公务用车购置运行费”变动率≤0,计2分；“公务用车购置运行费变动率”＞0，每超过一个百分点扣0.2分，扣完为止。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公务用车购置运行费变动率=[（本年度“公务用车购置运行费”总额-上年度“公务用车购置运行费”总额）/上年度“公务用车购置运行费”总额]×100%。</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商品 和服务支出 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“商品和服务支出”变动率≤0,计2分；“商品和服务支出”变动率＞0，每超过一个百分点扣0.2分，扣完为止。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“商品和服务支出”变动率=[（本年度“商品和服务支出”总额-上年度“商品和服务支出”总额）/上年度“商品和服务支出”总额]×100%。</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  支出  安排率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重点支出安排率≥90%，计2分；80%（含）-90%，计1分；70%（含）-80%，计0.5分；低于70%不得分。</w:t>
            </w:r>
          </w:p>
        </w:tc>
        <w:tc>
          <w:tcPr>
            <w:tcW w:w="3472" w:type="dxa"/>
            <w:vAlign w:val="center"/>
          </w:tcPr>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重点支出安排率=（重点项目支出/项目总支出）×100%</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 收入 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①实行收支两条线，1分；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②未发生截留、坐支或转移，1分。以上每发现一次违规现象扣1分，扣完为止。</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 收入 完成率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非税收入完成率100%，2分，每少一个百分点，扣0.1分，扣完为止。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非税收入完成率=（2021年度非税实际收入完成数/2021年度非税收入预算数）×100%，有减免因素的，以非税局确定的为准。</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textDirection w:val="tbRlV"/>
            <w:vAlign w:val="center"/>
          </w:tcPr>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过    程</w:t>
            </w:r>
          </w:p>
          <w:p>
            <w:pPr>
              <w:widowControl/>
              <w:ind w:left="113" w:right="113"/>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过      程</w:t>
            </w:r>
          </w:p>
        </w:tc>
        <w:tc>
          <w:tcPr>
            <w:tcW w:w="429" w:type="dxa"/>
            <w:vMerge w:val="restart"/>
            <w:tcBorders>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预算执行</w:t>
            </w:r>
          </w:p>
        </w:tc>
        <w:tc>
          <w:tcPr>
            <w:tcW w:w="567" w:type="dxa"/>
            <w:vMerge w:val="restart"/>
            <w:tcBorders>
              <w:lef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8</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  完成率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完成率&lt;1，计2分，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完成率=1，计1分，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完成率&gt;1，不得分。</w:t>
            </w:r>
          </w:p>
          <w:p>
            <w:pPr>
              <w:widowControl/>
              <w:jc w:val="left"/>
              <w:rPr>
                <w:rFonts w:asciiTheme="minorEastAsia" w:hAnsiTheme="minorEastAsia" w:cstheme="minorEastAsia"/>
                <w:kern w:val="0"/>
                <w:sz w:val="18"/>
                <w:szCs w:val="18"/>
              </w:rPr>
            </w:pPr>
          </w:p>
        </w:tc>
        <w:tc>
          <w:tcPr>
            <w:tcW w:w="3472" w:type="dxa"/>
            <w:vAlign w:val="center"/>
          </w:tcPr>
          <w:p>
            <w:pPr>
              <w:autoSpaceDN w:val="0"/>
              <w:jc w:val="left"/>
              <w:textAlignment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hint="default"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vAlign w:val="center"/>
          </w:tcPr>
          <w:p>
            <w:pPr>
              <w:jc w:val="center"/>
              <w:rPr>
                <w:rFonts w:asciiTheme="minorEastAsia" w:hAnsiTheme="minorEastAsia" w:cstheme="minorEastAsia"/>
                <w:kern w:val="0"/>
                <w:sz w:val="18"/>
                <w:szCs w:val="18"/>
              </w:rPr>
            </w:pPr>
          </w:p>
        </w:tc>
        <w:tc>
          <w:tcPr>
            <w:tcW w:w="429" w:type="dxa"/>
            <w:vMerge w:val="continue"/>
            <w:tcBorders>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tcBorders>
            <w:vAlign w:val="center"/>
          </w:tcPr>
          <w:p>
            <w:pPr>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资金  结余</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结余超过10%（不含），2分；结余在0-10%（含）的，1分；本年超支不得分。</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本项结余不含未完工项目资金的结转数。</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vAlign w:val="center"/>
          </w:tcPr>
          <w:p>
            <w:pPr>
              <w:jc w:val="center"/>
              <w:rPr>
                <w:rFonts w:asciiTheme="minorEastAsia" w:hAnsiTheme="minorEastAsia" w:cstheme="minorEastAsia"/>
                <w:kern w:val="0"/>
                <w:sz w:val="18"/>
                <w:szCs w:val="18"/>
              </w:rPr>
            </w:pPr>
          </w:p>
        </w:tc>
        <w:tc>
          <w:tcPr>
            <w:tcW w:w="429" w:type="dxa"/>
            <w:vMerge w:val="continue"/>
            <w:tcBorders>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tcBorders>
            <w:vAlign w:val="center"/>
          </w:tcPr>
          <w:p>
            <w:pPr>
              <w:jc w:val="center"/>
              <w:rPr>
                <w:rFonts w:asciiTheme="minorEastAsia" w:hAnsiTheme="minorEastAsia" w:cstheme="minorEastAsia"/>
                <w:kern w:val="0"/>
                <w:sz w:val="18"/>
                <w:szCs w:val="18"/>
              </w:rPr>
            </w:pPr>
          </w:p>
        </w:tc>
        <w:tc>
          <w:tcPr>
            <w:tcW w:w="851" w:type="dxa"/>
            <w:vAlign w:val="center"/>
          </w:tcPr>
          <w:p>
            <w:pPr>
              <w:widowControl/>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“三公经费”</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控制率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以100%为标准。三公经费控制率≤100%，计2分；每超过一个百分点扣0.2分，扣完为止。单位没有制定“三公”经费预算，该项不得分。</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“三公经费”控制率=（“三公经费”实际支出数/“三公经费”预算安排数）×100%。</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vAlign w:val="center"/>
          </w:tcPr>
          <w:p>
            <w:pPr>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政府</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采购</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①编制政府采购年度预算并上报的，0.5分；②追加并编制政府采购预算的，0.5分；③政府采购执行率=100%，计1分；每少一个百分点扣0.1分，扣完为止。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政府采购执行率=（实际实行政府采购金额/应实行政府采购金额）×100%。应实行政府采金额以《湘财购[2012]27号》文件为标准。</w:t>
            </w:r>
          </w:p>
        </w:tc>
        <w:tc>
          <w:tcPr>
            <w:tcW w:w="617" w:type="dxa"/>
            <w:vAlign w:val="center"/>
          </w:tcPr>
          <w:p>
            <w:pPr>
              <w:widowControl/>
              <w:jc w:val="center"/>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restart"/>
            <w:tcBorders>
              <w:top w:val="single" w:color="auto" w:sz="4" w:space="0"/>
              <w:right w:val="single" w:color="auto" w:sz="4" w:space="0"/>
            </w:tcBorders>
            <w:vAlign w:val="center"/>
          </w:tcPr>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预算管理</w:t>
            </w:r>
          </w:p>
        </w:tc>
        <w:tc>
          <w:tcPr>
            <w:tcW w:w="567" w:type="dxa"/>
            <w:vMerge w:val="restart"/>
            <w:tcBorders>
              <w:top w:val="single" w:color="auto" w:sz="4" w:space="0"/>
              <w:left w:val="single" w:color="auto" w:sz="4" w:space="0"/>
            </w:tcBorders>
            <w:vAlign w:val="center"/>
          </w:tcPr>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28</w:t>
            </w:r>
          </w:p>
        </w:tc>
        <w:tc>
          <w:tcPr>
            <w:tcW w:w="851" w:type="dxa"/>
            <w:tcBorders>
              <w:top w:val="single" w:color="auto" w:sz="4" w:space="0"/>
            </w:tcBorders>
            <w:vAlign w:val="center"/>
          </w:tcPr>
          <w:p>
            <w:pPr>
              <w:widowControl/>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管理  制度</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健全性</w:t>
            </w:r>
          </w:p>
        </w:tc>
        <w:tc>
          <w:tcPr>
            <w:tcW w:w="567" w:type="dxa"/>
            <w:tcBorders>
              <w:top w:val="single" w:color="auto" w:sz="4" w:space="0"/>
            </w:tcBorders>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p>
            <w:pPr>
              <w:widowControl/>
              <w:rPr>
                <w:rFonts w:asciiTheme="minorEastAsia" w:hAnsiTheme="minorEastAsia" w:cstheme="minorEastAsia"/>
                <w:kern w:val="0"/>
                <w:sz w:val="18"/>
                <w:szCs w:val="18"/>
              </w:rPr>
            </w:pPr>
          </w:p>
        </w:tc>
        <w:tc>
          <w:tcPr>
            <w:tcW w:w="3118" w:type="dxa"/>
            <w:tcBorders>
              <w:top w:val="single" w:color="auto" w:sz="4" w:space="0"/>
            </w:tcBorders>
            <w:vAlign w:val="center"/>
          </w:tcPr>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①已制定资金管理办法、内部财务管理制度、会计核算制度等管理制度，1分；</w:t>
            </w:r>
          </w:p>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②建立健全单位内部控制制度，1分；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③会计人员、机构按规定设置，1分；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④会计基础工作健全，1分；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⑤会计档案符合规定要求，1分；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⑥项目管理规范（包括项目立项、申报、招投标、制度建立、按时完工等），1分，每发现少一项扣0.2分，扣完为止。</w:t>
            </w:r>
          </w:p>
        </w:tc>
        <w:tc>
          <w:tcPr>
            <w:tcW w:w="3472" w:type="dxa"/>
            <w:tcBorders>
              <w:top w:val="single" w:color="auto" w:sz="4" w:space="0"/>
            </w:tcBorders>
            <w:vAlign w:val="center"/>
          </w:tcPr>
          <w:p>
            <w:pPr>
              <w:widowControl/>
              <w:jc w:val="left"/>
              <w:rPr>
                <w:rFonts w:asciiTheme="minorEastAsia" w:hAnsiTheme="minorEastAsia" w:cstheme="minorEastAsia"/>
                <w:kern w:val="0"/>
                <w:sz w:val="18"/>
                <w:szCs w:val="18"/>
              </w:rPr>
            </w:pPr>
          </w:p>
        </w:tc>
        <w:tc>
          <w:tcPr>
            <w:tcW w:w="617" w:type="dxa"/>
            <w:tcBorders>
              <w:top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p>
            <w:pPr>
              <w:widowControl/>
              <w:jc w:val="center"/>
              <w:rPr>
                <w:rFonts w:asciiTheme="minorEastAsia" w:hAnsi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top w:val="single" w:color="auto" w:sz="4" w:space="0"/>
              <w:left w:val="single" w:color="auto" w:sz="4" w:space="0"/>
            </w:tcBorders>
            <w:vAlign w:val="center"/>
          </w:tcPr>
          <w:p>
            <w:pPr>
              <w:jc w:val="center"/>
              <w:rPr>
                <w:rFonts w:asciiTheme="minorEastAsia" w:hAnsiTheme="minorEastAsia" w:cstheme="minorEastAsia"/>
                <w:kern w:val="0"/>
                <w:sz w:val="18"/>
                <w:szCs w:val="18"/>
              </w:rPr>
            </w:pPr>
          </w:p>
        </w:tc>
        <w:tc>
          <w:tcPr>
            <w:tcW w:w="851" w:type="dxa"/>
            <w:tcBorders>
              <w:top w:val="single" w:color="auto" w:sz="4" w:space="0"/>
            </w:tcBorders>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内控制度情况</w:t>
            </w:r>
          </w:p>
        </w:tc>
        <w:tc>
          <w:tcPr>
            <w:tcW w:w="567" w:type="dxa"/>
            <w:tcBorders>
              <w:top w:val="single" w:color="auto" w:sz="4" w:space="0"/>
            </w:tcBorders>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4分</w:t>
            </w:r>
          </w:p>
        </w:tc>
        <w:tc>
          <w:tcPr>
            <w:tcW w:w="3118" w:type="dxa"/>
            <w:tcBorders>
              <w:top w:val="single" w:color="auto" w:sz="4" w:space="0"/>
            </w:tcBorders>
            <w:vAlign w:val="center"/>
          </w:tcPr>
          <w:p>
            <w:pPr>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内部控制制度完全执行，4分，执行过程中，某个环节（节点）执行不到位的，每个环节（节点）扣1分，扣完为止。</w:t>
            </w:r>
          </w:p>
        </w:tc>
        <w:tc>
          <w:tcPr>
            <w:tcW w:w="3472" w:type="dxa"/>
            <w:tcBorders>
              <w:top w:val="single" w:color="auto" w:sz="4" w:space="0"/>
            </w:tcBorders>
            <w:vAlign w:val="center"/>
          </w:tcPr>
          <w:p>
            <w:pPr>
              <w:widowControl/>
              <w:jc w:val="left"/>
              <w:rPr>
                <w:rFonts w:asciiTheme="minorEastAsia" w:hAnsiTheme="minorEastAsia" w:cstheme="minorEastAsia"/>
                <w:kern w:val="0"/>
                <w:sz w:val="18"/>
                <w:szCs w:val="18"/>
              </w:rPr>
            </w:pPr>
          </w:p>
        </w:tc>
        <w:tc>
          <w:tcPr>
            <w:tcW w:w="617" w:type="dxa"/>
            <w:tcBorders>
              <w:top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过程</w:t>
            </w:r>
          </w:p>
        </w:tc>
        <w:tc>
          <w:tcPr>
            <w:tcW w:w="429" w:type="dxa"/>
            <w:vMerge w:val="continue"/>
            <w:tcBorders>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tcBorders>
            <w:vAlign w:val="center"/>
          </w:tcPr>
          <w:p>
            <w:pPr>
              <w:jc w:val="center"/>
              <w:rPr>
                <w:rFonts w:asciiTheme="minorEastAsia" w:hAnsiTheme="minorEastAsia" w:cstheme="minorEastAsia"/>
                <w:kern w:val="0"/>
                <w:sz w:val="18"/>
                <w:szCs w:val="18"/>
              </w:rPr>
            </w:pPr>
          </w:p>
        </w:tc>
        <w:tc>
          <w:tcPr>
            <w:tcW w:w="851" w:type="dxa"/>
            <w:vAlign w:val="center"/>
          </w:tcPr>
          <w:p>
            <w:pPr>
              <w:widowControl/>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资金  使用</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合规性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14</w:t>
            </w:r>
          </w:p>
        </w:tc>
        <w:tc>
          <w:tcPr>
            <w:tcW w:w="3118" w:type="dxa"/>
            <w:vAlign w:val="center"/>
          </w:tcPr>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①支出符合国家财经法规和财务管理制度规定以及有关专项资金管理办法的规定；</w:t>
            </w:r>
          </w:p>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②资金（开支）拨付有完整的审批程序和手续；</w:t>
            </w:r>
          </w:p>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③支出符合部门预算批复的用途；</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④资金使用无截留、挤占、挪用、虚列支出、随意借用、大额现金支付等情况。</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⑤重大财务事项经由集体研究决策；</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⑥专项资金做到专款专用；</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⑦原始凭证的取得真实有效；</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⑧无超范围、超预算开支；</w:t>
            </w:r>
          </w:p>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⑨无超标准发放津补贴、奖金，无用公款支付应由个人支付的款项。</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以上情况每出现一例不符合要求的扣2分，扣完为止。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部门（单位）使用预算资金是否符合相关的预算财务管理制度的规定，用以反映和考核部门（单位）预算资金的规范运行情况。</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预决算信息公开性和完善性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预决算信息是指与部门预算、执行、决算、监督、绩效等管理相关的信息。</w:t>
            </w:r>
          </w:p>
        </w:tc>
        <w:tc>
          <w:tcPr>
            <w:tcW w:w="617" w:type="dxa"/>
            <w:vAlign w:val="center"/>
          </w:tcPr>
          <w:p>
            <w:pPr>
              <w:widowControl/>
              <w:jc w:val="center"/>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20</w:t>
            </w:r>
          </w:p>
        </w:tc>
        <w:tc>
          <w:tcPr>
            <w:tcW w:w="851" w:type="dxa"/>
            <w:vAlign w:val="center"/>
          </w:tcPr>
          <w:p>
            <w:pPr>
              <w:widowControl/>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管理  制度</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健全性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①已制定资产管理制度，1分；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②相关资产管理制度得到有效执行，1分。                                           </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资产  管理</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安全性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16</w:t>
            </w:r>
          </w:p>
        </w:tc>
        <w:tc>
          <w:tcPr>
            <w:tcW w:w="3118" w:type="dxa"/>
            <w:vAlign w:val="center"/>
          </w:tcPr>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 xml:space="preserve">①资产保存完整；②资产配置合理；③资产处置规范； </w:t>
            </w:r>
          </w:p>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④资产账务管理合规，帐实帐卡、账账、账表（决算报表等）相符；⑤资产有偿使用及处置收入及时足额上缴；⑥清查盘点：每年至少清查盘点一次；⑦产权明晰，权证齐全；⑧按标准购置固定资产。</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以上情况每出现一例不符合要求的扣2分；⑨未按时报送2018年行政事业单位资产报表的，每延迟一天，扣1分，扣完为止。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hint="default"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固定  资产</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利用率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固定资产利用率,100%,2分,每低于一个百分点扣0.2分，扣完为止。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固定资产利用率=（实际在用固定资产总额/所有固定资产总额）×100%</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restart"/>
            <w:tcBorders>
              <w:right w:val="single" w:color="auto" w:sz="4" w:space="0"/>
            </w:tcBorders>
            <w:vAlign w:val="center"/>
          </w:tcPr>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绩效管理</w:t>
            </w:r>
          </w:p>
        </w:tc>
        <w:tc>
          <w:tcPr>
            <w:tcW w:w="567" w:type="dxa"/>
            <w:vMerge w:val="restart"/>
            <w:tcBorders>
              <w:top w:val="single" w:color="auto" w:sz="4" w:space="0"/>
              <w:lef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17</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目标 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8</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本单位所有专项、项目资金均实行目标管理的，各2分,每少一个专项、项目的，扣1分，扣完为止；②编制并报送2021年度部门整体支出绩效目标的，2分；③在规定时间内报送、公开以上目标的，2分，否则不得分。</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绩效 评价</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7</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开展2019年度专项资金绩效自评的，2分，每少一个专项资金的自评扣1分，扣完为止；②开展2019年度已完工项目绩效自评的，2分，每少一个项目扣1分，扣完为止；③开展2019年度部门整体支出绩效自评的，1分；④在规定时间内报送、公开以上自评报告材料的，2分。</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tcBorders>
              <w:top w:val="nil"/>
              <w:bottom w:val="single" w:color="auto" w:sz="4" w:space="0"/>
              <w:right w:val="single" w:color="auto" w:sz="4" w:space="0"/>
            </w:tcBorders>
            <w:vAlign w:val="center"/>
          </w:tcPr>
          <w:p>
            <w:pPr>
              <w:jc w:val="center"/>
              <w:rPr>
                <w:rFonts w:asciiTheme="minorEastAsia" w:hAnsiTheme="minorEastAsia" w:cstheme="minorEastAsia"/>
                <w:kern w:val="0"/>
                <w:sz w:val="18"/>
                <w:szCs w:val="18"/>
              </w:rPr>
            </w:pPr>
          </w:p>
        </w:tc>
        <w:tc>
          <w:tcPr>
            <w:tcW w:w="567" w:type="dxa"/>
            <w:tcBorders>
              <w:top w:val="nil"/>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评价 结果 运用</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sz w:val="18"/>
                <w:szCs w:val="18"/>
              </w:rPr>
            </w:pPr>
            <w:r>
              <w:rPr>
                <w:rFonts w:hint="eastAsia" w:asciiTheme="minorEastAsia" w:hAnsiTheme="minorEastAsia" w:cstheme="minorEastAsia"/>
                <w:kern w:val="0"/>
                <w:sz w:val="18"/>
                <w:szCs w:val="18"/>
              </w:rPr>
              <w:t>根据2019年度财政重点绩效评价和单位自评情况，向财政报送整改结果并整改到位的，2分，否则不得分。</w:t>
            </w:r>
          </w:p>
        </w:tc>
        <w:tc>
          <w:tcPr>
            <w:tcW w:w="3472" w:type="dxa"/>
            <w:vAlign w:val="center"/>
          </w:tcPr>
          <w:p>
            <w:pPr>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产   出</w:t>
            </w:r>
          </w:p>
        </w:tc>
        <w:tc>
          <w:tcPr>
            <w:tcW w:w="429" w:type="dxa"/>
            <w:vMerge w:val="restart"/>
            <w:tcBorders>
              <w:top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职责履行</w:t>
            </w:r>
          </w:p>
        </w:tc>
        <w:tc>
          <w:tcPr>
            <w:tcW w:w="567" w:type="dxa"/>
            <w:vMerge w:val="restart"/>
            <w:tcBorders>
              <w:top w:val="single" w:color="auto" w:sz="4" w:space="0"/>
              <w:lef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　工作　完成率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该项得分=重点工作完成率×2</w:t>
            </w:r>
          </w:p>
        </w:tc>
        <w:tc>
          <w:tcPr>
            <w:tcW w:w="3472" w:type="dxa"/>
            <w:vAlign w:val="center"/>
          </w:tcPr>
          <w:p>
            <w:pPr>
              <w:autoSpaceDN w:val="0"/>
              <w:jc w:val="left"/>
              <w:textAlignment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重点工作为市政府确定的为民办实事和部门重点工程与重点工作。</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center"/>
          </w:tcPr>
          <w:p>
            <w:pPr>
              <w:widowControl/>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工作</w:t>
            </w:r>
          </w:p>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质量</w:t>
            </w:r>
          </w:p>
        </w:tc>
        <w:tc>
          <w:tcPr>
            <w:tcW w:w="567" w:type="dxa"/>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3118" w:type="dxa"/>
            <w:vAlign w:val="center"/>
          </w:tcPr>
          <w:p>
            <w:pPr>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以绩效考核评估结果为标准，优秀，计3分；良好，2分；合格，1分；不合格，0分。</w:t>
            </w:r>
          </w:p>
        </w:tc>
        <w:tc>
          <w:tcPr>
            <w:tcW w:w="3472" w:type="dxa"/>
            <w:vAlign w:val="center"/>
          </w:tcPr>
          <w:p>
            <w:pPr>
              <w:autoSpaceDN w:val="0"/>
              <w:jc w:val="left"/>
              <w:textAlignment w:val="center"/>
              <w:rPr>
                <w:rFonts w:asciiTheme="minorEastAsia" w:hAnsiTheme="minorEastAsia" w:cstheme="minorEastAsia"/>
                <w:kern w:val="0"/>
                <w:sz w:val="18"/>
                <w:szCs w:val="18"/>
              </w:rPr>
            </w:pPr>
          </w:p>
        </w:tc>
        <w:tc>
          <w:tcPr>
            <w:tcW w:w="617" w:type="dxa"/>
            <w:vAlign w:val="center"/>
          </w:tcPr>
          <w:p>
            <w:pPr>
              <w:jc w:val="center"/>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效  果</w:t>
            </w:r>
          </w:p>
        </w:tc>
        <w:tc>
          <w:tcPr>
            <w:tcW w:w="429" w:type="dxa"/>
            <w:vMerge w:val="restart"/>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履职效益</w:t>
            </w:r>
          </w:p>
        </w:tc>
        <w:tc>
          <w:tcPr>
            <w:tcW w:w="567" w:type="dxa"/>
            <w:vMerge w:val="restart"/>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经济  效益</w:t>
            </w:r>
          </w:p>
        </w:tc>
        <w:tc>
          <w:tcPr>
            <w:tcW w:w="567" w:type="dxa"/>
            <w:vMerge w:val="restart"/>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6590" w:type="dxa"/>
            <w:gridSpan w:val="2"/>
            <w:vMerge w:val="restart"/>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此三项指标可根据部门实际并结合2021年度部门整体支出绩效目标设立情况有选择的进行评价。</w:t>
            </w:r>
          </w:p>
        </w:tc>
        <w:tc>
          <w:tcPr>
            <w:tcW w:w="617" w:type="dxa"/>
            <w:vMerge w:val="restart"/>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社会  效益</w:t>
            </w:r>
          </w:p>
        </w:tc>
        <w:tc>
          <w:tcPr>
            <w:tcW w:w="567" w:type="dxa"/>
            <w:vMerge w:val="continue"/>
            <w:vAlign w:val="center"/>
          </w:tcPr>
          <w:p>
            <w:pPr>
              <w:widowControl/>
              <w:rPr>
                <w:rFonts w:asciiTheme="minorEastAsia" w:hAnsiTheme="minorEastAsia" w:cstheme="minorEastAsia"/>
                <w:kern w:val="0"/>
                <w:sz w:val="18"/>
                <w:szCs w:val="18"/>
              </w:rPr>
            </w:pPr>
          </w:p>
        </w:tc>
        <w:tc>
          <w:tcPr>
            <w:tcW w:w="6590" w:type="dxa"/>
            <w:gridSpan w:val="2"/>
            <w:vMerge w:val="continue"/>
            <w:vAlign w:val="center"/>
          </w:tcPr>
          <w:p>
            <w:pPr>
              <w:widowControl/>
              <w:jc w:val="left"/>
              <w:rPr>
                <w:rFonts w:asciiTheme="minorEastAsia" w:hAnsiTheme="minorEastAsia" w:cstheme="minorEastAsia"/>
                <w:kern w:val="0"/>
                <w:sz w:val="18"/>
                <w:szCs w:val="18"/>
              </w:rPr>
            </w:pPr>
          </w:p>
        </w:tc>
        <w:tc>
          <w:tcPr>
            <w:tcW w:w="617" w:type="dxa"/>
            <w:vMerge w:val="continue"/>
            <w:vAlign w:val="center"/>
          </w:tcPr>
          <w:p>
            <w:pPr>
              <w:widowControl/>
              <w:jc w:val="center"/>
              <w:rPr>
                <w:rFonts w:asciiTheme="minorEastAsia" w:hAnsi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生态  效益</w:t>
            </w:r>
          </w:p>
        </w:tc>
        <w:tc>
          <w:tcPr>
            <w:tcW w:w="567" w:type="dxa"/>
            <w:vMerge w:val="continue"/>
            <w:vAlign w:val="center"/>
          </w:tcPr>
          <w:p>
            <w:pPr>
              <w:widowControl/>
              <w:rPr>
                <w:rFonts w:asciiTheme="minorEastAsia" w:hAnsiTheme="minorEastAsia" w:cstheme="minorEastAsia"/>
                <w:kern w:val="0"/>
                <w:sz w:val="18"/>
                <w:szCs w:val="18"/>
              </w:rPr>
            </w:pPr>
          </w:p>
        </w:tc>
        <w:tc>
          <w:tcPr>
            <w:tcW w:w="6590" w:type="dxa"/>
            <w:gridSpan w:val="2"/>
            <w:vMerge w:val="continue"/>
            <w:vAlign w:val="center"/>
          </w:tcPr>
          <w:p>
            <w:pPr>
              <w:widowControl/>
              <w:jc w:val="left"/>
              <w:rPr>
                <w:rFonts w:asciiTheme="minorEastAsia" w:hAnsiTheme="minorEastAsia" w:cstheme="minorEastAsia"/>
                <w:kern w:val="0"/>
                <w:sz w:val="18"/>
                <w:szCs w:val="18"/>
              </w:rPr>
            </w:pPr>
          </w:p>
        </w:tc>
        <w:tc>
          <w:tcPr>
            <w:tcW w:w="617" w:type="dxa"/>
            <w:vMerge w:val="continue"/>
            <w:vAlign w:val="center"/>
          </w:tcPr>
          <w:p>
            <w:pPr>
              <w:widowControl/>
              <w:jc w:val="center"/>
              <w:rPr>
                <w:rFonts w:asciiTheme="minorEastAsia" w:hAnsi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社会公众或服务对象满意度</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90%（含）以上计2分；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80%（含）-90%，计1分；70%（含）-80%，计0.5分；低于70%,计0分。</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社会公众或服务对象是指部门（单位）履行职责而影响到的部门，群体或个人，一般采取社会调查的方式(不少于30份)。</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合计</w:t>
            </w:r>
          </w:p>
        </w:tc>
        <w:tc>
          <w:tcPr>
            <w:tcW w:w="8575" w:type="dxa"/>
            <w:gridSpan w:val="5"/>
            <w:vAlign w:val="center"/>
          </w:tcPr>
          <w:p>
            <w:pPr>
              <w:widowControl/>
              <w:jc w:val="left"/>
              <w:rPr>
                <w:rFonts w:hint="default" w:asciiTheme="minorEastAsia" w:hAnsiTheme="minorEastAsia" w:cstheme="minorEastAsia"/>
                <w:kern w:val="0"/>
                <w:sz w:val="18"/>
                <w:szCs w:val="18"/>
                <w:lang w:val="en-US"/>
              </w:rPr>
            </w:pPr>
            <w:r>
              <w:rPr>
                <w:rFonts w:hint="eastAsia" w:asciiTheme="minorEastAsia" w:hAnsiTheme="minorEastAsia" w:cstheme="minorEastAsia"/>
                <w:kern w:val="0"/>
                <w:sz w:val="18"/>
                <w:szCs w:val="18"/>
                <w:lang w:val="en-US" w:eastAsia="zh-CN"/>
              </w:rPr>
              <w:t>90</w:t>
            </w:r>
          </w:p>
        </w:tc>
        <w:tc>
          <w:tcPr>
            <w:tcW w:w="617" w:type="dxa"/>
            <w:vAlign w:val="center"/>
          </w:tcPr>
          <w:p>
            <w:pPr>
              <w:widowControl/>
              <w:jc w:val="center"/>
              <w:rPr>
                <w:rFonts w:asciiTheme="minorEastAsia" w:hAnsiTheme="minorEastAsia" w:cstheme="minorEastAsia"/>
                <w:kern w:val="0"/>
                <w:sz w:val="18"/>
                <w:szCs w:val="18"/>
              </w:rPr>
            </w:pPr>
          </w:p>
        </w:tc>
      </w:tr>
    </w:tbl>
    <w:p>
      <w:pPr>
        <w:spacing w:line="600" w:lineRule="exact"/>
        <w:rPr>
          <w:rFonts w:asciiTheme="minorEastAsia" w:hAnsiTheme="minorEastAsia" w:cstheme="minorEastAsia"/>
          <w:kern w:val="0"/>
          <w:sz w:val="24"/>
        </w:rPr>
      </w:pPr>
    </w:p>
    <w:p>
      <w:pPr>
        <w:rPr>
          <w:rFonts w:asciiTheme="minorEastAsia" w:hAnsiTheme="minorEastAsia" w:cstheme="minorEastAsia"/>
          <w:sz w:val="24"/>
        </w:rPr>
      </w:pPr>
    </w:p>
    <w:p>
      <w:pPr>
        <w:rPr>
          <w:rFonts w:asciiTheme="minorEastAsia" w:hAnsiTheme="minorEastAsia" w:cs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2DDA3"/>
    <w:multiLevelType w:val="singleLevel"/>
    <w:tmpl w:val="8DE2DDA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mNDZhMGRiZDY5MjZhNzFjODdkMWU3MzQxYWQzZGUifQ=="/>
  </w:docVars>
  <w:rsids>
    <w:rsidRoot w:val="00BE1B3D"/>
    <w:rsid w:val="0025477A"/>
    <w:rsid w:val="003451CD"/>
    <w:rsid w:val="00356BDD"/>
    <w:rsid w:val="00361BC5"/>
    <w:rsid w:val="004C162C"/>
    <w:rsid w:val="009225A8"/>
    <w:rsid w:val="00B010E3"/>
    <w:rsid w:val="00BE1B3D"/>
    <w:rsid w:val="00CE7591"/>
    <w:rsid w:val="00EC45A6"/>
    <w:rsid w:val="0D777500"/>
    <w:rsid w:val="0DC2450A"/>
    <w:rsid w:val="1D941472"/>
    <w:rsid w:val="1EAC476E"/>
    <w:rsid w:val="274B02F4"/>
    <w:rsid w:val="45AD0E01"/>
    <w:rsid w:val="532F4F57"/>
    <w:rsid w:val="55041763"/>
    <w:rsid w:val="59183DD0"/>
    <w:rsid w:val="78FB0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4">
    <w:name w:val="Normal (Web)"/>
    <w:basedOn w:val="1"/>
    <w:uiPriority w:val="0"/>
    <w:rPr>
      <w:sz w:val="24"/>
    </w:rPr>
  </w:style>
  <w:style w:type="character" w:styleId="7">
    <w:name w:val="page number"/>
    <w:basedOn w:val="6"/>
    <w:qFormat/>
    <w:uiPriority w:val="0"/>
  </w:style>
  <w:style w:type="character" w:styleId="8">
    <w:name w:val="FollowedHyperlink"/>
    <w:basedOn w:val="6"/>
    <w:qFormat/>
    <w:uiPriority w:val="0"/>
    <w:rPr>
      <w:color w:val="444444"/>
      <w:u w:val="none"/>
    </w:rPr>
  </w:style>
  <w:style w:type="character" w:styleId="9">
    <w:name w:val="Hyperlink"/>
    <w:basedOn w:val="6"/>
    <w:uiPriority w:val="0"/>
    <w:rPr>
      <w:color w:val="444444"/>
      <w:u w:val="none"/>
    </w:rPr>
  </w:style>
  <w:style w:type="character" w:customStyle="1" w:styleId="10">
    <w:name w:val="gai"/>
    <w:basedOn w:val="6"/>
    <w:qFormat/>
    <w:uiPriority w:val="0"/>
  </w:style>
  <w:style w:type="character" w:customStyle="1" w:styleId="11">
    <w:name w:val="gai1"/>
    <w:basedOn w:val="6"/>
    <w:uiPriority w:val="0"/>
  </w:style>
  <w:style w:type="character" w:customStyle="1" w:styleId="12">
    <w:name w:val="gai2"/>
    <w:basedOn w:val="6"/>
    <w:qFormat/>
    <w:uiPriority w:val="0"/>
  </w:style>
  <w:style w:type="character" w:customStyle="1" w:styleId="13">
    <w:name w:val="gai3"/>
    <w:basedOn w:val="6"/>
    <w:uiPriority w:val="0"/>
  </w:style>
  <w:style w:type="character" w:customStyle="1" w:styleId="14">
    <w:name w:val="gai4"/>
    <w:basedOn w:val="6"/>
    <w:uiPriority w:val="0"/>
  </w:style>
  <w:style w:type="character" w:customStyle="1" w:styleId="15">
    <w:name w:val="you"/>
    <w:basedOn w:val="6"/>
    <w:qFormat/>
    <w:uiPriority w:val="0"/>
  </w:style>
  <w:style w:type="character" w:customStyle="1" w:styleId="16">
    <w:name w:val="info-valid"/>
    <w:basedOn w:val="6"/>
    <w:qFormat/>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qFormat/>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color="auto"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color="auto"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0"/>
      <w:szCs w:val="0"/>
      <w:shd w:val="clear" w:color="auto"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 w:type="paragraph" w:styleId="35">
    <w:name w:val="List Paragraph"/>
    <w:basedOn w:val="1"/>
    <w:qFormat/>
    <w:uiPriority w:val="34"/>
    <w:pPr>
      <w:ind w:firstLine="420" w:firstLineChars="200"/>
    </w:pPr>
  </w:style>
  <w:style w:type="paragraph" w:customStyle="1" w:styleId="36">
    <w:name w:val="正文首行缩进 21"/>
    <w:basedOn w:val="37"/>
    <w:qFormat/>
    <w:uiPriority w:val="0"/>
    <w:pPr>
      <w:ind w:firstLine="420" w:firstLineChars="200"/>
    </w:pPr>
  </w:style>
  <w:style w:type="paragraph" w:customStyle="1" w:styleId="37">
    <w:name w:val="正文文本缩进1"/>
    <w:basedOn w:val="1"/>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4968</Words>
  <Characters>5216</Characters>
  <Lines>9</Lines>
  <Paragraphs>14</Paragraphs>
  <TotalTime>403</TotalTime>
  <ScaleCrop>false</ScaleCrop>
  <LinksUpToDate>false</LinksUpToDate>
  <CharactersWithSpaces>5473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2022-10-13T09:06:00Z</dcterms:created>
  <dc:creator>Administrator</dc:creator>
  <cp:lastModifiedBy>LFF</cp:lastModifiedBy>
  <dcterms:modified xsi:type="dcterms:W3CDTF">2022-10-18T13:27:15Z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31C98AF5780E4AC7B650E049319E4389</vt:lpwstr>
  </property>
</Properties>
</file>