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auto"/>
          <w:spacing w:val="0"/>
          <w:sz w:val="44"/>
          <w:szCs w:val="44"/>
          <w:lang w:val="en-US" w:eastAsia="zh-CN"/>
        </w:rPr>
      </w:pPr>
      <w:r>
        <w:rPr>
          <w:rFonts w:hint="eastAsia" w:ascii="宋体" w:hAnsi="宋体" w:eastAsia="宋体" w:cs="方正小标宋简体"/>
          <w:b/>
          <w:bCs/>
          <w:sz w:val="44"/>
          <w:szCs w:val="44"/>
          <w:lang w:eastAsia="zh-CN"/>
        </w:rPr>
        <w:t>北塔区纪委监委</w:t>
      </w:r>
      <w:r>
        <w:rPr>
          <w:i w:val="0"/>
          <w:iCs w:val="0"/>
          <w:caps w:val="0"/>
          <w:color w:val="auto"/>
          <w:spacing w:val="0"/>
          <w:sz w:val="44"/>
          <w:szCs w:val="44"/>
          <w:shd w:val="clear" w:fill="FFFFFF"/>
        </w:rPr>
        <w:t>202</w:t>
      </w:r>
      <w:r>
        <w:rPr>
          <w:rFonts w:hint="eastAsia"/>
          <w:i w:val="0"/>
          <w:iCs w:val="0"/>
          <w:caps w:val="0"/>
          <w:color w:val="auto"/>
          <w:spacing w:val="0"/>
          <w:sz w:val="44"/>
          <w:szCs w:val="44"/>
          <w:shd w:val="clear" w:fill="FFFFFF"/>
          <w:lang w:val="en-US" w:eastAsia="zh-CN"/>
        </w:rPr>
        <w:t>2</w:t>
      </w:r>
      <w:r>
        <w:rPr>
          <w:i w:val="0"/>
          <w:iCs w:val="0"/>
          <w:caps w:val="0"/>
          <w:color w:val="auto"/>
          <w:spacing w:val="0"/>
          <w:sz w:val="44"/>
          <w:szCs w:val="44"/>
          <w:shd w:val="clear" w:fill="FFFFFF"/>
        </w:rPr>
        <w:t>年度部门整体支出绩效评价报</w:t>
      </w:r>
      <w:r>
        <w:rPr>
          <w:rFonts w:hint="eastAsia"/>
          <w:i w:val="0"/>
          <w:iCs w:val="0"/>
          <w:caps w:val="0"/>
          <w:color w:val="auto"/>
          <w:spacing w:val="0"/>
          <w:sz w:val="44"/>
          <w:szCs w:val="44"/>
          <w:shd w:val="clear" w:fill="FFFFFF"/>
          <w:lang w:val="en-US" w:eastAsia="zh-CN"/>
        </w:rPr>
        <w:t>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color w:val="auto"/>
          <w:sz w:val="32"/>
          <w:szCs w:val="32"/>
        </w:rPr>
      </w:pPr>
      <w:r>
        <w:rPr>
          <w:rFonts w:hint="eastAsia" w:ascii="宋体" w:hAnsi="宋体" w:eastAsia="宋体" w:cs="宋体"/>
          <w:b/>
          <w:bCs/>
          <w:i w:val="0"/>
          <w:iCs w:val="0"/>
          <w:caps w:val="0"/>
          <w:color w:val="auto"/>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（一）机构设置及人员情况</w:t>
      </w:r>
    </w:p>
    <w:p>
      <w:pPr>
        <w:widowControl/>
        <w:spacing w:line="600" w:lineRule="exact"/>
        <w:ind w:firstLine="640" w:firstLineChars="200"/>
        <w:jc w:val="left"/>
        <w:rPr>
          <w:rFonts w:hint="default" w:ascii="仿宋_GB2312" w:hAnsi="Times New Roman" w:eastAsia="仿宋_GB2312" w:cs="Times New Roman"/>
          <w:sz w:val="32"/>
          <w:szCs w:val="32"/>
          <w:lang w:val="en-US" w:eastAsia="zh-CN"/>
        </w:rPr>
      </w:pPr>
      <w:r>
        <w:rPr>
          <w:rFonts w:ascii="宋体" w:hAnsi="宋体" w:eastAsia="宋体" w:cs="宋体"/>
          <w:color w:val="000000"/>
          <w:sz w:val="32"/>
          <w:szCs w:val="32"/>
        </w:rPr>
        <w:t>区纪委</w:t>
      </w:r>
      <w:r>
        <w:rPr>
          <w:rFonts w:hint="eastAsia" w:ascii="宋体" w:hAnsi="宋体" w:eastAsia="宋体" w:cs="宋体"/>
          <w:color w:val="000000"/>
          <w:sz w:val="32"/>
          <w:szCs w:val="32"/>
          <w:lang w:eastAsia="zh-CN"/>
        </w:rPr>
        <w:t>监委</w:t>
      </w:r>
      <w:r>
        <w:rPr>
          <w:rFonts w:ascii="宋体" w:hAnsi="宋体" w:eastAsia="宋体" w:cs="宋体"/>
          <w:color w:val="000000"/>
          <w:sz w:val="32"/>
          <w:szCs w:val="32"/>
        </w:rPr>
        <w:t>编制人数43人，实际人数39人，在职人数</w:t>
      </w:r>
      <w:r>
        <w:rPr>
          <w:rFonts w:hint="eastAsia" w:ascii="宋体" w:hAnsi="宋体" w:eastAsia="宋体" w:cs="宋体"/>
          <w:color w:val="000000"/>
          <w:sz w:val="32"/>
          <w:szCs w:val="32"/>
          <w:lang w:val="en-US" w:eastAsia="zh-CN"/>
        </w:rPr>
        <w:t>39</w:t>
      </w:r>
      <w:r>
        <w:rPr>
          <w:rFonts w:ascii="宋体" w:hAnsi="宋体" w:eastAsia="宋体" w:cs="宋体"/>
          <w:color w:val="000000"/>
          <w:sz w:val="32"/>
          <w:szCs w:val="32"/>
        </w:rPr>
        <w:t>人，离退休3人，遗属补助人数0人，小车编制数</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台，实际</w:t>
      </w:r>
      <w:r>
        <w:rPr>
          <w:rFonts w:hint="eastAsia" w:ascii="宋体" w:hAnsi="宋体" w:eastAsia="宋体" w:cs="宋体"/>
          <w:color w:val="000000"/>
          <w:sz w:val="32"/>
          <w:szCs w:val="32"/>
          <w:lang w:val="en-US" w:eastAsia="zh-CN"/>
        </w:rPr>
        <w:t>2</w:t>
      </w:r>
      <w:r>
        <w:rPr>
          <w:rFonts w:ascii="宋体" w:hAnsi="宋体" w:eastAsia="宋体" w:cs="宋体"/>
          <w:color w:val="000000"/>
          <w:sz w:val="32"/>
          <w:szCs w:val="32"/>
        </w:rPr>
        <w:t>台，房屋面积431.28平方。北塔区纪委监委内设机构8个：办公室、党风政风监督室、信访室、案件审理室、案件监督管理室、纪检监察干部监督室（加挂第一纪检监察室）、第二、三纪检监察室，6个派驻纪检监察组。所属事业单位信息中心 1个。</w:t>
      </w:r>
    </w:p>
    <w:p>
      <w:pPr>
        <w:numPr>
          <w:ilvl w:val="0"/>
          <w:numId w:val="1"/>
        </w:numPr>
        <w:spacing w:line="480" w:lineRule="auto"/>
        <w:ind w:firstLine="643" w:firstLineChars="200"/>
        <w:jc w:val="left"/>
        <w:rPr>
          <w:color w:val="auto"/>
        </w:rPr>
      </w:pPr>
      <w:r>
        <w:rPr>
          <w:rFonts w:hint="eastAsia" w:ascii="宋体" w:hAnsi="宋体" w:eastAsia="宋体" w:cs="宋体"/>
          <w:b/>
          <w:bCs/>
          <w:i w:val="0"/>
          <w:iCs w:val="0"/>
          <w:caps w:val="0"/>
          <w:color w:val="auto"/>
          <w:spacing w:val="0"/>
          <w:sz w:val="32"/>
          <w:szCs w:val="32"/>
          <w:shd w:val="clear" w:fill="FFFFFF"/>
          <w:lang w:val="en-US" w:eastAsia="zh-CN"/>
        </w:rPr>
        <w:t>主要工作职责</w:t>
      </w:r>
    </w:p>
    <w:p>
      <w:pPr>
        <w:spacing w:before="0" w:beforeAutospacing="0" w:after="2" w:afterAutospacing="0"/>
        <w:ind w:left="0" w:firstLine="630"/>
      </w:pPr>
      <w:r>
        <w:rPr>
          <w:rFonts w:ascii="宋体" w:hAnsi="宋体" w:eastAsia="宋体" w:cs="宋体"/>
          <w:color w:val="000000"/>
          <w:sz w:val="32"/>
          <w:szCs w:val="32"/>
        </w:rPr>
        <w:t>1、负责全区党的纪律检查工作。贯彻落实党中央、中央纪委、省委、省纪委、市委、市纪委和区委关于纪律检查工作的决定，维护党的章程和其他党内法规，检查党的路线方针政策和决议的执行情况，协助区委推进全面从严治党、加强党风建设和组织协调反腐败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2、依照党的章程和其他党内法规履行监督、执纪、问责职责。负责经常对党员进行遵守纪律的教育，作出关于维护党纪的决定；对区委工作部门、区委批准设立的党组（党委），各乡街道党（工）委、纪（工）委等党的组织和区委管理的党员领导干部履行职责、行使权力进行监督，受理处置党员群众检举控告，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3、在区委领导下组织开展巡察工作。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4、负责全区监察工作。贯彻落实党中央、中央纪委国家监委、省委、省纪委省监委、市委、市纪委市监委和区委关于监察工作的决定，维护宪法法律，依法对区委管理的行使公权力的公职人员进行监察，调查职务违法和职务犯罪，开展廉政建设和反腐败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5、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6、负责组织协调全区全面从严治党、党风廉政建设和反腐败宣传教育工作。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7、负责综合分析全区全面从严治党、党风廉政建设和反腐败工作情况，对纪检监察工作重要理论及实践问题进行调查研究；起草制定或者修改本区纪检监察制度规定，参与起草制定本区相关法规和规范性文件。</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8、负责协调落实市纪委市监委交办的反腐败国际交流、合作等方面事宜；加强对全区反腐败国际追逃追赃和防逃工作的组织协调，督促有关单位做好相关工作。</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9、根据干部管理权限，负责全区纪检监察系统领导班子建设、干部队伍建设和组织建设的综合规划、政策研究、制度建设和业务指导；会同有关方面做好区纪委区监委派驻机构、乡街道纪（工）委班子建设有关工作；组织和指导全区纪检监察系统干部教育培训工作等。</w:t>
      </w:r>
      <w:r>
        <w:rPr>
          <w:color w:val="000000"/>
        </w:rPr>
        <w:t xml:space="preserve"> </w:t>
      </w:r>
    </w:p>
    <w:p>
      <w:pPr>
        <w:spacing w:before="0" w:beforeAutospacing="0" w:after="2" w:afterAutospacing="0"/>
        <w:ind w:left="0" w:firstLine="630"/>
      </w:pPr>
      <w:r>
        <w:rPr>
          <w:rFonts w:ascii="宋体" w:hAnsi="宋体" w:eastAsia="宋体" w:cs="宋体"/>
          <w:color w:val="000000"/>
          <w:sz w:val="32"/>
          <w:szCs w:val="32"/>
        </w:rPr>
        <w:t>10、完成市纪委市监委和区委交办的其他任务。</w:t>
      </w:r>
      <w:r>
        <w:rPr>
          <w:color w:val="000000"/>
        </w:rPr>
        <w:t xml:space="preserve"> </w:t>
      </w:r>
    </w:p>
    <w:p>
      <w:pPr>
        <w:numPr>
          <w:ilvl w:val="0"/>
          <w:numId w:val="0"/>
        </w:numPr>
        <w:spacing w:line="480" w:lineRule="auto"/>
        <w:jc w:val="left"/>
        <w:rPr>
          <w:rFonts w:hint="eastAsia" w:ascii="宋体" w:hAnsi="宋体" w:eastAsia="宋体" w:cs="宋体"/>
          <w:b/>
          <w:bCs/>
          <w:i w:val="0"/>
          <w:iCs w:val="0"/>
          <w:caps w:val="0"/>
          <w:color w:val="auto"/>
          <w:spacing w:val="0"/>
          <w:sz w:val="32"/>
          <w:szCs w:val="32"/>
          <w:shd w:val="clear" w:fill="FFFFFF"/>
        </w:rPr>
      </w:pPr>
      <w:r>
        <w:rPr>
          <w:rFonts w:hint="eastAsia" w:ascii="宋体" w:hAnsi="宋体" w:eastAsia="宋体" w:cs="宋体"/>
          <w:b/>
          <w:bCs/>
          <w:i w:val="0"/>
          <w:iCs w:val="0"/>
          <w:caps w:val="0"/>
          <w:color w:val="auto"/>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（一）预算执行情况</w:t>
      </w:r>
    </w:p>
    <w:p>
      <w:pPr>
        <w:spacing w:line="480" w:lineRule="auto"/>
        <w:ind w:firstLine="640" w:firstLineChars="200"/>
        <w:jc w:val="left"/>
        <w:rPr>
          <w:rFonts w:hint="eastAsia" w:ascii="宋体" w:hAnsi="宋体" w:eastAsia="宋体" w:cs="宋体"/>
          <w:i w:val="0"/>
          <w:iCs w:val="0"/>
          <w:caps w:val="0"/>
          <w:color w:val="auto"/>
          <w:spacing w:val="0"/>
          <w:sz w:val="32"/>
          <w:szCs w:val="32"/>
          <w:lang w:eastAsia="zh-CN"/>
        </w:rPr>
      </w:pPr>
      <w:r>
        <w:rPr>
          <w:rFonts w:ascii="宋体" w:hAnsi="宋体" w:eastAsia="宋体" w:cs="宋体"/>
          <w:i w:val="0"/>
          <w:iCs w:val="0"/>
          <w:caps w:val="0"/>
          <w:color w:val="000000"/>
          <w:spacing w:val="0"/>
          <w:sz w:val="32"/>
          <w:szCs w:val="32"/>
        </w:rPr>
        <w:t>2022年本部门收入预算513.37万元，其中，一般公共预算拨款收入513.37万元，政府性基金预算拨款收入0万元，国有资本经营预算拨款收入0万元。收入较去年减少27.23万元，</w:t>
      </w:r>
      <w:r>
        <w:rPr>
          <w:rFonts w:ascii="宋体" w:hAnsi="宋体" w:eastAsia="宋体" w:cs="宋体"/>
          <w:i w:val="0"/>
          <w:iCs w:val="0"/>
          <w:caps w:val="0"/>
          <w:color w:val="000000"/>
          <w:spacing w:val="0"/>
          <w:sz w:val="32"/>
          <w:szCs w:val="32"/>
          <w:highlight w:val="none"/>
        </w:rPr>
        <w:t>主要原因是</w:t>
      </w:r>
      <w:r>
        <w:rPr>
          <w:rFonts w:hint="eastAsia" w:ascii="宋体" w:hAnsi="宋体" w:eastAsia="宋体" w:cs="宋体"/>
          <w:i w:val="0"/>
          <w:iCs w:val="0"/>
          <w:caps w:val="0"/>
          <w:color w:val="000000"/>
          <w:spacing w:val="0"/>
          <w:sz w:val="32"/>
          <w:szCs w:val="32"/>
          <w:highlight w:val="none"/>
          <w:lang w:eastAsia="zh-CN"/>
        </w:rPr>
        <w:t>财政拨款收入较上年减少</w:t>
      </w:r>
      <w:r>
        <w:rPr>
          <w:rFonts w:ascii="宋体" w:hAnsi="宋体" w:eastAsia="宋体" w:cs="宋体"/>
          <w:i w:val="0"/>
          <w:iCs w:val="0"/>
          <w:caps w:val="0"/>
          <w:color w:val="000000"/>
          <w:spacing w:val="0"/>
          <w:sz w:val="32"/>
          <w:szCs w:val="32"/>
          <w:highlight w:val="none"/>
        </w:rPr>
        <w:t>。</w:t>
      </w:r>
      <w:bookmarkStart w:id="0" w:name="_GoBack"/>
      <w:bookmarkEnd w:id="0"/>
    </w:p>
    <w:p>
      <w:pPr>
        <w:spacing w:line="480" w:lineRule="auto"/>
        <w:ind w:firstLine="640" w:firstLineChars="200"/>
        <w:jc w:val="left"/>
        <w:rPr>
          <w:rFonts w:hint="eastAsia" w:ascii="宋体" w:hAnsi="宋体" w:eastAsia="宋体" w:cs="宋体"/>
          <w:i w:val="0"/>
          <w:iCs w:val="0"/>
          <w:caps w:val="0"/>
          <w:color w:val="000000"/>
          <w:spacing w:val="0"/>
          <w:sz w:val="32"/>
          <w:szCs w:val="32"/>
          <w:lang w:eastAsia="zh-CN"/>
        </w:rPr>
      </w:pPr>
      <w:r>
        <w:rPr>
          <w:rFonts w:ascii="宋体" w:hAnsi="宋体" w:eastAsia="宋体" w:cs="宋体"/>
          <w:i w:val="0"/>
          <w:iCs w:val="0"/>
          <w:caps w:val="0"/>
          <w:color w:val="000000"/>
          <w:spacing w:val="0"/>
          <w:sz w:val="32"/>
          <w:szCs w:val="32"/>
        </w:rPr>
        <w:t>2022年本部门一般公共预算拨款支出预算513.37万元，其中：基本支出480.37万元，占比93.57%，项目支出33万元，占比6.43%</w:t>
      </w:r>
      <w:r>
        <w:rPr>
          <w:rFonts w:hint="eastAsia" w:ascii="宋体" w:hAnsi="宋体" w:eastAsia="宋体" w:cs="宋体"/>
          <w:i w:val="0"/>
          <w:iCs w:val="0"/>
          <w:caps w:val="0"/>
          <w:color w:val="000000"/>
          <w:spacing w:val="0"/>
          <w:sz w:val="32"/>
          <w:szCs w:val="32"/>
          <w:lang w:eastAsia="zh-CN"/>
        </w:rPr>
        <w:t>。</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（二）基本支出情况</w:t>
      </w:r>
    </w:p>
    <w:p>
      <w:pPr>
        <w:spacing w:line="480" w:lineRule="auto"/>
        <w:ind w:firstLine="640" w:firstLineChars="200"/>
        <w:jc w:val="left"/>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2022年度北塔区纪委监委基本支出全年预算513.37万元，本年实际支出为798.98万元，完成全年预算的155.64%。主要为人员经费支出和公用经费支出，其中人员经费支出443.09万元、公用经费支出355.89万元。</w:t>
      </w:r>
    </w:p>
    <w:p>
      <w:pPr>
        <w:numPr>
          <w:ilvl w:val="0"/>
          <w:numId w:val="1"/>
        </w:numPr>
        <w:spacing w:line="480" w:lineRule="auto"/>
        <w:ind w:left="0" w:leftChars="0"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项目支出情况</w:t>
      </w:r>
    </w:p>
    <w:p>
      <w:pPr>
        <w:widowControl/>
        <w:spacing w:line="600" w:lineRule="exact"/>
        <w:ind w:firstLine="640" w:firstLineChars="200"/>
        <w:jc w:val="left"/>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2022年决算项目支出0万元。</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643" w:firstLineChars="200"/>
        <w:jc w:val="both"/>
        <w:rPr>
          <w:rFonts w:hint="eastAsia" w:ascii="宋体" w:hAnsi="宋体" w:eastAsia="宋体" w:cs="宋体"/>
          <w:b/>
          <w:bCs/>
          <w:i w:val="0"/>
          <w:iCs w:val="0"/>
          <w:caps w:val="0"/>
          <w:color w:val="auto"/>
          <w:spacing w:val="0"/>
          <w:sz w:val="32"/>
          <w:szCs w:val="32"/>
          <w:highlight w:val="none"/>
          <w:shd w:val="clear" w:fill="FFFFFF"/>
        </w:rPr>
      </w:pPr>
      <w:r>
        <w:rPr>
          <w:rFonts w:hint="eastAsia" w:ascii="宋体" w:hAnsi="宋体" w:eastAsia="宋体" w:cs="宋体"/>
          <w:b/>
          <w:bCs/>
          <w:i w:val="0"/>
          <w:iCs w:val="0"/>
          <w:caps w:val="0"/>
          <w:color w:val="auto"/>
          <w:spacing w:val="0"/>
          <w:sz w:val="32"/>
          <w:szCs w:val="32"/>
          <w:highlight w:val="none"/>
          <w:shd w:val="clear" w:fill="FFFFFF"/>
          <w:lang w:val="en-US" w:eastAsia="zh-CN"/>
        </w:rPr>
        <w:t>三</w:t>
      </w:r>
      <w:r>
        <w:rPr>
          <w:rFonts w:hint="eastAsia" w:ascii="宋体" w:hAnsi="宋体" w:eastAsia="宋体" w:cs="宋体"/>
          <w:b/>
          <w:bCs/>
          <w:i w:val="0"/>
          <w:iCs w:val="0"/>
          <w:caps w:val="0"/>
          <w:color w:val="auto"/>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auto"/>
          <w:spacing w:val="0"/>
          <w:sz w:val="32"/>
          <w:szCs w:val="32"/>
          <w:highlight w:val="none"/>
          <w:shd w:val="clear" w:fill="FFFFFF"/>
          <w:lang w:val="en-US" w:eastAsia="zh-CN"/>
        </w:rPr>
      </w:pPr>
      <w:r>
        <w:rPr>
          <w:rFonts w:hint="eastAsia" w:ascii="宋体" w:hAnsi="宋体" w:eastAsia="宋体" w:cs="宋体"/>
          <w:b/>
          <w:bCs/>
          <w:i w:val="0"/>
          <w:iCs w:val="0"/>
          <w:caps w:val="0"/>
          <w:color w:val="auto"/>
          <w:spacing w:val="0"/>
          <w:sz w:val="32"/>
          <w:szCs w:val="32"/>
          <w:highlight w:val="none"/>
          <w:shd w:val="clear" w:fill="FFFFFF"/>
          <w:lang w:val="en-US" w:eastAsia="zh-CN"/>
        </w:rPr>
        <w:t>（一）主要绩效指标完成情况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1、预算执行情况。</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⑴2022年财政拨款预算执行</w:t>
      </w:r>
      <w:r>
        <w:rPr>
          <w:rFonts w:hint="eastAsia" w:ascii="宋体" w:hAnsi="宋体" w:eastAsia="宋体" w:cs="宋体"/>
          <w:i w:val="0"/>
          <w:iCs w:val="0"/>
          <w:caps w:val="0"/>
          <w:color w:val="000000"/>
          <w:spacing w:val="0"/>
          <w:sz w:val="32"/>
          <w:szCs w:val="32"/>
          <w:highlight w:val="none"/>
          <w:lang w:val="en-US" w:eastAsia="zh-CN"/>
        </w:rPr>
        <w:t>798.98</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万元，全年预算</w:t>
      </w:r>
      <w:r>
        <w:rPr>
          <w:rFonts w:ascii="宋体" w:hAnsi="宋体" w:eastAsia="宋体" w:cs="宋体"/>
          <w:i w:val="0"/>
          <w:iCs w:val="0"/>
          <w:caps w:val="0"/>
          <w:color w:val="000000"/>
          <w:spacing w:val="0"/>
          <w:sz w:val="32"/>
          <w:szCs w:val="32"/>
          <w:highlight w:val="none"/>
        </w:rPr>
        <w:t>513.37</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万元，预算执行率为155.64%；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highlight w:val="none"/>
          <w:shd w:val="clear" w:fill="FFFFFF"/>
          <w:lang w:val="en-US" w:eastAsia="zh-CN" w:bidi="ar-SA"/>
        </w:rPr>
      </w:pPr>
      <w:r>
        <w:rPr>
          <w:rFonts w:hint="eastAsia" w:ascii="宋体" w:hAnsi="宋体" w:eastAsia="宋体" w:cs="宋体"/>
          <w:i w:val="0"/>
          <w:iCs w:val="0"/>
          <w:caps w:val="0"/>
          <w:color w:val="auto"/>
          <w:spacing w:val="0"/>
          <w:kern w:val="2"/>
          <w:sz w:val="32"/>
          <w:szCs w:val="32"/>
          <w:highlight w:val="none"/>
          <w:shd w:val="clear" w:fill="FFFFFF"/>
          <w:lang w:val="en-US" w:eastAsia="zh-CN" w:bidi="ar-SA"/>
        </w:rPr>
        <w:t>⑵公用经费预算108.25万元，实际支出355.89万元，公用经费控制率为328%；（3）“三公经费”年初预算安排2万元，实际支出30.3万元。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highlight w:val="none"/>
          <w:shd w:val="clear" w:fill="FFFFFF"/>
        </w:rPr>
        <w:t>2、预决算信息公开情况。</w:t>
      </w:r>
      <w:r>
        <w:rPr>
          <w:rFonts w:hint="eastAsia" w:ascii="宋体" w:hAnsi="宋体" w:eastAsia="宋体" w:cs="宋体"/>
          <w:b w:val="0"/>
          <w:bCs w:val="0"/>
          <w:i w:val="0"/>
          <w:iCs w:val="0"/>
          <w:caps w:val="0"/>
          <w:color w:val="auto"/>
          <w:spacing w:val="0"/>
          <w:sz w:val="32"/>
          <w:szCs w:val="32"/>
          <w:highlight w:val="none"/>
          <w:shd w:val="clear" w:fill="FFFFFF"/>
          <w:lang w:eastAsia="zh-CN"/>
        </w:rPr>
        <w:t>北塔区纪委监委</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及时在区政</w:t>
      </w:r>
      <w:r>
        <w:rPr>
          <w:rFonts w:hint="eastAsia" w:ascii="宋体" w:hAnsi="宋体" w:eastAsia="宋体" w:cs="宋体"/>
          <w:i w:val="0"/>
          <w:iCs w:val="0"/>
          <w:caps w:val="0"/>
          <w:color w:val="auto"/>
          <w:spacing w:val="0"/>
          <w:kern w:val="2"/>
          <w:sz w:val="32"/>
          <w:szCs w:val="32"/>
          <w:shd w:val="clear" w:fill="FFFFFF"/>
          <w:lang w:val="en-US" w:eastAsia="zh-CN" w:bidi="ar-SA"/>
        </w:rPr>
        <w:t>府统一平台公开了部门预算、决算和绩效目标、绩效自评报告、“三公经费”等信息，接受群众和社会监督。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643" w:firstLineChars="200"/>
        <w:jc w:val="both"/>
        <w:rPr>
          <w:rFonts w:hint="eastAsia" w:ascii="宋体" w:hAnsi="宋体" w:eastAsia="宋体" w:cs="宋体"/>
          <w:i w:val="0"/>
          <w:iCs w:val="0"/>
          <w:caps w:val="0"/>
          <w:color w:val="auto"/>
          <w:spacing w:val="0"/>
          <w:kern w:val="2"/>
          <w:sz w:val="32"/>
          <w:szCs w:val="32"/>
          <w:shd w:val="clear" w:fill="FFFFFF"/>
          <w:lang w:val="en-US" w:eastAsia="zh-CN" w:bidi="ar-SA"/>
        </w:rPr>
      </w:pPr>
      <w:r>
        <w:rPr>
          <w:rFonts w:hint="eastAsia" w:ascii="宋体" w:hAnsi="宋体" w:eastAsia="宋体" w:cs="宋体"/>
          <w:b/>
          <w:bCs/>
          <w:i w:val="0"/>
          <w:iCs w:val="0"/>
          <w:caps w:val="0"/>
          <w:color w:val="auto"/>
          <w:spacing w:val="0"/>
          <w:sz w:val="32"/>
          <w:szCs w:val="32"/>
          <w:shd w:val="clear" w:fill="FFFFFF"/>
          <w:lang w:val="en-US" w:eastAsia="zh-CN"/>
        </w:rPr>
        <w:t>3</w:t>
      </w:r>
      <w:r>
        <w:rPr>
          <w:rFonts w:hint="eastAsia" w:ascii="宋体" w:hAnsi="宋体" w:eastAsia="宋体" w:cs="宋体"/>
          <w:b/>
          <w:bCs/>
          <w:i w:val="0"/>
          <w:iCs w:val="0"/>
          <w:caps w:val="0"/>
          <w:color w:val="auto"/>
          <w:spacing w:val="0"/>
          <w:sz w:val="32"/>
          <w:szCs w:val="32"/>
          <w:shd w:val="clear" w:fill="FFFFFF"/>
        </w:rPr>
        <w:t>、资产管理情况。</w:t>
      </w:r>
      <w:r>
        <w:rPr>
          <w:rFonts w:hint="eastAsia" w:ascii="宋体" w:hAnsi="宋体" w:eastAsia="宋体" w:cs="宋体"/>
          <w:i w:val="0"/>
          <w:iCs w:val="0"/>
          <w:caps w:val="0"/>
          <w:color w:val="auto"/>
          <w:spacing w:val="0"/>
          <w:kern w:val="2"/>
          <w:sz w:val="32"/>
          <w:szCs w:val="32"/>
          <w:shd w:val="clear" w:fill="FFFFFF"/>
          <w:lang w:val="en-US" w:eastAsia="zh-CN" w:bidi="ar-SA"/>
        </w:rPr>
        <w:t>截止2022年12月31日，</w:t>
      </w:r>
      <w:r>
        <w:rPr>
          <w:rFonts w:hint="eastAsia" w:ascii="宋体" w:hAnsi="宋体" w:eastAsia="宋体" w:cs="宋体"/>
          <w:color w:val="auto"/>
          <w:sz w:val="32"/>
          <w:szCs w:val="32"/>
          <w:lang w:eastAsia="zh-CN"/>
        </w:rPr>
        <w:t>北塔区纪委监委</w:t>
      </w:r>
      <w:r>
        <w:rPr>
          <w:rFonts w:hint="eastAsia" w:ascii="宋体" w:hAnsi="宋体" w:eastAsia="宋体" w:cs="宋体"/>
          <w:i w:val="0"/>
          <w:iCs w:val="0"/>
          <w:caps w:val="0"/>
          <w:color w:val="auto"/>
          <w:spacing w:val="0"/>
          <w:kern w:val="2"/>
          <w:sz w:val="32"/>
          <w:szCs w:val="32"/>
          <w:highlight w:val="none"/>
          <w:shd w:val="clear" w:fill="FFFFFF"/>
          <w:lang w:val="en-US" w:eastAsia="zh-CN" w:bidi="ar-SA"/>
        </w:rPr>
        <w:t>拥有各类资产总额92.71万元，其中流动资产13万元，固定资产净值79.71万元。单位为加强资产管理，内部制定了资产管理制度，</w:t>
      </w:r>
      <w:r>
        <w:rPr>
          <w:rFonts w:hint="eastAsia" w:ascii="宋体" w:hAnsi="宋体" w:eastAsia="宋体" w:cs="宋体"/>
          <w:i w:val="0"/>
          <w:iCs w:val="0"/>
          <w:caps w:val="0"/>
          <w:color w:val="auto"/>
          <w:spacing w:val="0"/>
          <w:kern w:val="2"/>
          <w:sz w:val="32"/>
          <w:szCs w:val="32"/>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color w:val="auto"/>
          <w:sz w:val="28"/>
          <w:szCs w:val="28"/>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（二）职责覆行和主要绩效情况</w:t>
      </w:r>
      <w:r>
        <w:rPr>
          <w:rFonts w:hint="eastAsia" w:ascii="宋体" w:hAnsi="宋体" w:eastAsia="宋体" w:cs="宋体"/>
          <w:color w:val="auto"/>
          <w:kern w:val="0"/>
          <w:sz w:val="28"/>
          <w:szCs w:val="28"/>
          <w:shd w:val="clear" w:fill="FFFFFF"/>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1、</w:t>
      </w:r>
      <w:r>
        <w:rPr>
          <w:rFonts w:hint="eastAsia" w:ascii="宋体" w:hAnsi="宋体" w:eastAsia="宋体" w:cs="宋体"/>
          <w:b w:val="0"/>
          <w:bCs w:val="0"/>
          <w:sz w:val="32"/>
          <w:szCs w:val="32"/>
        </w:rPr>
        <w:t>预算执行</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预算管理</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为规范机关财务管理，建立健全财务管理制度，我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sz w:val="32"/>
          <w:szCs w:val="32"/>
        </w:rPr>
      </w:pPr>
      <w:r>
        <w:rPr>
          <w:rFonts w:hint="eastAsia" w:ascii="宋体" w:hAnsi="宋体" w:eastAsia="宋体" w:cs="宋体"/>
          <w:b w:val="0"/>
          <w:bCs w:val="0"/>
          <w:sz w:val="32"/>
          <w:szCs w:val="32"/>
          <w:lang w:val="en-US" w:eastAsia="zh-CN"/>
        </w:rPr>
        <w:t>3、</w:t>
      </w:r>
      <w:r>
        <w:rPr>
          <w:rFonts w:hint="eastAsia" w:ascii="宋体" w:hAnsi="宋体" w:eastAsia="宋体" w:cs="宋体"/>
          <w:b w:val="0"/>
          <w:bCs w:val="0"/>
          <w:sz w:val="32"/>
          <w:szCs w:val="32"/>
        </w:rPr>
        <w:t>提升支出绩效</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202</w:t>
      </w:r>
      <w:r>
        <w:rPr>
          <w:rFonts w:hint="eastAsia" w:ascii="宋体" w:hAnsi="宋体" w:eastAsia="宋体" w:cs="宋体"/>
          <w:b w:val="0"/>
          <w:bCs w:val="0"/>
          <w:sz w:val="32"/>
          <w:szCs w:val="32"/>
          <w:lang w:val="en-US" w:eastAsia="zh-CN"/>
        </w:rPr>
        <w:t>2</w:t>
      </w:r>
      <w:r>
        <w:rPr>
          <w:rFonts w:hint="eastAsia" w:ascii="宋体" w:hAnsi="宋体" w:eastAsia="宋体" w:cs="宋体"/>
          <w:b w:val="0"/>
          <w:bCs w:val="0"/>
          <w:sz w:val="32"/>
          <w:szCs w:val="32"/>
        </w:rPr>
        <w:t>年，我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全面落实区委、区政府的各项工作部署，牢固树立发展意识，大力弘扬实干精神，扎实推进各项工作，各项工作任务全面完成，财务管理规范，单位行政运行稳定有序。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b w:val="0"/>
          <w:bCs w:val="0"/>
          <w:i w:val="0"/>
          <w:iCs w:val="0"/>
          <w:caps w:val="0"/>
          <w:color w:val="auto"/>
          <w:spacing w:val="0"/>
          <w:kern w:val="2"/>
          <w:sz w:val="32"/>
          <w:szCs w:val="32"/>
          <w:shd w:val="clear" w:fill="FFFFFF"/>
          <w:lang w:val="en-US" w:eastAsia="zh-CN" w:bidi="ar-SA"/>
        </w:rPr>
      </w:pPr>
      <w:r>
        <w:rPr>
          <w:rFonts w:hint="eastAsia" w:ascii="宋体" w:hAnsi="宋体" w:eastAsia="宋体" w:cs="宋体"/>
          <w:b w:val="0"/>
          <w:bCs w:val="0"/>
          <w:sz w:val="32"/>
          <w:szCs w:val="32"/>
          <w:lang w:val="en-US" w:eastAsia="zh-CN"/>
        </w:rPr>
        <w:t>4、</w:t>
      </w:r>
      <w:r>
        <w:rPr>
          <w:rFonts w:hint="eastAsia" w:ascii="宋体" w:hAnsi="宋体" w:eastAsia="宋体" w:cs="宋体"/>
          <w:b w:val="0"/>
          <w:bCs w:val="0"/>
          <w:sz w:val="32"/>
          <w:szCs w:val="32"/>
        </w:rPr>
        <w:t>评价结论</w:t>
      </w:r>
      <w:r>
        <w:rPr>
          <w:rFonts w:hint="eastAsia" w:ascii="宋体" w:hAnsi="宋体" w:eastAsia="宋体" w:cs="宋体"/>
          <w:b w:val="0"/>
          <w:bCs w:val="0"/>
          <w:sz w:val="32"/>
          <w:szCs w:val="32"/>
          <w:lang w:eastAsia="zh-CN"/>
        </w:rPr>
        <w:t>：</w:t>
      </w:r>
      <w:r>
        <w:rPr>
          <w:rFonts w:hint="eastAsia" w:ascii="宋体" w:hAnsi="宋体" w:eastAsia="宋体" w:cs="宋体"/>
          <w:b w:val="0"/>
          <w:bCs w:val="0"/>
          <w:sz w:val="32"/>
          <w:szCs w:val="32"/>
        </w:rPr>
        <w:t>我</w:t>
      </w:r>
      <w:r>
        <w:rPr>
          <w:rFonts w:hint="eastAsia" w:ascii="宋体" w:hAnsi="宋体" w:eastAsia="宋体" w:cs="宋体"/>
          <w:b w:val="0"/>
          <w:bCs w:val="0"/>
          <w:sz w:val="32"/>
          <w:szCs w:val="32"/>
          <w:lang w:val="en-US" w:eastAsia="zh-CN"/>
        </w:rPr>
        <w:t>办</w:t>
      </w:r>
      <w:r>
        <w:rPr>
          <w:rFonts w:hint="eastAsia" w:ascii="宋体" w:hAnsi="宋体" w:eastAsia="宋体" w:cs="宋体"/>
          <w:b w:val="0"/>
          <w:bCs w:val="0"/>
          <w:sz w:val="32"/>
          <w:szCs w:val="32"/>
        </w:rPr>
        <w:t>认真组织开展整体支出绩效自评，自评等级“良好”。</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val="0"/>
          <w:bCs/>
          <w:i w:val="0"/>
          <w:iCs w:val="0"/>
          <w:caps w:val="0"/>
          <w:color w:val="auto"/>
          <w:spacing w:val="0"/>
          <w:sz w:val="32"/>
          <w:szCs w:val="32"/>
          <w:shd w:val="clear" w:fill="FFFFFF"/>
          <w:lang w:val="en-US" w:eastAsia="zh-CN"/>
        </w:rPr>
      </w:pPr>
      <w:r>
        <w:rPr>
          <w:rFonts w:hint="eastAsia" w:ascii="宋体" w:hAnsi="宋体" w:eastAsia="宋体" w:cs="宋体"/>
          <w:b w:val="0"/>
          <w:bCs/>
          <w:i w:val="0"/>
          <w:iCs w:val="0"/>
          <w:caps w:val="0"/>
          <w:color w:val="auto"/>
          <w:spacing w:val="0"/>
          <w:sz w:val="32"/>
          <w:szCs w:val="32"/>
          <w:shd w:val="clear" w:fill="FFFFFF"/>
          <w:lang w:val="en-US" w:eastAsia="zh-CN"/>
        </w:rPr>
        <w:t>存在的问题及原因分析</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sz w:val="32"/>
          <w:szCs w:val="32"/>
        </w:rPr>
        <w:t>绩效评价工作机制有待进一步完善。由于在平时工作中未加强对绩效监控工作的重视，绩效监控工作容易滞后。</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eastAsia="zh-CN"/>
        </w:rPr>
        <w:t>（二）</w:t>
      </w:r>
      <w:r>
        <w:rPr>
          <w:rFonts w:hint="eastAsia" w:ascii="宋体" w:hAnsi="宋体" w:eastAsia="宋体" w:cs="宋体"/>
          <w:sz w:val="32"/>
          <w:szCs w:val="32"/>
        </w:rPr>
        <w:t>在编制部门年度预算时，虽然根据本单位职能职责和年度工作计划，但在20</w:t>
      </w:r>
      <w:r>
        <w:rPr>
          <w:rFonts w:hint="eastAsia" w:ascii="宋体" w:hAnsi="宋体" w:eastAsia="宋体" w:cs="宋体"/>
          <w:sz w:val="32"/>
          <w:szCs w:val="32"/>
          <w:lang w:val="en-US" w:eastAsia="zh-CN"/>
        </w:rPr>
        <w:t>22</w:t>
      </w:r>
      <w:r>
        <w:rPr>
          <w:rFonts w:hint="eastAsia" w:ascii="宋体" w:hAnsi="宋体" w:eastAsia="宋体" w:cs="宋体"/>
          <w:sz w:val="32"/>
          <w:szCs w:val="32"/>
        </w:rPr>
        <w:t>年部门预算执行过程中，仍然存在以下问题，年初预算编制不合理或部分经费计划比较紧张，往往需要在年度中间进行预算追加和调整。</w:t>
      </w: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leftChars="0" w:right="0" w:firstLine="420" w:firstLineChars="0"/>
        <w:jc w:val="both"/>
        <w:rPr>
          <w:rFonts w:hint="eastAsia" w:ascii="宋体" w:hAnsi="宋体" w:eastAsia="宋体" w:cs="宋体"/>
          <w:b/>
          <w:bCs/>
          <w:i w:val="0"/>
          <w:iCs w:val="0"/>
          <w:caps w:val="0"/>
          <w:color w:val="auto"/>
          <w:spacing w:val="0"/>
          <w:sz w:val="32"/>
          <w:szCs w:val="32"/>
          <w:shd w:val="clear" w:fill="FFFFFF"/>
          <w:lang w:val="en-US" w:eastAsia="zh-CN"/>
        </w:rPr>
      </w:pPr>
      <w:r>
        <w:rPr>
          <w:rFonts w:hint="eastAsia" w:ascii="宋体" w:hAnsi="宋体" w:eastAsia="宋体" w:cs="宋体"/>
          <w:b/>
          <w:bCs/>
          <w:i w:val="0"/>
          <w:iCs w:val="0"/>
          <w:caps w:val="0"/>
          <w:color w:val="auto"/>
          <w:spacing w:val="0"/>
          <w:sz w:val="32"/>
          <w:szCs w:val="32"/>
          <w:shd w:val="clear" w:fill="FFFFFF"/>
          <w:lang w:val="en-US" w:eastAsia="zh-CN"/>
        </w:rPr>
        <w:t>改进措施及有关建议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(一)完善绩效监控机制</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完善设置预算绩效指标，合理安排经费和各项资金，更加贴合本单位财务工作的实际情况，能够合理运用现有资源，保证预算绩效指标的顺利实施。</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(二)严格执行单位预算</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按照新《预算法》及相关规定，结合上一年度单位预算执行情况和本年度预算收支变化因素，科学、合理地编制本年预算草案，严格按规定程序进行预算调剂。</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(三)完善内部控制支出</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加快推动内部控制建设，大力压减一般性支出，严格控制非刚性支出，切实发挥资金效益。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(四)加强财务知识培训</w:t>
      </w:r>
    </w:p>
    <w:p>
      <w:pPr>
        <w:keepNext w:val="0"/>
        <w:keepLines w:val="0"/>
        <w:pageBreakBefore w:val="0"/>
        <w:widowControl w:val="0"/>
        <w:kinsoku/>
        <w:wordWrap/>
        <w:overflowPunct/>
        <w:topLinePunct w:val="0"/>
        <w:autoSpaceDE/>
        <w:autoSpaceDN/>
        <w:bidi w:val="0"/>
        <w:adjustRightInd/>
        <w:snapToGrid w:val="0"/>
        <w:spacing w:line="3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聚焦提升财务人员业务技能、财经纪律意识等方面，加强新《预算法》《新政府会计制度》等学习培训，进一步提升业务人员能力。</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E7161"/>
    <w:multiLevelType w:val="singleLevel"/>
    <w:tmpl w:val="A71E7161"/>
    <w:lvl w:ilvl="0" w:tentative="0">
      <w:start w:val="2"/>
      <w:numFmt w:val="chineseCounting"/>
      <w:suff w:val="nothing"/>
      <w:lvlText w:val="（%1）"/>
      <w:lvlJc w:val="left"/>
      <w:rPr>
        <w:rFonts w:hint="eastAsia"/>
      </w:rPr>
    </w:lvl>
  </w:abstractNum>
  <w:abstractNum w:abstractNumId="1">
    <w:nsid w:val="47A77A8D"/>
    <w:multiLevelType w:val="singleLevel"/>
    <w:tmpl w:val="47A77A8D"/>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2MGY2Y2M4NTEyZGNlOTg0OGNmYjdmNzBmOTA2MGMifQ=="/>
  </w:docVars>
  <w:rsids>
    <w:rsidRoot w:val="00000000"/>
    <w:rsid w:val="00554C33"/>
    <w:rsid w:val="006D6F3B"/>
    <w:rsid w:val="00D51644"/>
    <w:rsid w:val="01D628BE"/>
    <w:rsid w:val="025D08EA"/>
    <w:rsid w:val="02A74CAA"/>
    <w:rsid w:val="02D1729F"/>
    <w:rsid w:val="038C5FE2"/>
    <w:rsid w:val="04195D38"/>
    <w:rsid w:val="04456370"/>
    <w:rsid w:val="05213482"/>
    <w:rsid w:val="05FF0599"/>
    <w:rsid w:val="066A1827"/>
    <w:rsid w:val="09E17252"/>
    <w:rsid w:val="0BF7590B"/>
    <w:rsid w:val="0C42180C"/>
    <w:rsid w:val="0D3E7DED"/>
    <w:rsid w:val="0D5E3707"/>
    <w:rsid w:val="0DC45CC1"/>
    <w:rsid w:val="0DEF71E2"/>
    <w:rsid w:val="0F492922"/>
    <w:rsid w:val="0FBD6E6C"/>
    <w:rsid w:val="11E84674"/>
    <w:rsid w:val="126C42B4"/>
    <w:rsid w:val="148572C3"/>
    <w:rsid w:val="15EB37BD"/>
    <w:rsid w:val="17042185"/>
    <w:rsid w:val="17B648CC"/>
    <w:rsid w:val="18D309FC"/>
    <w:rsid w:val="1B8F5B60"/>
    <w:rsid w:val="1BF34341"/>
    <w:rsid w:val="1D9A1B96"/>
    <w:rsid w:val="1E197963"/>
    <w:rsid w:val="1F010C8F"/>
    <w:rsid w:val="20076858"/>
    <w:rsid w:val="20F63895"/>
    <w:rsid w:val="2129610F"/>
    <w:rsid w:val="213F6706"/>
    <w:rsid w:val="24961D0D"/>
    <w:rsid w:val="25C20FC7"/>
    <w:rsid w:val="26166273"/>
    <w:rsid w:val="2ABC4498"/>
    <w:rsid w:val="2ABE5B1A"/>
    <w:rsid w:val="2B032004"/>
    <w:rsid w:val="2BD107CE"/>
    <w:rsid w:val="2C3A1B18"/>
    <w:rsid w:val="2C7529D1"/>
    <w:rsid w:val="2D0E7E36"/>
    <w:rsid w:val="2D6C05C8"/>
    <w:rsid w:val="2DB256DE"/>
    <w:rsid w:val="2E2A2941"/>
    <w:rsid w:val="2F2B74F6"/>
    <w:rsid w:val="2F975A5E"/>
    <w:rsid w:val="31692558"/>
    <w:rsid w:val="317211D8"/>
    <w:rsid w:val="33CC6E76"/>
    <w:rsid w:val="33FF02E9"/>
    <w:rsid w:val="34F457C9"/>
    <w:rsid w:val="35B50461"/>
    <w:rsid w:val="3619015E"/>
    <w:rsid w:val="36E22B02"/>
    <w:rsid w:val="375C4F25"/>
    <w:rsid w:val="37A26170"/>
    <w:rsid w:val="38F247D2"/>
    <w:rsid w:val="39D0586A"/>
    <w:rsid w:val="3A365ACD"/>
    <w:rsid w:val="3B9303B2"/>
    <w:rsid w:val="3BB70A8F"/>
    <w:rsid w:val="3C8416D7"/>
    <w:rsid w:val="3C8B4214"/>
    <w:rsid w:val="3D2748D8"/>
    <w:rsid w:val="3D2832C7"/>
    <w:rsid w:val="3E257E13"/>
    <w:rsid w:val="3F6727CC"/>
    <w:rsid w:val="3FAB09ED"/>
    <w:rsid w:val="3FE2133F"/>
    <w:rsid w:val="4114603C"/>
    <w:rsid w:val="42A35AA6"/>
    <w:rsid w:val="441973E2"/>
    <w:rsid w:val="447A4D50"/>
    <w:rsid w:val="44AF5D78"/>
    <w:rsid w:val="45833892"/>
    <w:rsid w:val="45CB4E15"/>
    <w:rsid w:val="45DE4E6B"/>
    <w:rsid w:val="479B51D9"/>
    <w:rsid w:val="47D12ED9"/>
    <w:rsid w:val="48D2515B"/>
    <w:rsid w:val="491017DF"/>
    <w:rsid w:val="4A4754D4"/>
    <w:rsid w:val="4ACA7AAB"/>
    <w:rsid w:val="4B991F60"/>
    <w:rsid w:val="4D113C42"/>
    <w:rsid w:val="4D611650"/>
    <w:rsid w:val="4E58558A"/>
    <w:rsid w:val="4F3501F1"/>
    <w:rsid w:val="4F786B55"/>
    <w:rsid w:val="4FE043FD"/>
    <w:rsid w:val="528903BC"/>
    <w:rsid w:val="52C04276"/>
    <w:rsid w:val="52CA202D"/>
    <w:rsid w:val="52FD0006"/>
    <w:rsid w:val="53202F66"/>
    <w:rsid w:val="533E2C54"/>
    <w:rsid w:val="54517DF8"/>
    <w:rsid w:val="55C776C9"/>
    <w:rsid w:val="566F5A6F"/>
    <w:rsid w:val="57154464"/>
    <w:rsid w:val="575435C3"/>
    <w:rsid w:val="57B54FE2"/>
    <w:rsid w:val="58CA4CA4"/>
    <w:rsid w:val="59A70B1E"/>
    <w:rsid w:val="59E60318"/>
    <w:rsid w:val="5A772471"/>
    <w:rsid w:val="5B547C51"/>
    <w:rsid w:val="5C8E7193"/>
    <w:rsid w:val="5CBC5F90"/>
    <w:rsid w:val="5E6D1153"/>
    <w:rsid w:val="5EAB402C"/>
    <w:rsid w:val="5F83500A"/>
    <w:rsid w:val="60745B56"/>
    <w:rsid w:val="61016585"/>
    <w:rsid w:val="612C6F7A"/>
    <w:rsid w:val="630B6593"/>
    <w:rsid w:val="631D4DCC"/>
    <w:rsid w:val="63EA2155"/>
    <w:rsid w:val="640D42B8"/>
    <w:rsid w:val="64122457"/>
    <w:rsid w:val="641F097E"/>
    <w:rsid w:val="648F3AA8"/>
    <w:rsid w:val="65236940"/>
    <w:rsid w:val="653603C7"/>
    <w:rsid w:val="65C43C25"/>
    <w:rsid w:val="664A41B0"/>
    <w:rsid w:val="66D16D4F"/>
    <w:rsid w:val="66FE6113"/>
    <w:rsid w:val="68D73C6F"/>
    <w:rsid w:val="694A2693"/>
    <w:rsid w:val="6B874FA2"/>
    <w:rsid w:val="6C3C4515"/>
    <w:rsid w:val="6C5D1A55"/>
    <w:rsid w:val="6C6B54E9"/>
    <w:rsid w:val="6D2154B9"/>
    <w:rsid w:val="6FD52562"/>
    <w:rsid w:val="703025E3"/>
    <w:rsid w:val="70514092"/>
    <w:rsid w:val="70852420"/>
    <w:rsid w:val="71881FAB"/>
    <w:rsid w:val="722B3457"/>
    <w:rsid w:val="72EE0533"/>
    <w:rsid w:val="73125FD0"/>
    <w:rsid w:val="76A74C81"/>
    <w:rsid w:val="76DC35F5"/>
    <w:rsid w:val="7832658D"/>
    <w:rsid w:val="78981BAF"/>
    <w:rsid w:val="79074D5F"/>
    <w:rsid w:val="79823784"/>
    <w:rsid w:val="7A21330E"/>
    <w:rsid w:val="7AA50366"/>
    <w:rsid w:val="7AF745AA"/>
    <w:rsid w:val="7B7D06A6"/>
    <w:rsid w:val="7BF00E78"/>
    <w:rsid w:val="7CF23984"/>
    <w:rsid w:val="7F066102"/>
    <w:rsid w:val="7F0E0E5A"/>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qFormat/>
    <w:uiPriority w:val="0"/>
    <w:rPr>
      <w:sz w:val="24"/>
    </w:rPr>
  </w:style>
  <w:style w:type="paragraph" w:styleId="5">
    <w:name w:val="Body Text Indent"/>
    <w:basedOn w:val="1"/>
    <w:semiHidden/>
    <w:qFormat/>
    <w:uiPriority w:val="99"/>
    <w:pPr>
      <w:spacing w:after="120"/>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4"/>
    <w:qFormat/>
    <w:uiPriority w:val="99"/>
    <w:pPr>
      <w:ind w:firstLine="420" w:firstLineChars="100"/>
    </w:pPr>
  </w:style>
  <w:style w:type="paragraph" w:styleId="8">
    <w:name w:val="Body Text First Indent 2"/>
    <w:basedOn w:val="5"/>
    <w:semiHidden/>
    <w:qFormat/>
    <w:uiPriority w:val="99"/>
    <w:pPr>
      <w:ind w:firstLine="420" w:firstLineChars="200"/>
    </w:p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3129</Words>
  <Characters>3268</Characters>
  <Lines>0</Lines>
  <Paragraphs>0</Paragraphs>
  <TotalTime>22</TotalTime>
  <ScaleCrop>false</ScaleCrop>
  <LinksUpToDate>false</LinksUpToDate>
  <CharactersWithSpaces>3279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2023-10-08T02:00:22Z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940B8059199B4A289414AF523A65E0B0_13</vt:lpwstr>
  </property>
</Properties>
</file>