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ascii="宋体" w:hAnsi="宋体" w:eastAsia="宋体" w:cs="方正小标宋简体"/>
          <w:b/>
          <w:bCs/>
          <w:sz w:val="44"/>
          <w:szCs w:val="44"/>
          <w:lang w:eastAsia="zh-CN"/>
        </w:rPr>
        <w:t>北塔区纪委监委</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widowControl/>
        <w:spacing w:line="600" w:lineRule="exact"/>
        <w:ind w:firstLine="640" w:firstLineChars="200"/>
        <w:jc w:val="left"/>
        <w:rPr>
          <w:rFonts w:hint="default" w:ascii="仿宋_GB2312" w:hAnsi="Times New Roman" w:eastAsia="仿宋_GB2312" w:cs="Times New Roman"/>
          <w:sz w:val="32"/>
          <w:szCs w:val="32"/>
          <w:lang w:val="en-US" w:eastAsia="zh-CN"/>
        </w:rPr>
      </w:pPr>
      <w:r>
        <w:rPr>
          <w:rFonts w:ascii="宋体" w:hAnsi="宋体" w:eastAsia="宋体" w:cs="宋体"/>
          <w:color w:val="000000"/>
          <w:sz w:val="32"/>
          <w:szCs w:val="32"/>
        </w:rPr>
        <w:t>区纪委</w:t>
      </w:r>
      <w:r>
        <w:rPr>
          <w:rFonts w:hint="eastAsia" w:ascii="宋体" w:hAnsi="宋体" w:eastAsia="宋体" w:cs="宋体"/>
          <w:color w:val="000000"/>
          <w:sz w:val="32"/>
          <w:szCs w:val="32"/>
          <w:lang w:eastAsia="zh-CN"/>
        </w:rPr>
        <w:t>监委</w:t>
      </w:r>
      <w:r>
        <w:rPr>
          <w:rFonts w:ascii="宋体" w:hAnsi="宋体" w:eastAsia="宋体" w:cs="宋体"/>
          <w:color w:val="000000"/>
          <w:sz w:val="32"/>
          <w:szCs w:val="32"/>
        </w:rPr>
        <w:t>编制人数43人，实际人数39人，在职人数</w:t>
      </w:r>
      <w:r>
        <w:rPr>
          <w:rFonts w:hint="eastAsia" w:ascii="宋体" w:hAnsi="宋体" w:eastAsia="宋体" w:cs="宋体"/>
          <w:color w:val="000000"/>
          <w:sz w:val="32"/>
          <w:szCs w:val="32"/>
          <w:lang w:val="en-US" w:eastAsia="zh-CN"/>
        </w:rPr>
        <w:t>39</w:t>
      </w:r>
      <w:r>
        <w:rPr>
          <w:rFonts w:ascii="宋体" w:hAnsi="宋体" w:eastAsia="宋体" w:cs="宋体"/>
          <w:color w:val="000000"/>
          <w:sz w:val="32"/>
          <w:szCs w:val="32"/>
        </w:rPr>
        <w:t>人，离退休3人，遗属补助人数0人，小车编制数</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台，实际</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台，房屋面积431.28平方。北塔区纪委监委内设机构8个：办公室、党风政风监督室、信访室、案件审理室、案件监督管理室、纪检监察干部监督室（加挂第一纪检监察室）、第二、三纪检监察室，6个派驻纪检监察组。所属事业单位信息中心 1个。</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spacing w:before="0" w:beforeAutospacing="0" w:after="2" w:afterAutospacing="0"/>
        <w:ind w:left="0" w:firstLine="630"/>
      </w:pPr>
      <w:r>
        <w:rPr>
          <w:rFonts w:ascii="宋体" w:hAnsi="宋体" w:eastAsia="宋体" w:cs="宋体"/>
          <w:color w:val="000000"/>
          <w:sz w:val="32"/>
          <w:szCs w:val="32"/>
        </w:rPr>
        <w:t>1、负责全区党的纪律检查工作。贯彻落实党中央、中央纪委、省委、省纪委、市委、市纪委和区委关于纪律检查工作的决定，维护党的章程和其他党内法规，检查党的路线方针政策和决议的执行情况，协助区委推进全面从严治党、加强党风建设和组织协调反腐败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2、依照党的章程和其他党内法规履行监督、执纪、问责职责。负责经常对党员进行遵守纪律的教育，作出关于维护党纪的决定；对区委工作部门、区委批准设立的党组（党委），各乡街道党（工）委、纪（工）委等党的组织和区委管理的党员领导干部履行职责、行使权力进行监督，受理处置党员群众检举控告，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3、在区委领导下组织开展巡察工作。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4、负责全区监察工作。贯彻落实党中央、中央纪委国家监委、省委、省纪委省监委、市委、市纪委市监委和区委关于监察工作的决定，维护宪法法律，依法对区委管理的行使公权力的公职人员进行监察，调查职务违法和职务犯罪，开展廉政建设和反腐败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5、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6、负责组织协调全区全面从严治党、党风廉政建设和反腐败宣传教育工作。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7、负责综合分析全区全面从严治党、党风廉政建设和反腐败工作情况，对纪检监察工作重要理论及实践问题进行调查研究；起草制定或者修改本区纪检监察制度规定，参与起草制定本区相关法规和规范性文件。</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8、负责协调落实市纪委市监委交办的反腐败国际交流、合作等方面事宜；加强对全区反腐败国际追逃追赃和防逃工作的组织协调，督促有关单位做好相关工作。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9、根据干部管理权限，负责全区纪检监察系统领导班子建设、干部队伍建设和组织建设的综合规划、政策研究、制度建设和业务指导；会同有关方面做好区纪委区监委派驻机构、乡街道纪（工）委班子建设有关工作；组织和指导全区纪检监察系统干部教育培训工作等。</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10、完成市纪委市监委和区委交办的其他任务。</w:t>
      </w:r>
      <w:r>
        <w:rPr>
          <w:color w:val="000000"/>
        </w:rPr>
        <w:t xml:space="preserve"> </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auto"/>
          <w:spacing w:val="0"/>
          <w:sz w:val="32"/>
          <w:szCs w:val="32"/>
          <w:lang w:eastAsia="zh-CN"/>
        </w:rPr>
      </w:pPr>
      <w:r>
        <w:rPr>
          <w:rFonts w:ascii="宋体" w:hAnsi="宋体" w:eastAsia="宋体" w:cs="宋体"/>
          <w:i w:val="0"/>
          <w:iCs w:val="0"/>
          <w:caps w:val="0"/>
          <w:color w:val="000000"/>
          <w:spacing w:val="0"/>
          <w:sz w:val="32"/>
          <w:szCs w:val="32"/>
        </w:rPr>
        <w:t>2022年本部门收入预算513.37万元，其中，一般公共预算拨款收入513.37万元，政府性基金预算拨款收入0万元，国有资本经营预算拨款收入0万元。收入较去年减少27.23万元，</w:t>
      </w:r>
      <w:r>
        <w:rPr>
          <w:rFonts w:ascii="宋体" w:hAnsi="宋体" w:eastAsia="宋体" w:cs="宋体"/>
          <w:i w:val="0"/>
          <w:iCs w:val="0"/>
          <w:caps w:val="0"/>
          <w:color w:val="000000"/>
          <w:spacing w:val="0"/>
          <w:sz w:val="32"/>
          <w:szCs w:val="32"/>
          <w:highlight w:val="none"/>
        </w:rPr>
        <w:t>主要原因是</w:t>
      </w:r>
      <w:r>
        <w:rPr>
          <w:rFonts w:hint="eastAsia" w:ascii="宋体" w:hAnsi="宋体" w:eastAsia="宋体" w:cs="宋体"/>
          <w:i w:val="0"/>
          <w:iCs w:val="0"/>
          <w:caps w:val="0"/>
          <w:color w:val="000000"/>
          <w:spacing w:val="0"/>
          <w:sz w:val="32"/>
          <w:szCs w:val="32"/>
          <w:highlight w:val="none"/>
          <w:lang w:eastAsia="zh-CN"/>
        </w:rPr>
        <w:t>财政拨款收入较上年减少</w:t>
      </w:r>
      <w:r>
        <w:rPr>
          <w:rFonts w:ascii="宋体" w:hAnsi="宋体" w:eastAsia="宋体" w:cs="宋体"/>
          <w:i w:val="0"/>
          <w:iCs w:val="0"/>
          <w:caps w:val="0"/>
          <w:color w:val="000000"/>
          <w:spacing w:val="0"/>
          <w:sz w:val="32"/>
          <w:szCs w:val="32"/>
          <w:highlight w:val="none"/>
        </w:rPr>
        <w:t>。</w:t>
      </w:r>
    </w:p>
    <w:p>
      <w:pPr>
        <w:spacing w:line="480" w:lineRule="auto"/>
        <w:ind w:firstLine="640" w:firstLineChars="200"/>
        <w:jc w:val="left"/>
        <w:rPr>
          <w:rFonts w:hint="eastAsia" w:ascii="宋体" w:hAnsi="宋体" w:eastAsia="宋体" w:cs="宋体"/>
          <w:i w:val="0"/>
          <w:iCs w:val="0"/>
          <w:caps w:val="0"/>
          <w:color w:val="000000"/>
          <w:spacing w:val="0"/>
          <w:sz w:val="32"/>
          <w:szCs w:val="32"/>
          <w:lang w:eastAsia="zh-CN"/>
        </w:rPr>
      </w:pPr>
      <w:r>
        <w:rPr>
          <w:rFonts w:ascii="宋体" w:hAnsi="宋体" w:eastAsia="宋体" w:cs="宋体"/>
          <w:i w:val="0"/>
          <w:iCs w:val="0"/>
          <w:caps w:val="0"/>
          <w:color w:val="000000"/>
          <w:spacing w:val="0"/>
          <w:sz w:val="32"/>
          <w:szCs w:val="32"/>
        </w:rPr>
        <w:t>2022年本部门一般公共预算拨款支出预算513.37万元，其中：基本支出480.37万元，占比93.57%，项目支出33万元，占比6.43%</w:t>
      </w:r>
      <w:r>
        <w:rPr>
          <w:rFonts w:hint="eastAsia" w:ascii="宋体" w:hAnsi="宋体" w:eastAsia="宋体" w:cs="宋体"/>
          <w:i w:val="0"/>
          <w:iCs w:val="0"/>
          <w:caps w:val="0"/>
          <w:color w:val="000000"/>
          <w:spacing w:val="0"/>
          <w:sz w:val="32"/>
          <w:szCs w:val="32"/>
          <w:lang w:eastAsia="zh-CN"/>
        </w:rPr>
        <w:t>。</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2022年度北塔区纪委监委基本支出全年预算513.37万元，本年实际支出为798.98万元，完成全年预算的155.64%。主要为人员经费支出和公用经费支出，其中人员经费支出443.09万元、公用经费支出355.89万元。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2022年决算项目支出0万元。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w:t>
      </w:r>
      <w:r>
        <w:rPr>
          <w:rFonts w:hint="eastAsia" w:ascii="宋体" w:hAnsi="宋体" w:eastAsia="宋体" w:cs="宋体"/>
          <w:i w:val="0"/>
          <w:iCs w:val="0"/>
          <w:caps w:val="0"/>
          <w:color w:val="000000"/>
          <w:spacing w:val="0"/>
          <w:sz w:val="32"/>
          <w:szCs w:val="32"/>
          <w:highlight w:val="none"/>
          <w:lang w:val="en-US" w:eastAsia="zh-CN"/>
        </w:rPr>
        <w:t>798.98</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万元，全年预算</w:t>
      </w:r>
      <w:r>
        <w:rPr>
          <w:rFonts w:ascii="宋体" w:hAnsi="宋体" w:eastAsia="宋体" w:cs="宋体"/>
          <w:i w:val="0"/>
          <w:iCs w:val="0"/>
          <w:caps w:val="0"/>
          <w:color w:val="000000"/>
          <w:spacing w:val="0"/>
          <w:sz w:val="32"/>
          <w:szCs w:val="32"/>
          <w:highlight w:val="none"/>
        </w:rPr>
        <w:t>513.37</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万元，预算执行率为155.64%；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⑵公用经费预算108.25万元，实际支出355.89万元，公用经费控制率为328%；（3）“三公经费”年初预算安排2万元，实际支出30.3万元。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北塔区纪委监委</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43" w:firstLineChars="20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北塔区纪委监委</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拥有各类资产总额92.71万元，其中流动资产13万元，固定资产净值79.71万元。单位为加强资产管理，内部制定了资产管理制度，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color w:val="auto"/>
          <w:sz w:val="28"/>
          <w:szCs w:val="28"/>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r>
        <w:rPr>
          <w:rFonts w:hint="eastAsia" w:ascii="宋体" w:hAnsi="宋体" w:eastAsia="宋体" w:cs="宋体"/>
          <w:color w:val="auto"/>
          <w:kern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认真组织开展整体支出绩效自评，自评等级“良好”。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val="0"/>
          <w:bCs/>
          <w:i w:val="0"/>
          <w:iCs w:val="0"/>
          <w:caps w:val="0"/>
          <w:color w:val="auto"/>
          <w:spacing w:val="0"/>
          <w:sz w:val="32"/>
          <w:szCs w:val="32"/>
          <w:shd w:val="clear" w:fill="FFFFFF"/>
          <w:lang w:val="en-US" w:eastAsia="zh-CN"/>
        </w:rPr>
      </w:pPr>
      <w:r>
        <w:rPr>
          <w:rFonts w:hint="eastAsia" w:ascii="宋体" w:hAnsi="宋体" w:eastAsia="宋体" w:cs="宋体"/>
          <w:b w:val="0"/>
          <w:bCs/>
          <w:i w:val="0"/>
          <w:iCs w:val="0"/>
          <w:caps w:val="0"/>
          <w:color w:val="auto"/>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在编制部门年度预算时，虽然根据本单位职能职责和年度工作计划，但在20</w:t>
      </w:r>
      <w:r>
        <w:rPr>
          <w:rFonts w:hint="eastAsia" w:ascii="宋体" w:hAnsi="宋体" w:eastAsia="宋体" w:cs="宋体"/>
          <w:sz w:val="32"/>
          <w:szCs w:val="32"/>
          <w:lang w:val="en-US" w:eastAsia="zh-CN"/>
        </w:rPr>
        <w:t>22</w:t>
      </w:r>
      <w:r>
        <w:rPr>
          <w:rFonts w:hint="eastAsia" w:ascii="宋体" w:hAnsi="宋体" w:eastAsia="宋体" w:cs="宋体"/>
          <w:sz w:val="32"/>
          <w:szCs w:val="32"/>
        </w:rPr>
        <w:t>年部门预算执行过程中，仍然存在以下问题，年初预算编制不合理或部分经费计划比较紧张，往往需要在年度中间进行预算追加和调整。</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加快推动内部控制建设，大力压减一般性支出，严格控制非刚性支出，切实发挥资金效益。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聚焦提升财务人员业务技能、财经纪律意识等方面，加强新《预算法》《新政府会计制度》等学习培训，进一步提升业务人员能力。</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0"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0"/>
    </w:tbl>
    <w:p>
      <w:pPr>
        <w:pStyle w:val="2"/>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1D628BE"/>
    <w:rsid w:val="025D08EA"/>
    <w:rsid w:val="02A74CAA"/>
    <w:rsid w:val="02D1729F"/>
    <w:rsid w:val="038C5FE2"/>
    <w:rsid w:val="04195D38"/>
    <w:rsid w:val="04456370"/>
    <w:rsid w:val="05213482"/>
    <w:rsid w:val="05FF0599"/>
    <w:rsid w:val="066A1827"/>
    <w:rsid w:val="09E17252"/>
    <w:rsid w:val="0BF7590B"/>
    <w:rsid w:val="0C42180C"/>
    <w:rsid w:val="0C915682"/>
    <w:rsid w:val="0D3E7DED"/>
    <w:rsid w:val="0D5E3707"/>
    <w:rsid w:val="0DC45CC1"/>
    <w:rsid w:val="0DEF71E2"/>
    <w:rsid w:val="0F492922"/>
    <w:rsid w:val="0FBD6E6C"/>
    <w:rsid w:val="11E84674"/>
    <w:rsid w:val="126C42B4"/>
    <w:rsid w:val="148572C3"/>
    <w:rsid w:val="15EB37BD"/>
    <w:rsid w:val="17042185"/>
    <w:rsid w:val="17B648CC"/>
    <w:rsid w:val="18D309FC"/>
    <w:rsid w:val="1B8F5B60"/>
    <w:rsid w:val="1BF34341"/>
    <w:rsid w:val="1D9A1B96"/>
    <w:rsid w:val="1E197963"/>
    <w:rsid w:val="1F010C8F"/>
    <w:rsid w:val="20076858"/>
    <w:rsid w:val="20F63895"/>
    <w:rsid w:val="2129610F"/>
    <w:rsid w:val="213F6706"/>
    <w:rsid w:val="24961D0D"/>
    <w:rsid w:val="25C20FC7"/>
    <w:rsid w:val="26166273"/>
    <w:rsid w:val="2ABC4498"/>
    <w:rsid w:val="2ABE5B1A"/>
    <w:rsid w:val="2B032004"/>
    <w:rsid w:val="2BD107CE"/>
    <w:rsid w:val="2C3A1B18"/>
    <w:rsid w:val="2C7529D1"/>
    <w:rsid w:val="2D0E7E36"/>
    <w:rsid w:val="2D6C05C8"/>
    <w:rsid w:val="2DB256DE"/>
    <w:rsid w:val="2E2A2941"/>
    <w:rsid w:val="2F2B74F6"/>
    <w:rsid w:val="2F975A5E"/>
    <w:rsid w:val="31692558"/>
    <w:rsid w:val="317211D8"/>
    <w:rsid w:val="33CC6E76"/>
    <w:rsid w:val="33FF02E9"/>
    <w:rsid w:val="34F457C9"/>
    <w:rsid w:val="35B50461"/>
    <w:rsid w:val="3619015E"/>
    <w:rsid w:val="36E22B02"/>
    <w:rsid w:val="375C4F25"/>
    <w:rsid w:val="37A26170"/>
    <w:rsid w:val="38F247D2"/>
    <w:rsid w:val="39D0586A"/>
    <w:rsid w:val="3A365ACD"/>
    <w:rsid w:val="3B9303B2"/>
    <w:rsid w:val="3BB70A8F"/>
    <w:rsid w:val="3C8416D7"/>
    <w:rsid w:val="3C8B4214"/>
    <w:rsid w:val="3D2748D8"/>
    <w:rsid w:val="3D2832C7"/>
    <w:rsid w:val="3E257E13"/>
    <w:rsid w:val="3F6727CC"/>
    <w:rsid w:val="3FAB09ED"/>
    <w:rsid w:val="3FE2133F"/>
    <w:rsid w:val="4114603C"/>
    <w:rsid w:val="42A35AA6"/>
    <w:rsid w:val="441973E2"/>
    <w:rsid w:val="447A4D50"/>
    <w:rsid w:val="44AF5D78"/>
    <w:rsid w:val="45833892"/>
    <w:rsid w:val="45CB4E15"/>
    <w:rsid w:val="45DE4E6B"/>
    <w:rsid w:val="479B51D9"/>
    <w:rsid w:val="47D12ED9"/>
    <w:rsid w:val="48D2515B"/>
    <w:rsid w:val="491017DF"/>
    <w:rsid w:val="4A4754D4"/>
    <w:rsid w:val="4ACA7AAB"/>
    <w:rsid w:val="4B991F60"/>
    <w:rsid w:val="4D113C42"/>
    <w:rsid w:val="4D611650"/>
    <w:rsid w:val="4E58558A"/>
    <w:rsid w:val="4F3501F1"/>
    <w:rsid w:val="4F786B55"/>
    <w:rsid w:val="4FE043FD"/>
    <w:rsid w:val="528903BC"/>
    <w:rsid w:val="52C04276"/>
    <w:rsid w:val="52CA202D"/>
    <w:rsid w:val="52FD0006"/>
    <w:rsid w:val="53202F66"/>
    <w:rsid w:val="533E2C54"/>
    <w:rsid w:val="54517DF8"/>
    <w:rsid w:val="55C776C9"/>
    <w:rsid w:val="566F5A6F"/>
    <w:rsid w:val="57154464"/>
    <w:rsid w:val="575435C3"/>
    <w:rsid w:val="57B54FE2"/>
    <w:rsid w:val="58CA4CA4"/>
    <w:rsid w:val="59A70B1E"/>
    <w:rsid w:val="59E60318"/>
    <w:rsid w:val="5A772471"/>
    <w:rsid w:val="5B547C51"/>
    <w:rsid w:val="5C8E7193"/>
    <w:rsid w:val="5CBC5F90"/>
    <w:rsid w:val="5E6D1153"/>
    <w:rsid w:val="5EAB402C"/>
    <w:rsid w:val="5F83500A"/>
    <w:rsid w:val="60745B56"/>
    <w:rsid w:val="61016585"/>
    <w:rsid w:val="612C6F7A"/>
    <w:rsid w:val="630B6593"/>
    <w:rsid w:val="631D4DCC"/>
    <w:rsid w:val="63EA2155"/>
    <w:rsid w:val="640D42B8"/>
    <w:rsid w:val="64122457"/>
    <w:rsid w:val="641F097E"/>
    <w:rsid w:val="648F3AA8"/>
    <w:rsid w:val="65236940"/>
    <w:rsid w:val="653603C7"/>
    <w:rsid w:val="65C43C25"/>
    <w:rsid w:val="664A41B0"/>
    <w:rsid w:val="66D16D4F"/>
    <w:rsid w:val="66FE6113"/>
    <w:rsid w:val="68D73C6F"/>
    <w:rsid w:val="694A2693"/>
    <w:rsid w:val="6B874FA2"/>
    <w:rsid w:val="6C3C4515"/>
    <w:rsid w:val="6C5D1A55"/>
    <w:rsid w:val="6C6B54E9"/>
    <w:rsid w:val="6D2154B9"/>
    <w:rsid w:val="6FD52562"/>
    <w:rsid w:val="703025E3"/>
    <w:rsid w:val="70514092"/>
    <w:rsid w:val="70852420"/>
    <w:rsid w:val="71881FAB"/>
    <w:rsid w:val="722B3457"/>
    <w:rsid w:val="72EE0533"/>
    <w:rsid w:val="73125FD0"/>
    <w:rsid w:val="76A74C81"/>
    <w:rsid w:val="76DC35F5"/>
    <w:rsid w:val="7832658D"/>
    <w:rsid w:val="78981BAF"/>
    <w:rsid w:val="79074D5F"/>
    <w:rsid w:val="79823784"/>
    <w:rsid w:val="7A21330E"/>
    <w:rsid w:val="7AA50366"/>
    <w:rsid w:val="7AF745AA"/>
    <w:rsid w:val="7B7D06A6"/>
    <w:rsid w:val="7BF00E78"/>
    <w:rsid w:val="7CF23984"/>
    <w:rsid w:val="7F066102"/>
    <w:rsid w:val="7F0E0E5A"/>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0"/>
    <w:rPr>
      <w:sz w:val="24"/>
    </w:rPr>
  </w:style>
  <w:style w:type="paragraph" w:styleId="5">
    <w:name w:val="Body Text Indent"/>
    <w:basedOn w:val="1"/>
    <w:semiHidden/>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qFormat/>
    <w:uiPriority w:val="99"/>
    <w:pPr>
      <w:ind w:firstLine="420" w:firstLineChars="100"/>
    </w:pPr>
  </w:style>
  <w:style w:type="paragraph" w:styleId="8">
    <w:name w:val="Body Text First Indent 2"/>
    <w:basedOn w:val="5"/>
    <w:semiHidden/>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3129</Words>
  <Characters>3268</Characters>
  <Lines>0</Lines>
  <Paragraphs>0</Paragraphs>
  <TotalTime>0</TotalTime>
  <ScaleCrop>false</ScaleCrop>
  <LinksUpToDate>false</LinksUpToDate>
  <CharactersWithSpaces>3279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