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（一）基本情况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i w:val="0"/>
          <w:iCs w:val="0"/>
          <w:caps w:val="0"/>
          <w:color w:val="1E1E1E"/>
          <w:spacing w:val="0"/>
          <w:sz w:val="24"/>
          <w:szCs w:val="24"/>
          <w:shd w:val="clear" w:fill="FFFFFF"/>
        </w:rPr>
      </w:pPr>
      <w:r>
        <w:rPr>
          <w:rFonts w:hint="eastAsia" w:ascii="宋体" w:hAnsi="宋体" w:eastAsia="宋体" w:cs="宋体"/>
          <w:i w:val="0"/>
          <w:iCs w:val="0"/>
          <w:caps w:val="0"/>
          <w:color w:val="1E1E1E"/>
          <w:spacing w:val="0"/>
          <w:sz w:val="24"/>
          <w:szCs w:val="24"/>
          <w:shd w:val="clear" w:fill="FFFFFF"/>
        </w:rPr>
        <w:t>北塔区纪律检查委员会(以下简称区纪委)是区委工作部门，为副处级，由区委统一领导和管理。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主要职能</w:t>
      </w:r>
    </w:p>
    <w:p>
      <w:pPr>
        <w:keepNext w:val="0"/>
        <w:keepLines w:val="0"/>
        <w:widowControl/>
        <w:suppressLineNumbers w:val="0"/>
        <w:shd w:val="clear" w:fill="FFFFFF"/>
        <w:spacing w:before="0" w:beforeAutospacing="1" w:after="0" w:afterAutospacing="1" w:line="480" w:lineRule="atLeast"/>
        <w:ind w:left="0" w:right="0" w:firstLine="480"/>
        <w:jc w:val="left"/>
        <w:rPr>
          <w:rFonts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a.负责全区党的纪律检查工作。贯彻落实党中央、中央纪委、省委、省纪委、市委推进全面从严治党、加强党风建设和组织协调反腐败工作。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b.依照党的章程和其他党内法规履行监督、执纪、问责职责。负责经常对党员进行遵守纪律的教育，作出关于维护党纪的决定；对区委工作部门、区委批准设立的党组（党委），各镇街道党（工）委、纪（工）委等党的组织和区委管理的党员领导干部履行职责、行使权力进行监督，受理处置党员群众检举控告，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c.负责全区监察工作。贯彻落实党中央、中央纪委国家监委、省委、省纪委省监委、市委、市纪委市监委和区委关于监察工作的决定，维护宪法法律，依法对区委管理的行使公权力的公职人员进行监察，调查职务违法和职务犯罪，开展廉政建设和反腐败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d.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e.负责组织协调全区全面从严治党、党风廉政建设和反腐败宣传教育工作。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f.负责综合分析全区全面从严治党、党风廉政建设和反腐败工作情况，对纪检监察工作重要理论及实践问题进行调查研究；起草制定或者修改本区纪检监察制度规定，参与起草制定本区相关法规和规范性文件。</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g.负责协调落实市纪委市监委交办的反腐败国际交流、合作等方面事宜；加强对全区反腐败国际追逃追赃和防逃工作的组织协调，督促有关单位做好相关工作。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h.根据干部管理权限，负责全区纪检监察系统领导班子建设、干部队伍建设和组织建设的综合规划、政策研究、制度建设和业务指导；会同有关方面做好区纪委区监委派驻机构、乡街道纪（工）委班子建设有关工作；组织和指导全区纪检监察系统干部教育培训工作等。</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4"/>
          <w:szCs w:val="24"/>
        </w:rPr>
      </w:pPr>
      <w:r>
        <w:rPr>
          <w:rFonts w:hint="eastAsia" w:ascii="宋体" w:hAnsi="宋体" w:eastAsia="宋体" w:cs="宋体"/>
          <w:i w:val="0"/>
          <w:iCs w:val="0"/>
          <w:caps w:val="0"/>
          <w:color w:val="1E1E1E"/>
          <w:spacing w:val="0"/>
          <w:kern w:val="0"/>
          <w:sz w:val="24"/>
          <w:szCs w:val="24"/>
          <w:shd w:val="clear" w:fill="FFFFFF"/>
          <w:lang w:val="en-US" w:eastAsia="zh-CN" w:bidi="ar"/>
        </w:rPr>
        <w:t>i.完成市纪委市监委和区委交办的其他任务</w:t>
      </w:r>
    </w:p>
    <w:p>
      <w:pPr>
        <w:keepNext w:val="0"/>
        <w:keepLines w:val="0"/>
        <w:widowControl w:val="0"/>
        <w:numPr>
          <w:ilvl w:val="0"/>
          <w:numId w:val="1"/>
        </w:numPr>
        <w:suppressLineNumbers w:val="0"/>
        <w:spacing w:before="0" w:beforeAutospacing="1" w:after="0" w:afterAutospacing="1" w:line="480" w:lineRule="exact"/>
        <w:ind w:left="0" w:leftChars="0" w:right="0" w:firstLine="0" w:firstLineChars="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机构情况</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240" w:firstLineChars="100"/>
        <w:jc w:val="left"/>
        <w:rPr>
          <w:rFonts w:hint="eastAsia" w:ascii="宋体" w:hAnsi="宋体" w:eastAsia="宋体" w:cs="宋体"/>
          <w:i w:val="0"/>
          <w:iCs w:val="0"/>
          <w:caps w:val="0"/>
          <w:color w:val="1E1E1E"/>
          <w:spacing w:val="0"/>
          <w:sz w:val="24"/>
          <w:szCs w:val="24"/>
          <w:shd w:val="clear" w:fill="FFFFFF"/>
        </w:rPr>
      </w:pPr>
      <w:r>
        <w:rPr>
          <w:rFonts w:hint="eastAsia" w:ascii="宋体" w:hAnsi="宋体" w:eastAsia="宋体" w:cs="宋体"/>
          <w:i w:val="0"/>
          <w:iCs w:val="0"/>
          <w:caps w:val="0"/>
          <w:color w:val="1E1E1E"/>
          <w:spacing w:val="0"/>
          <w:sz w:val="24"/>
          <w:szCs w:val="24"/>
          <w:shd w:val="clear" w:fill="FFFFFF"/>
        </w:rPr>
        <w:t>北塔区纪委监委内设机构8个：办公室、党风政风监督室、信访室、案件审理室、案件监督管理室、纪检监察干部监督室（加挂第一纪检监察室）、第二、三纪检监察室，6个派驻纪检监察组。所属事业单位信息中心1个。</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280" w:firstLineChars="10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i w:val="0"/>
          <w:iCs w:val="0"/>
          <w:caps w:val="0"/>
          <w:color w:val="1E1E1E"/>
          <w:spacing w:val="0"/>
          <w:sz w:val="24"/>
          <w:szCs w:val="24"/>
          <w:shd w:val="clear" w:fill="FFFFFF"/>
        </w:rPr>
      </w:pPr>
      <w:r>
        <w:rPr>
          <w:rFonts w:hint="eastAsia" w:ascii="宋体" w:hAnsi="宋体" w:eastAsia="宋体" w:cs="宋体"/>
          <w:i w:val="0"/>
          <w:iCs w:val="0"/>
          <w:caps w:val="0"/>
          <w:color w:val="1E1E1E"/>
          <w:spacing w:val="0"/>
          <w:sz w:val="24"/>
          <w:szCs w:val="24"/>
          <w:shd w:val="clear" w:fill="FFFFFF"/>
        </w:rPr>
        <w:t>区纪委编制人数43人，实际人数3</w:t>
      </w:r>
      <w:r>
        <w:rPr>
          <w:rFonts w:hint="eastAsia" w:ascii="宋体" w:hAnsi="宋体" w:eastAsia="宋体" w:cs="宋体"/>
          <w:i w:val="0"/>
          <w:iCs w:val="0"/>
          <w:caps w:val="0"/>
          <w:color w:val="1E1E1E"/>
          <w:spacing w:val="0"/>
          <w:sz w:val="24"/>
          <w:szCs w:val="24"/>
          <w:shd w:val="clear" w:fill="FFFFFF"/>
          <w:lang w:val="en-US" w:eastAsia="zh-CN"/>
        </w:rPr>
        <w:t>6</w:t>
      </w:r>
      <w:r>
        <w:rPr>
          <w:rFonts w:hint="eastAsia" w:ascii="宋体" w:hAnsi="宋体" w:eastAsia="宋体" w:cs="宋体"/>
          <w:i w:val="0"/>
          <w:iCs w:val="0"/>
          <w:caps w:val="0"/>
          <w:color w:val="1E1E1E"/>
          <w:spacing w:val="0"/>
          <w:sz w:val="24"/>
          <w:szCs w:val="24"/>
          <w:shd w:val="clear" w:fill="FFFFFF"/>
        </w:rPr>
        <w:t>人，</w:t>
      </w:r>
      <w:r>
        <w:rPr>
          <w:rFonts w:hint="eastAsia" w:ascii="宋体" w:hAnsi="宋体" w:eastAsia="宋体" w:cs="宋体"/>
          <w:i w:val="0"/>
          <w:iCs w:val="0"/>
          <w:caps w:val="0"/>
          <w:color w:val="1E1E1E"/>
          <w:spacing w:val="0"/>
          <w:sz w:val="24"/>
          <w:szCs w:val="24"/>
          <w:shd w:val="clear" w:fill="FFFFFF"/>
          <w:lang w:eastAsia="zh-CN"/>
        </w:rPr>
        <w:t>在职人数</w:t>
      </w:r>
      <w:r>
        <w:rPr>
          <w:rFonts w:hint="eastAsia" w:ascii="宋体" w:hAnsi="宋体" w:eastAsia="宋体" w:cs="宋体"/>
          <w:i w:val="0"/>
          <w:iCs w:val="0"/>
          <w:caps w:val="0"/>
          <w:color w:val="1E1E1E"/>
          <w:spacing w:val="0"/>
          <w:sz w:val="24"/>
          <w:szCs w:val="24"/>
          <w:shd w:val="clear" w:fill="FFFFFF"/>
          <w:lang w:val="en-US" w:eastAsia="zh-CN"/>
        </w:rPr>
        <w:t>33人，</w:t>
      </w:r>
      <w:r>
        <w:rPr>
          <w:rFonts w:hint="eastAsia" w:ascii="宋体" w:hAnsi="宋体" w:eastAsia="宋体" w:cs="宋体"/>
          <w:i w:val="0"/>
          <w:iCs w:val="0"/>
          <w:caps w:val="0"/>
          <w:color w:val="1E1E1E"/>
          <w:spacing w:val="0"/>
          <w:sz w:val="24"/>
          <w:szCs w:val="24"/>
          <w:shd w:val="clear" w:fill="FFFFFF"/>
        </w:rPr>
        <w:t>离退休3人，遗属补助人数0人，小车编制数2台，实际2台，房屋面积431.28平方米。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w:t>
      </w:r>
      <w:r>
        <w:rPr>
          <w:rFonts w:hint="eastAsia" w:ascii="宋体" w:hAnsi="宋体" w:eastAsia="宋体" w:cs="宋体"/>
          <w:color w:val="444444"/>
          <w:kern w:val="0"/>
          <w:sz w:val="28"/>
          <w:szCs w:val="28"/>
          <w:shd w:val="clear" w:fill="FFFFFF"/>
          <w:lang w:val="en-US" w:eastAsia="zh-CN"/>
        </w:rPr>
        <w:t>806.77</w:t>
      </w:r>
      <w:r>
        <w:rPr>
          <w:rFonts w:hint="eastAsia" w:ascii="宋体" w:hAnsi="宋体" w:eastAsia="宋体" w:cs="宋体"/>
          <w:color w:val="444444"/>
          <w:kern w:val="0"/>
          <w:sz w:val="28"/>
          <w:szCs w:val="28"/>
          <w:shd w:val="clear" w:fill="FFFFFF"/>
        </w:rPr>
        <w:t>万元，比上年同口径增加</w:t>
      </w:r>
      <w:r>
        <w:rPr>
          <w:rFonts w:hint="eastAsia" w:ascii="宋体" w:hAnsi="宋体" w:eastAsia="宋体" w:cs="宋体"/>
          <w:color w:val="444444"/>
          <w:kern w:val="0"/>
          <w:sz w:val="28"/>
          <w:szCs w:val="28"/>
          <w:shd w:val="clear" w:fill="FFFFFF"/>
          <w:lang w:val="en-US" w:eastAsia="zh-CN"/>
        </w:rPr>
        <w:t>162.54</w:t>
      </w:r>
      <w:r>
        <w:rPr>
          <w:rFonts w:hint="eastAsia" w:ascii="宋体" w:hAnsi="宋体" w:eastAsia="宋体" w:cs="宋体"/>
          <w:color w:val="444444"/>
          <w:kern w:val="0"/>
          <w:sz w:val="28"/>
          <w:szCs w:val="28"/>
          <w:shd w:val="clear" w:fill="FFFFFF"/>
        </w:rPr>
        <w:t>万元，增长</w:t>
      </w:r>
      <w:r>
        <w:rPr>
          <w:rFonts w:hint="eastAsia" w:ascii="宋体" w:hAnsi="宋体" w:eastAsia="宋体" w:cs="宋体"/>
          <w:color w:val="444444"/>
          <w:kern w:val="0"/>
          <w:sz w:val="28"/>
          <w:szCs w:val="28"/>
          <w:shd w:val="clear" w:fill="FFFFFF"/>
          <w:lang w:val="en-US" w:eastAsia="zh-CN"/>
        </w:rPr>
        <w:t>25.23</w:t>
      </w:r>
      <w:r>
        <w:rPr>
          <w:rFonts w:hint="eastAsia" w:ascii="宋体" w:hAnsi="宋体" w:eastAsia="宋体" w:cs="宋体"/>
          <w:color w:val="444444"/>
          <w:kern w:val="0"/>
          <w:sz w:val="28"/>
          <w:szCs w:val="28"/>
          <w:shd w:val="clear" w:fill="FFFFFF"/>
        </w:rPr>
        <w:t>%。其中：工资福利支出</w:t>
      </w:r>
      <w:r>
        <w:rPr>
          <w:rFonts w:hint="eastAsia" w:ascii="宋体" w:hAnsi="宋体" w:eastAsia="宋体" w:cs="宋体"/>
          <w:color w:val="444444"/>
          <w:kern w:val="0"/>
          <w:sz w:val="28"/>
          <w:szCs w:val="28"/>
          <w:shd w:val="clear" w:fill="FFFFFF"/>
          <w:lang w:val="en-US" w:eastAsia="zh-CN"/>
        </w:rPr>
        <w:t>475.58</w:t>
      </w:r>
      <w:r>
        <w:rPr>
          <w:rFonts w:hint="eastAsia" w:ascii="宋体" w:hAnsi="宋体" w:eastAsia="宋体" w:cs="宋体"/>
          <w:color w:val="444444"/>
          <w:kern w:val="0"/>
          <w:sz w:val="28"/>
          <w:szCs w:val="28"/>
          <w:shd w:val="clear" w:fill="FFFFFF"/>
        </w:rPr>
        <w:t>万元，商品和服务支出</w:t>
      </w:r>
      <w:r>
        <w:rPr>
          <w:rFonts w:hint="eastAsia" w:ascii="宋体" w:hAnsi="宋体" w:eastAsia="宋体" w:cs="宋体"/>
          <w:color w:val="444444"/>
          <w:kern w:val="0"/>
          <w:sz w:val="28"/>
          <w:szCs w:val="28"/>
          <w:shd w:val="clear" w:fill="FFFFFF"/>
          <w:lang w:val="en-US" w:eastAsia="zh-CN"/>
        </w:rPr>
        <w:t>311.94</w:t>
      </w:r>
      <w:r>
        <w:rPr>
          <w:rFonts w:hint="eastAsia" w:ascii="宋体" w:hAnsi="宋体" w:eastAsia="宋体" w:cs="宋体"/>
          <w:color w:val="444444"/>
          <w:kern w:val="0"/>
          <w:sz w:val="28"/>
          <w:szCs w:val="28"/>
          <w:shd w:val="clear" w:fill="FFFFFF"/>
        </w:rPr>
        <w:t>万元，对个人和家庭的补助</w:t>
      </w:r>
      <w:r>
        <w:rPr>
          <w:rFonts w:hint="eastAsia" w:ascii="宋体" w:hAnsi="宋体" w:eastAsia="宋体" w:cs="宋体"/>
          <w:color w:val="444444"/>
          <w:kern w:val="0"/>
          <w:sz w:val="28"/>
          <w:szCs w:val="28"/>
          <w:shd w:val="clear" w:fill="FFFFFF"/>
          <w:lang w:val="en-US" w:eastAsia="zh-CN"/>
        </w:rPr>
        <w:t>19.25</w:t>
      </w:r>
      <w:r>
        <w:rPr>
          <w:rFonts w:hint="eastAsia" w:ascii="宋体" w:hAnsi="宋体" w:eastAsia="宋体" w:cs="宋体"/>
          <w:color w:val="444444"/>
          <w:kern w:val="0"/>
          <w:sz w:val="28"/>
          <w:szCs w:val="28"/>
          <w:shd w:val="clear" w:fill="FFFFFF"/>
        </w:rPr>
        <w:t>万元，资本性支出</w:t>
      </w:r>
      <w:r>
        <w:rPr>
          <w:rFonts w:hint="eastAsia" w:ascii="宋体" w:hAnsi="宋体" w:eastAsia="宋体" w:cs="宋体"/>
          <w:color w:val="444444"/>
          <w:kern w:val="0"/>
          <w:sz w:val="28"/>
          <w:szCs w:val="28"/>
          <w:shd w:val="clear" w:fill="FFFFFF"/>
          <w:lang w:val="en-US" w:eastAsia="zh-CN"/>
        </w:rPr>
        <w:t>0</w:t>
      </w:r>
      <w:r>
        <w:rPr>
          <w:rFonts w:hint="eastAsia" w:ascii="宋体" w:hAnsi="宋体" w:eastAsia="宋体" w:cs="宋体"/>
          <w:color w:val="444444"/>
          <w:kern w:val="0"/>
          <w:sz w:val="28"/>
          <w:szCs w:val="28"/>
          <w:shd w:val="clear" w:fill="FFFFFF"/>
        </w:rPr>
        <w:t>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eastAsia" w:ascii="宋体" w:hAnsi="宋体" w:eastAsia="宋体" w:cs="宋体"/>
          <w:color w:val="444444"/>
          <w:kern w:val="0"/>
          <w:sz w:val="28"/>
          <w:szCs w:val="28"/>
          <w:shd w:val="clear" w:fill="FFFFFF"/>
        </w:rPr>
        <w:t>2021年“三公”经费实际开支总额</w:t>
      </w:r>
      <w:r>
        <w:rPr>
          <w:rFonts w:hint="eastAsia" w:ascii="宋体" w:hAnsi="宋体" w:eastAsia="宋体" w:cs="宋体"/>
          <w:color w:val="444444"/>
          <w:kern w:val="0"/>
          <w:sz w:val="28"/>
          <w:szCs w:val="28"/>
          <w:shd w:val="clear" w:fill="FFFFFF"/>
          <w:lang w:val="en-US" w:eastAsia="zh-CN"/>
        </w:rPr>
        <w:t>8.1</w:t>
      </w:r>
      <w:r>
        <w:rPr>
          <w:rFonts w:hint="eastAsia" w:ascii="宋体" w:hAnsi="宋体" w:eastAsia="宋体" w:cs="宋体"/>
          <w:color w:val="444444"/>
          <w:kern w:val="0"/>
          <w:sz w:val="28"/>
          <w:szCs w:val="28"/>
          <w:shd w:val="clear" w:fill="FFFFFF"/>
        </w:rPr>
        <w:t>万元。其中：因公出国（境）费支出本年未发生。公务用车购置及运行维护费实际开支</w:t>
      </w:r>
      <w:r>
        <w:rPr>
          <w:rFonts w:hint="eastAsia" w:ascii="宋体" w:hAnsi="宋体" w:eastAsia="宋体" w:cs="宋体"/>
          <w:color w:val="444444"/>
          <w:kern w:val="0"/>
          <w:sz w:val="28"/>
          <w:szCs w:val="28"/>
          <w:shd w:val="clear" w:fill="FFFFFF"/>
          <w:lang w:val="en-US" w:eastAsia="zh-CN"/>
        </w:rPr>
        <w:t>8</w:t>
      </w:r>
      <w:r>
        <w:rPr>
          <w:rFonts w:hint="eastAsia" w:ascii="宋体" w:hAnsi="宋体" w:eastAsia="宋体" w:cs="宋体"/>
          <w:color w:val="444444"/>
          <w:kern w:val="0"/>
          <w:sz w:val="28"/>
          <w:szCs w:val="28"/>
          <w:shd w:val="clear" w:fill="FFFFFF"/>
        </w:rPr>
        <w:t>万元（公务用车购置费未发生，公务用车运行维护费</w:t>
      </w:r>
      <w:r>
        <w:rPr>
          <w:rFonts w:hint="eastAsia" w:ascii="宋体" w:hAnsi="宋体" w:eastAsia="宋体" w:cs="宋体"/>
          <w:color w:val="444444"/>
          <w:kern w:val="0"/>
          <w:sz w:val="28"/>
          <w:szCs w:val="28"/>
          <w:shd w:val="clear" w:fill="FFFFFF"/>
          <w:lang w:val="en-US" w:eastAsia="zh-CN"/>
        </w:rPr>
        <w:t>8</w:t>
      </w:r>
      <w:r>
        <w:rPr>
          <w:rFonts w:hint="eastAsia" w:ascii="宋体" w:hAnsi="宋体" w:eastAsia="宋体" w:cs="宋体"/>
          <w:color w:val="444444"/>
          <w:kern w:val="0"/>
          <w:sz w:val="28"/>
          <w:szCs w:val="28"/>
          <w:shd w:val="clear" w:fill="FFFFFF"/>
        </w:rPr>
        <w:t>万元），公务用车保有量</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辆；公务接待费实际开支</w:t>
      </w:r>
      <w:r>
        <w:rPr>
          <w:rFonts w:hint="eastAsia" w:ascii="宋体" w:hAnsi="宋体" w:eastAsia="宋体" w:cs="宋体"/>
          <w:color w:val="444444"/>
          <w:kern w:val="0"/>
          <w:sz w:val="28"/>
          <w:szCs w:val="28"/>
          <w:shd w:val="clear" w:fill="FFFFFF"/>
          <w:lang w:val="en-US" w:eastAsia="zh-CN"/>
        </w:rPr>
        <w:t>0.1</w:t>
      </w:r>
      <w:r>
        <w:rPr>
          <w:rFonts w:hint="eastAsia" w:ascii="宋体" w:hAnsi="宋体" w:eastAsia="宋体" w:cs="宋体"/>
          <w:color w:val="444444"/>
          <w:kern w:val="0"/>
          <w:sz w:val="28"/>
          <w:szCs w:val="28"/>
          <w:shd w:val="clear" w:fill="FFFFFF"/>
        </w:rPr>
        <w:t>万元，公务接待</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批次</w:t>
      </w:r>
      <w:r>
        <w:rPr>
          <w:rFonts w:hint="eastAsia" w:ascii="宋体" w:hAnsi="宋体" w:eastAsia="宋体" w:cs="宋体"/>
          <w:color w:val="444444"/>
          <w:kern w:val="0"/>
          <w:sz w:val="28"/>
          <w:szCs w:val="28"/>
          <w:shd w:val="clear" w:fill="FFFFFF"/>
          <w:lang w:val="en-US" w:eastAsia="zh-CN"/>
        </w:rPr>
        <w:t>30</w:t>
      </w:r>
      <w:r>
        <w:rPr>
          <w:rFonts w:hint="eastAsia" w:ascii="宋体" w:hAnsi="宋体" w:eastAsia="宋体" w:cs="宋体"/>
          <w:color w:val="444444"/>
          <w:kern w:val="0"/>
          <w:sz w:val="28"/>
          <w:szCs w:val="28"/>
          <w:shd w:val="clear" w:fill="FFFFFF"/>
        </w:rPr>
        <w:t>人次。2021年“三公”经费实际开支</w:t>
      </w:r>
      <w:r>
        <w:rPr>
          <w:rFonts w:hint="eastAsia" w:ascii="宋体" w:hAnsi="宋体" w:eastAsia="宋体" w:cs="宋体"/>
          <w:color w:val="444444"/>
          <w:kern w:val="0"/>
          <w:sz w:val="28"/>
          <w:szCs w:val="28"/>
          <w:shd w:val="clear" w:fill="FFFFFF"/>
          <w:lang w:val="en-US" w:eastAsia="zh-CN"/>
        </w:rPr>
        <w:t>8.1万元。</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专项支出</w:t>
      </w:r>
    </w:p>
    <w:p>
      <w:pPr>
        <w:keepNext w:val="0"/>
        <w:keepLines w:val="0"/>
        <w:widowControl w:val="0"/>
        <w:suppressLineNumbers w:val="0"/>
        <w:spacing w:before="0" w:beforeAutospacing="1" w:after="0" w:afterAutospacing="1" w:line="480" w:lineRule="exact"/>
        <w:ind w:left="0" w:right="0" w:firstLine="48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kern w:val="2"/>
          <w:sz w:val="24"/>
          <w:szCs w:val="24"/>
          <w:lang w:val="en-US" w:eastAsia="zh-CN" w:bidi="ar"/>
        </w:rPr>
        <w:t>2021年，项目支出0万元。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eastAsia="宋体"/>
          <w:lang w:val="en-US" w:eastAsia="zh-CN"/>
        </w:rPr>
      </w:pP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截至2021年12月31日，北塔区纪律检查委员会</w:t>
      </w:r>
      <w:r>
        <w:rPr>
          <w:rFonts w:hint="eastAsia" w:ascii="宋体" w:hAnsi="宋体" w:eastAsia="宋体" w:cs="宋体"/>
          <w:color w:val="444444"/>
          <w:kern w:val="0"/>
          <w:sz w:val="28"/>
          <w:szCs w:val="28"/>
          <w:shd w:val="clear" w:fill="FFFFFF"/>
        </w:rPr>
        <w:t>资产总额为</w:t>
      </w:r>
      <w:r>
        <w:rPr>
          <w:rFonts w:hint="eastAsia" w:ascii="宋体" w:hAnsi="宋体" w:eastAsia="宋体" w:cs="宋体"/>
          <w:color w:val="444444"/>
          <w:kern w:val="0"/>
          <w:sz w:val="28"/>
          <w:szCs w:val="28"/>
          <w:shd w:val="clear" w:fill="FFFFFF"/>
          <w:lang w:val="en-US" w:eastAsia="zh-CN"/>
        </w:rPr>
        <w:t>113.03</w:t>
      </w:r>
      <w:r>
        <w:rPr>
          <w:rFonts w:hint="eastAsia" w:ascii="宋体" w:hAnsi="宋体" w:eastAsia="宋体" w:cs="宋体"/>
          <w:color w:val="444444"/>
          <w:kern w:val="0"/>
          <w:sz w:val="28"/>
          <w:szCs w:val="28"/>
          <w:shd w:val="clear" w:fill="FFFFFF"/>
        </w:rPr>
        <w:t>万元，主要由以下部分构成：流动资产</w:t>
      </w:r>
      <w:r>
        <w:rPr>
          <w:rFonts w:hint="eastAsia" w:ascii="宋体" w:hAnsi="宋体" w:eastAsia="宋体" w:cs="宋体"/>
          <w:color w:val="444444"/>
          <w:kern w:val="0"/>
          <w:sz w:val="28"/>
          <w:szCs w:val="28"/>
          <w:shd w:val="clear" w:fill="FFFFFF"/>
          <w:lang w:val="en-US" w:eastAsia="zh-CN"/>
        </w:rPr>
        <w:t>10</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8.85</w:t>
      </w:r>
      <w:r>
        <w:rPr>
          <w:rFonts w:hint="eastAsia" w:ascii="宋体" w:hAnsi="宋体" w:eastAsia="宋体" w:cs="宋体"/>
          <w:color w:val="444444"/>
          <w:kern w:val="0"/>
          <w:sz w:val="28"/>
          <w:szCs w:val="28"/>
          <w:shd w:val="clear" w:fill="FFFFFF"/>
        </w:rPr>
        <w:t>%,主要为</w:t>
      </w:r>
      <w:r>
        <w:rPr>
          <w:rFonts w:hint="eastAsia" w:ascii="宋体" w:hAnsi="宋体" w:eastAsia="宋体" w:cs="宋体"/>
          <w:color w:val="444444"/>
          <w:kern w:val="0"/>
          <w:sz w:val="28"/>
          <w:szCs w:val="28"/>
          <w:shd w:val="clear" w:fill="FFFFFF"/>
          <w:lang w:eastAsia="zh-CN"/>
        </w:rPr>
        <w:t>其他应收款，</w:t>
      </w:r>
      <w:r>
        <w:rPr>
          <w:rFonts w:hint="eastAsia" w:ascii="宋体" w:hAnsi="宋体" w:eastAsia="宋体" w:cs="宋体"/>
          <w:color w:val="444444"/>
          <w:kern w:val="0"/>
          <w:sz w:val="28"/>
          <w:szCs w:val="28"/>
          <w:shd w:val="clear" w:fill="FFFFFF"/>
        </w:rPr>
        <w:t>固定资产</w:t>
      </w:r>
      <w:r>
        <w:rPr>
          <w:rFonts w:hint="eastAsia" w:ascii="宋体" w:hAnsi="宋体" w:eastAsia="宋体" w:cs="宋体"/>
          <w:color w:val="444444"/>
          <w:kern w:val="0"/>
          <w:sz w:val="28"/>
          <w:szCs w:val="28"/>
          <w:shd w:val="clear" w:fill="FFFFFF"/>
          <w:lang w:val="en-US" w:eastAsia="zh-CN"/>
        </w:rPr>
        <w:t>103.03</w:t>
      </w:r>
      <w:r>
        <w:rPr>
          <w:rFonts w:hint="eastAsia" w:ascii="宋体" w:hAnsi="宋体" w:eastAsia="宋体" w:cs="宋体"/>
          <w:color w:val="444444"/>
          <w:kern w:val="0"/>
          <w:sz w:val="28"/>
          <w:szCs w:val="28"/>
          <w:shd w:val="clear" w:fill="FFFFFF"/>
        </w:rPr>
        <w:t>万元,占资产总额的</w:t>
      </w:r>
      <w:r>
        <w:rPr>
          <w:rFonts w:hint="eastAsia" w:ascii="宋体" w:hAnsi="宋体" w:eastAsia="宋体" w:cs="宋体"/>
          <w:color w:val="444444"/>
          <w:kern w:val="0"/>
          <w:sz w:val="28"/>
          <w:szCs w:val="28"/>
          <w:shd w:val="clear" w:fill="FFFFFF"/>
          <w:lang w:val="en-US" w:eastAsia="zh-CN"/>
        </w:rPr>
        <w:t>91.15</w:t>
      </w:r>
      <w:r>
        <w:rPr>
          <w:rFonts w:hint="eastAsia" w:ascii="宋体" w:hAnsi="宋体" w:eastAsia="宋体" w:cs="宋体"/>
          <w:color w:val="444444"/>
          <w:kern w:val="0"/>
          <w:sz w:val="28"/>
          <w:szCs w:val="28"/>
          <w:shd w:val="clear" w:fill="FFFFFF"/>
        </w:rPr>
        <w:t>%，主要包括办公设备等。</w:t>
      </w:r>
      <w:r>
        <w:rPr>
          <w:rFonts w:hint="eastAsia" w:ascii="微软雅黑" w:hAnsi="微软雅黑" w:eastAsia="微软雅黑" w:cs="微软雅黑"/>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四、部门整体支出绩效情况</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kern w:val="2"/>
          <w:sz w:val="24"/>
          <w:szCs w:val="24"/>
          <w:lang w:val="en-US" w:eastAsia="zh-CN" w:bidi="ar"/>
        </w:rPr>
        <w:t>（一）预算配置</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2021年，我单位在职人员编制数为43人，年末实际在职人数为33人，财政在职人员控制率为76.74%。年初预算收入540.6万元，年末决算收入806.77万元；年末决算支出806.77万元，年末资金结转结余0</w:t>
      </w:r>
      <w:bookmarkStart w:id="2" w:name="_GoBack"/>
      <w:bookmarkEnd w:id="2"/>
      <w:r>
        <w:rPr>
          <w:rFonts w:hint="eastAsia" w:ascii="宋体" w:hAnsi="宋体" w:eastAsia="宋体" w:cs="宋体"/>
          <w:kern w:val="2"/>
          <w:sz w:val="24"/>
          <w:szCs w:val="24"/>
          <w:lang w:val="en-US" w:eastAsia="zh-CN" w:bidi="ar"/>
        </w:rPr>
        <w:t>万元。</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kern w:val="2"/>
          <w:sz w:val="24"/>
          <w:szCs w:val="24"/>
          <w:lang w:val="en-US" w:eastAsia="zh-CN" w:bidi="ar"/>
        </w:rPr>
        <w:t>（二）预算执行</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林业信息网及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kern w:val="2"/>
          <w:sz w:val="24"/>
          <w:szCs w:val="24"/>
          <w:lang w:val="en-US" w:eastAsia="zh-CN" w:bidi="ar"/>
        </w:rPr>
        <w:t>（三）预算管理</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为规范机关财务管理，建立健全财务管理制度，我局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widowControl w:val="0"/>
        <w:suppressLineNumbers w:val="0"/>
        <w:spacing w:before="0" w:beforeAutospacing="1" w:after="0" w:afterAutospacing="1" w:line="480" w:lineRule="exact"/>
        <w:ind w:left="0" w:right="0" w:firstLine="482" w:firstLineChars="200"/>
        <w:jc w:val="left"/>
      </w:pPr>
      <w:r>
        <w:rPr>
          <w:rFonts w:hint="eastAsia" w:ascii="宋体" w:hAnsi="宋体" w:eastAsia="宋体" w:cs="宋体"/>
          <w:b/>
          <w:bCs/>
          <w:kern w:val="2"/>
          <w:sz w:val="24"/>
          <w:szCs w:val="24"/>
          <w:lang w:val="en-US" w:eastAsia="zh-CN" w:bidi="ar"/>
        </w:rPr>
        <w:t>（四）提升支出绩效</w:t>
      </w:r>
    </w:p>
    <w:p>
      <w:pPr>
        <w:keepNext w:val="0"/>
        <w:keepLines w:val="0"/>
        <w:widowControl w:val="0"/>
        <w:suppressLineNumbers w:val="0"/>
        <w:spacing w:before="0" w:beforeAutospacing="1" w:after="0" w:afterAutospacing="1" w:line="480" w:lineRule="exact"/>
        <w:ind w:left="0" w:right="0" w:firstLine="480" w:firstLineChars="200"/>
        <w:jc w:val="left"/>
      </w:pPr>
      <w:r>
        <w:rPr>
          <w:rFonts w:hint="eastAsia" w:ascii="宋体" w:hAnsi="宋体" w:eastAsia="宋体" w:cs="宋体"/>
          <w:kern w:val="2"/>
          <w:sz w:val="24"/>
          <w:szCs w:val="24"/>
          <w:lang w:val="en-US" w:eastAsia="zh-CN" w:bidi="ar"/>
        </w:rPr>
        <w:t>2021年，我单位全面落实区委、区政府的各项工作部署，牢固树立发展意识，大力弘扬实干精神，扎实推进各项工作，各项工作任务全面完成，财务管理规范，单位行政运行稳定有序。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fill="FFFFFF"/>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w:t>
      </w:r>
      <w:r>
        <w:rPr>
          <w:rFonts w:hint="eastAsia" w:ascii="宋体" w:hAnsi="宋体" w:eastAsia="宋体" w:cs="宋体"/>
          <w:color w:val="444444"/>
          <w:kern w:val="0"/>
          <w:sz w:val="28"/>
          <w:szCs w:val="28"/>
          <w:shd w:val="clear" w:fill="FFFFFF"/>
          <w:lang w:val="en-US" w:eastAsia="zh-CN"/>
        </w:rPr>
        <w:t>97</w:t>
      </w:r>
      <w:r>
        <w:rPr>
          <w:rFonts w:hint="eastAsia" w:ascii="宋体" w:hAnsi="宋体" w:eastAsia="宋体" w:cs="宋体"/>
          <w:color w:val="444444"/>
          <w:kern w:val="0"/>
          <w:sz w:val="28"/>
          <w:szCs w:val="28"/>
          <w:shd w:val="clear" w:fill="FFFFFF"/>
        </w:rPr>
        <w:t>分，自评</w:t>
      </w:r>
      <w:r>
        <w:rPr>
          <w:rFonts w:hint="eastAsia" w:ascii="宋体" w:hAnsi="宋体" w:eastAsia="宋体" w:cs="宋体"/>
          <w:color w:val="444444"/>
          <w:kern w:val="0"/>
          <w:sz w:val="28"/>
          <w:szCs w:val="28"/>
          <w:shd w:val="clear" w:fill="FFFFFF"/>
          <w:lang w:eastAsia="zh-CN"/>
        </w:rPr>
        <w:t>结果为良好</w:t>
      </w:r>
      <w:r>
        <w:rPr>
          <w:rFonts w:hint="eastAsia" w:ascii="宋体" w:hAnsi="宋体" w:eastAsia="宋体" w:cs="宋体"/>
          <w:color w:val="444444"/>
          <w:kern w:val="0"/>
          <w:sz w:val="28"/>
          <w:szCs w:val="28"/>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存在的问题及原因分析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lang w:eastAsia="zh-CN"/>
        </w:rPr>
      </w:pPr>
      <w:r>
        <w:rPr>
          <w:rFonts w:hint="eastAsia" w:ascii="宋体" w:hAnsi="宋体" w:eastAsia="宋体" w:cs="宋体"/>
          <w:color w:val="444444"/>
          <w:kern w:val="0"/>
          <w:sz w:val="28"/>
          <w:szCs w:val="28"/>
          <w:shd w:val="clear" w:fill="FFFFFF"/>
          <w:lang w:val="en-US" w:eastAsia="zh-CN"/>
        </w:rPr>
        <w:t>预算编制全面性和精准性不够。受政策调整等因素影响，在预算执行过程中客观存在实际支出和年初预算发生偏差。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下一步改进措施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宋体" w:hAnsi="宋体" w:eastAsia="宋体" w:cs="宋体"/>
          <w:color w:val="444444"/>
          <w:kern w:val="0"/>
          <w:sz w:val="28"/>
          <w:szCs w:val="28"/>
          <w:shd w:val="clear" w:fill="FFFFFF"/>
          <w:lang w:val="en-US" w:eastAsia="zh-CN"/>
        </w:rPr>
      </w:pPr>
      <w:bookmarkStart w:id="0" w:name="RANGE!A1:H22"/>
      <w:r>
        <w:rPr>
          <w:rFonts w:hint="eastAsia" w:ascii="宋体" w:hAnsi="宋体" w:eastAsia="宋体" w:cs="宋体"/>
          <w:color w:val="444444"/>
          <w:kern w:val="0"/>
          <w:sz w:val="28"/>
          <w:szCs w:val="28"/>
          <w:shd w:val="clear" w:fill="FFFFFF"/>
          <w:lang w:val="en-US" w:eastAsia="zh-CN"/>
        </w:rPr>
        <w:t>1、</w:t>
      </w:r>
      <w:r>
        <w:rPr>
          <w:rFonts w:hint="default" w:ascii="宋体" w:hAnsi="宋体" w:eastAsia="宋体" w:cs="宋体"/>
          <w:color w:val="444444"/>
          <w:kern w:val="0"/>
          <w:sz w:val="28"/>
          <w:szCs w:val="28"/>
          <w:shd w:val="clear" w:fill="FFFFFF"/>
          <w:lang w:val="en-US" w:eastAsia="zh-CN"/>
        </w:rPr>
        <w:t>增强预算编制的全面性、准确性。对年初没有预算安排的支出原则上不安排支出，对于年度无法预计的临时追加的相关工作所需费用，严格按照预算调整追加程序，逐级申报报批。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w:t>
      </w:r>
      <w:r>
        <w:rPr>
          <w:rFonts w:hint="default" w:ascii="宋体" w:hAnsi="宋体" w:eastAsia="宋体" w:cs="宋体"/>
          <w:color w:val="444444"/>
          <w:kern w:val="0"/>
          <w:sz w:val="28"/>
          <w:szCs w:val="28"/>
          <w:shd w:val="clear" w:fill="FFFFFF"/>
          <w:lang w:val="en-US" w:eastAsia="zh-CN"/>
        </w:rPr>
        <w:t>认真提高业务水平，更加严格执行预算，保障各项工作任务圆满完成。</w:t>
      </w: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bookmarkStart w:id="1" w:name="OLE_LINK1" w:colFirst="7" w:colLast="7"/>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97</w:t>
            </w:r>
          </w:p>
        </w:tc>
      </w:tr>
      <w:bookmarkEnd w:id="1"/>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A354FD"/>
    <w:multiLevelType w:val="singleLevel"/>
    <w:tmpl w:val="94A354FD"/>
    <w:lvl w:ilvl="0" w:tentative="0">
      <w:start w:val="1"/>
      <w:numFmt w:val="decimal"/>
      <w:suff w:val="nothing"/>
      <w:lvlText w:val="%1．"/>
      <w:lvlJc w:val="left"/>
    </w:lvl>
  </w:abstractNum>
  <w:abstractNum w:abstractNumId="1">
    <w:nsid w:val="AF541BEA"/>
    <w:multiLevelType w:val="singleLevel"/>
    <w:tmpl w:val="AF541BE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23D0B8F"/>
    <w:rsid w:val="03A03184"/>
    <w:rsid w:val="042C03AD"/>
    <w:rsid w:val="086724C2"/>
    <w:rsid w:val="10341DB3"/>
    <w:rsid w:val="1EAC476E"/>
    <w:rsid w:val="2BAF5A2E"/>
    <w:rsid w:val="3AC14BDF"/>
    <w:rsid w:val="3D11326B"/>
    <w:rsid w:val="3E6B55B7"/>
    <w:rsid w:val="40A974CD"/>
    <w:rsid w:val="41FB36A0"/>
    <w:rsid w:val="45AD0E01"/>
    <w:rsid w:val="56D01807"/>
    <w:rsid w:val="676F64B6"/>
    <w:rsid w:val="75372475"/>
    <w:rsid w:val="767924E3"/>
    <w:rsid w:val="7A2B5BC9"/>
    <w:rsid w:val="7CA7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5915</Words>
  <Characters>6225</Characters>
  <Lines>0</Lines>
  <Paragraphs>0</Paragraphs>
  <TotalTime>83</TotalTime>
  <ScaleCrop>false</ScaleCrop>
  <LinksUpToDate>false</LinksUpToDate>
  <CharactersWithSpaces>6380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停留在心底</cp:lastModifiedBy>
  <dcterms:modified xsi:type="dcterms:W3CDTF">2022-10-18T09:43:08Z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2F54F18A2CE84DADA1B21E746E2F1685</vt:lpwstr>
  </property>
</Properties>
</file>