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i w:val="0"/>
          <w:iCs w:val="0"/>
          <w:caps w:val="0"/>
          <w:color w:val="1E1E1E"/>
          <w:spacing w:val="0"/>
          <w:sz w:val="24"/>
          <w:szCs w:val="24"/>
          <w:shd w:val="clear" w:fill="FFFFFF"/>
        </w:rPr>
      </w:pPr>
      <w:r>
        <w:rPr>
          <w:rFonts w:hint="eastAsia" w:ascii="宋体" w:hAnsi="宋体" w:eastAsia="宋体" w:cs="宋体"/>
          <w:i w:val="0"/>
          <w:iCs w:val="0"/>
          <w:caps w:val="0"/>
          <w:color w:val="1E1E1E"/>
          <w:spacing w:val="0"/>
          <w:sz w:val="24"/>
          <w:szCs w:val="24"/>
          <w:shd w:val="clear" w:fill="FFFFFF"/>
        </w:rPr>
        <w:t>北塔区纪律检查委员会(以下简称区纪委)是区委工作部门，为副处级，由区委统一领导和管理。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a.负责全区党的纪律检查工作。贯彻落实党中央、中央纪委、省委、省纪委、市委推进全面从严治党、加强党风建设和组织协调反腐败工作。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b.依照党的章程和其他党内法规履行监督、执纪、问责职责。负责经常对党员进行遵守纪律的教育，作出关于维护党纪的决定；对区委工作部门、区委批准设立的党组（党委），各镇街道党（工）委、纪（工）委等党的组织和区委管理的党员领导干部履行职责、行使权力进行监督，受理处置党员群众检举控告，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c.负责全区监察工作。贯彻落实党中央、中央纪委国家监委、省委、省纪委省监委、市委、市纪委市监委和区委关于监察工作的决定，维护宪法法律，依法对区委管理的行使公权力的公职人员进行监察，调查职务违法和职务犯罪，开展廉政建设和反腐败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d.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e.负责组织协调全区全面从严治党、党风廉政建设和反腐败宣传教育工作。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f.负责综合分析全区全面从严治党、党风廉政建设和反腐败工作情况，对纪检监察工作重要理论及实践问题进行调查研究；起草制定或者修改本区纪检监察制度规定，参与起草制定本区相关法规和规范性文件。</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g.负责协调落实市纪委市监委交办的反腐败国际交流、合作等方面事宜；加强对全区反腐败国际追逃追赃和防逃工作的组织协调，督促有关单位做好相关工作。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h.根据干部管理权限，负责全区纪检监察系统领导班子建设、干部队伍建设和组织建设的综合规划、政策研究、制度建设和业务指导；会同有关方面做好区纪委区监委派驻机构、乡街道纪（工）委班子建设有关工作；组织和指导全区纪检监察系统干部教育培训工作等。</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i.完成市纪委市监委和区委交办的其他任务</w:t>
      </w:r>
    </w:p>
    <w:p>
      <w:pPr>
        <w:keepNext w:val="0"/>
        <w:keepLines w:val="0"/>
        <w:widowControl w:val="0"/>
        <w:numPr>
          <w:ilvl w:val="0"/>
          <w:numId w:val="1"/>
        </w:numPr>
        <w:suppressLineNumbers w:val="0"/>
        <w:spacing w:before="0" w:beforeAutospacing="1" w:after="0" w:afterAutospacing="1" w:line="480" w:lineRule="exac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机构情况</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240" w:firstLineChars="100"/>
        <w:jc w:val="left"/>
        <w:rPr>
          <w:rFonts w:hint="eastAsia" w:ascii="宋体" w:hAnsi="宋体" w:eastAsia="宋体" w:cs="宋体"/>
          <w:i w:val="0"/>
          <w:iCs w:val="0"/>
          <w:caps w:val="0"/>
          <w:color w:val="1E1E1E"/>
          <w:spacing w:val="0"/>
          <w:sz w:val="24"/>
          <w:szCs w:val="24"/>
          <w:shd w:val="clear" w:fill="FFFFFF"/>
        </w:rPr>
      </w:pPr>
      <w:r>
        <w:rPr>
          <w:rFonts w:hint="eastAsia" w:ascii="宋体" w:hAnsi="宋体" w:eastAsia="宋体" w:cs="宋体"/>
          <w:i w:val="0"/>
          <w:iCs w:val="0"/>
          <w:caps w:val="0"/>
          <w:color w:val="1E1E1E"/>
          <w:spacing w:val="0"/>
          <w:sz w:val="24"/>
          <w:szCs w:val="24"/>
          <w:shd w:val="clear" w:fill="FFFFFF"/>
        </w:rPr>
        <w:t>北塔区纪委监委内设机构8个：办公室、党风政风监督室、信访室、案件审理室、案件监督管理室、纪检监察干部监督室（加挂第一纪检监察室）、第二、三纪检监察室，6个派驻纪检监察组。所属事业单位信息中心1个。</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280" w:firstLineChars="1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i w:val="0"/>
          <w:iCs w:val="0"/>
          <w:caps w:val="0"/>
          <w:color w:val="1E1E1E"/>
          <w:spacing w:val="0"/>
          <w:sz w:val="24"/>
          <w:szCs w:val="24"/>
          <w:shd w:val="clear" w:fill="FFFFFF"/>
        </w:rPr>
      </w:pPr>
      <w:r>
        <w:rPr>
          <w:rFonts w:hint="eastAsia" w:ascii="宋体" w:hAnsi="宋体" w:eastAsia="宋体" w:cs="宋体"/>
          <w:i w:val="0"/>
          <w:iCs w:val="0"/>
          <w:caps w:val="0"/>
          <w:color w:val="1E1E1E"/>
          <w:spacing w:val="0"/>
          <w:sz w:val="24"/>
          <w:szCs w:val="24"/>
          <w:shd w:val="clear" w:fill="FFFFFF"/>
        </w:rPr>
        <w:t>区纪委编制人数43人，实际人数3</w:t>
      </w:r>
      <w:r>
        <w:rPr>
          <w:rFonts w:hint="eastAsia" w:ascii="宋体" w:hAnsi="宋体" w:eastAsia="宋体" w:cs="宋体"/>
          <w:i w:val="0"/>
          <w:iCs w:val="0"/>
          <w:caps w:val="0"/>
          <w:color w:val="1E1E1E"/>
          <w:spacing w:val="0"/>
          <w:sz w:val="24"/>
          <w:szCs w:val="24"/>
          <w:shd w:val="clear" w:fill="FFFFFF"/>
          <w:lang w:val="en-US" w:eastAsia="zh-CN"/>
        </w:rPr>
        <w:t>6</w:t>
      </w:r>
      <w:r>
        <w:rPr>
          <w:rFonts w:hint="eastAsia" w:ascii="宋体" w:hAnsi="宋体" w:eastAsia="宋体" w:cs="宋体"/>
          <w:i w:val="0"/>
          <w:iCs w:val="0"/>
          <w:caps w:val="0"/>
          <w:color w:val="1E1E1E"/>
          <w:spacing w:val="0"/>
          <w:sz w:val="24"/>
          <w:szCs w:val="24"/>
          <w:shd w:val="clear" w:fill="FFFFFF"/>
        </w:rPr>
        <w:t>人，</w:t>
      </w:r>
      <w:r>
        <w:rPr>
          <w:rFonts w:hint="eastAsia" w:ascii="宋体" w:hAnsi="宋体" w:eastAsia="宋体" w:cs="宋体"/>
          <w:i w:val="0"/>
          <w:iCs w:val="0"/>
          <w:caps w:val="0"/>
          <w:color w:val="1E1E1E"/>
          <w:spacing w:val="0"/>
          <w:sz w:val="24"/>
          <w:szCs w:val="24"/>
          <w:shd w:val="clear" w:fill="FFFFFF"/>
          <w:lang w:eastAsia="zh-CN"/>
        </w:rPr>
        <w:t>在职人数</w:t>
      </w:r>
      <w:r>
        <w:rPr>
          <w:rFonts w:hint="eastAsia" w:ascii="宋体" w:hAnsi="宋体" w:eastAsia="宋体" w:cs="宋体"/>
          <w:i w:val="0"/>
          <w:iCs w:val="0"/>
          <w:caps w:val="0"/>
          <w:color w:val="1E1E1E"/>
          <w:spacing w:val="0"/>
          <w:sz w:val="24"/>
          <w:szCs w:val="24"/>
          <w:shd w:val="clear" w:fill="FFFFFF"/>
          <w:lang w:val="en-US" w:eastAsia="zh-CN"/>
        </w:rPr>
        <w:t>33人，</w:t>
      </w:r>
      <w:r>
        <w:rPr>
          <w:rFonts w:hint="eastAsia" w:ascii="宋体" w:hAnsi="宋体" w:eastAsia="宋体" w:cs="宋体"/>
          <w:i w:val="0"/>
          <w:iCs w:val="0"/>
          <w:caps w:val="0"/>
          <w:color w:val="1E1E1E"/>
          <w:spacing w:val="0"/>
          <w:sz w:val="24"/>
          <w:szCs w:val="24"/>
          <w:shd w:val="clear" w:fill="FFFFFF"/>
        </w:rPr>
        <w:t>离退休3人，遗属补助人数0人，小车编制数2台，实际2台，房屋面积431.28平方米。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806.77</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162.54</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25.23</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475.58</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311.94</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19.25</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8.1</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8</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8</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0.1</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30</w:t>
      </w:r>
      <w:r>
        <w:rPr>
          <w:rFonts w:hint="eastAsia" w:ascii="宋体" w:hAnsi="宋体" w:eastAsia="宋体" w:cs="宋体"/>
          <w:color w:val="444444"/>
          <w:kern w:val="0"/>
          <w:sz w:val="28"/>
          <w:szCs w:val="28"/>
          <w:shd w:val="clear" w:fill="FFFFFF"/>
        </w:rPr>
        <w:t>人次。2021年“三公”经费实际开支</w:t>
      </w:r>
      <w:r>
        <w:rPr>
          <w:rFonts w:hint="eastAsia" w:ascii="宋体" w:hAnsi="宋体" w:eastAsia="宋体" w:cs="宋体"/>
          <w:color w:val="444444"/>
          <w:kern w:val="0"/>
          <w:sz w:val="28"/>
          <w:szCs w:val="28"/>
          <w:shd w:val="clear" w:fill="FFFFFF"/>
          <w:lang w:val="en-US" w:eastAsia="zh-CN"/>
        </w:rPr>
        <w:t>8.1万元。</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专项支出</w:t>
      </w:r>
    </w:p>
    <w:p>
      <w:pPr>
        <w:keepNext w:val="0"/>
        <w:keepLines w:val="0"/>
        <w:widowControl w:val="0"/>
        <w:suppressLineNumbers w:val="0"/>
        <w:spacing w:before="0" w:beforeAutospacing="1" w:after="0" w:afterAutospacing="1" w:line="480" w:lineRule="exact"/>
        <w:ind w:left="0" w:right="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kern w:val="2"/>
          <w:sz w:val="24"/>
          <w:szCs w:val="24"/>
          <w:lang w:val="en-US" w:eastAsia="zh-CN" w:bidi="ar"/>
        </w:rPr>
        <w:t>2021年，项目支出0万元。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截至2021年12月31日，北塔区纪律检查委员会</w:t>
      </w:r>
      <w:r>
        <w:rPr>
          <w:rFonts w:hint="eastAsia" w:ascii="宋体" w:hAnsi="宋体" w:eastAsia="宋体" w:cs="宋体"/>
          <w:color w:val="444444"/>
          <w:kern w:val="0"/>
          <w:sz w:val="28"/>
          <w:szCs w:val="28"/>
          <w:shd w:val="clear" w:fill="FFFFFF"/>
        </w:rPr>
        <w:t>资产总额为</w:t>
      </w:r>
      <w:r>
        <w:rPr>
          <w:rFonts w:hint="eastAsia" w:ascii="宋体" w:hAnsi="宋体" w:eastAsia="宋体" w:cs="宋体"/>
          <w:color w:val="444444"/>
          <w:kern w:val="0"/>
          <w:sz w:val="28"/>
          <w:szCs w:val="28"/>
          <w:shd w:val="clear" w:fill="FFFFFF"/>
          <w:lang w:val="en-US" w:eastAsia="zh-CN"/>
        </w:rPr>
        <w:t>113.03</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10</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8.85</w:t>
      </w:r>
      <w:r>
        <w:rPr>
          <w:rFonts w:hint="eastAsia" w:ascii="宋体" w:hAnsi="宋体" w:eastAsia="宋体" w:cs="宋体"/>
          <w:color w:val="444444"/>
          <w:kern w:val="0"/>
          <w:sz w:val="28"/>
          <w:szCs w:val="28"/>
          <w:shd w:val="clear" w:fill="FFFFFF"/>
        </w:rPr>
        <w:t>%,主要为</w:t>
      </w:r>
      <w:r>
        <w:rPr>
          <w:rFonts w:hint="eastAsia" w:ascii="宋体" w:hAnsi="宋体" w:eastAsia="宋体" w:cs="宋体"/>
          <w:color w:val="444444"/>
          <w:kern w:val="0"/>
          <w:sz w:val="28"/>
          <w:szCs w:val="28"/>
          <w:shd w:val="clear" w:fill="FFFFFF"/>
          <w:lang w:eastAsia="zh-CN"/>
        </w:rPr>
        <w:t>其他应收款，</w:t>
      </w:r>
      <w:r>
        <w:rPr>
          <w:rFonts w:hint="eastAsia" w:ascii="宋体" w:hAnsi="宋体" w:eastAsia="宋体" w:cs="宋体"/>
          <w:color w:val="444444"/>
          <w:kern w:val="0"/>
          <w:sz w:val="28"/>
          <w:szCs w:val="28"/>
          <w:shd w:val="clear" w:fill="FFFFFF"/>
        </w:rPr>
        <w:t>固定资产</w:t>
      </w:r>
      <w:r>
        <w:rPr>
          <w:rFonts w:hint="eastAsia" w:ascii="宋体" w:hAnsi="宋体" w:eastAsia="宋体" w:cs="宋体"/>
          <w:color w:val="444444"/>
          <w:kern w:val="0"/>
          <w:sz w:val="28"/>
          <w:szCs w:val="28"/>
          <w:shd w:val="clear" w:fill="FFFFFF"/>
          <w:lang w:val="en-US" w:eastAsia="zh-CN"/>
        </w:rPr>
        <w:t>103.03</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91.15</w:t>
      </w:r>
      <w:r>
        <w:rPr>
          <w:rFonts w:hint="eastAsia" w:ascii="宋体" w:hAnsi="宋体" w:eastAsia="宋体" w:cs="宋体"/>
          <w:color w:val="444444"/>
          <w:kern w:val="0"/>
          <w:sz w:val="28"/>
          <w:szCs w:val="28"/>
          <w:shd w:val="clear" w:fill="FFFFFF"/>
        </w:rPr>
        <w:t>%，主要包括办公设备等。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（一）预算配置</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2021年，我单位在职人员编制数为43人，年末实际在职人数为33人，财政在职人员控制率为76.74%。年初预算收入540.6万元，年末决算收入806.77万元；年末决算支出806.77万元，年末资金结转结余0</w:t>
      </w:r>
      <w:bookmarkStart w:id="2" w:name="_GoBack"/>
      <w:bookmarkEnd w:id="2"/>
      <w:r>
        <w:rPr>
          <w:rFonts w:hint="eastAsia" w:ascii="宋体" w:hAnsi="宋体" w:eastAsia="宋体" w:cs="宋体"/>
          <w:kern w:val="2"/>
          <w:sz w:val="24"/>
          <w:szCs w:val="24"/>
          <w:lang w:val="en-US" w:eastAsia="zh-CN" w:bidi="ar"/>
        </w:rPr>
        <w:t>万元。</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（二）预算执行</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林业信息网及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（三）预算管理</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为规范机关财务管理，建立健全财务管理制度，我局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（四）提升支出绩效</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2021年，我单位全面落实区委、区政府的各项工作部署，牢固树立发展意识，大力弘扬实干精神，扎实推进各项工作，各项工作任务全面完成，财务管理规范，单位行政运行稳定有序。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97</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结果为良好</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val="en-US" w:eastAsia="zh-CN"/>
        </w:rPr>
        <w:t>预算编制全面性和精准性不够。受政策调整等因素影响，在预算执行过程中客观存在实际支出和年初预算发生偏差。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bookmarkStart w:id="0" w:name="RANGE!A1:H22"/>
      <w:r>
        <w:rPr>
          <w:rFonts w:hint="eastAsia" w:ascii="宋体" w:hAnsi="宋体" w:eastAsia="宋体" w:cs="宋体"/>
          <w:color w:val="444444"/>
          <w:kern w:val="0"/>
          <w:sz w:val="28"/>
          <w:szCs w:val="28"/>
          <w:shd w:val="clear" w:fill="FFFFFF"/>
          <w:lang w:val="en-US" w:eastAsia="zh-CN"/>
        </w:rPr>
        <w:t>1、</w:t>
      </w:r>
      <w:r>
        <w:rPr>
          <w:rFonts w:hint="default" w:ascii="宋体" w:hAnsi="宋体" w:eastAsia="宋体" w:cs="宋体"/>
          <w:color w:val="444444"/>
          <w:kern w:val="0"/>
          <w:sz w:val="28"/>
          <w:szCs w:val="28"/>
          <w:shd w:val="clear" w:fill="FFFFFF"/>
          <w:lang w:val="en-US" w:eastAsia="zh-CN"/>
        </w:rPr>
        <w:t>增强预算编制的全面性、准确性。对年初没有预算安排的支出原则上不安排支出，对于年度无法预计的临时追加的相关工作所需费用，严格按照预算调整追加程序，逐级申报报批。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w:t>
      </w:r>
      <w:r>
        <w:rPr>
          <w:rFonts w:hint="default" w:ascii="宋体" w:hAnsi="宋体" w:eastAsia="宋体" w:cs="宋体"/>
          <w:color w:val="444444"/>
          <w:kern w:val="0"/>
          <w:sz w:val="28"/>
          <w:szCs w:val="28"/>
          <w:shd w:val="clear" w:fill="FFFFFF"/>
          <w:lang w:val="en-US" w:eastAsia="zh-CN"/>
        </w:rPr>
        <w:t>认真提高业务水平，更加严格执行预算，保障各项工作任务圆满完成。</w:t>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1"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1"/>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354FD"/>
    <w:multiLevelType w:val="singleLevel"/>
    <w:tmpl w:val="94A354FD"/>
    <w:lvl w:ilvl="0" w:tentative="0">
      <w:start w:val="1"/>
      <w:numFmt w:val="decimal"/>
      <w:suff w:val="nothing"/>
      <w:lvlText w:val="%1．"/>
      <w:lvlJc w:val="left"/>
    </w:lvl>
  </w:abstractNum>
  <w:abstractNum w:abstractNumId="1">
    <w:nsid w:val="AF541BEA"/>
    <w:multiLevelType w:val="singleLevel"/>
    <w:tmpl w:val="AF541BE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2E2NThmNTlmNmMzMDE1ZGUyMTE2NzZkNjRjMDEifQ=="/>
  </w:docVars>
  <w:rsids>
    <w:rsidRoot w:val="00000000"/>
    <w:rsid w:val="023D0B8F"/>
    <w:rsid w:val="03A03184"/>
    <w:rsid w:val="042C03AD"/>
    <w:rsid w:val="086724C2"/>
    <w:rsid w:val="10341DB3"/>
    <w:rsid w:val="1EAC476E"/>
    <w:rsid w:val="2BAF5A2E"/>
    <w:rsid w:val="3AC14BDF"/>
    <w:rsid w:val="3D11326B"/>
    <w:rsid w:val="3E6B55B7"/>
    <w:rsid w:val="40A974CD"/>
    <w:rsid w:val="41FB36A0"/>
    <w:rsid w:val="45AD0E01"/>
    <w:rsid w:val="56D01807"/>
    <w:rsid w:val="676F64B6"/>
    <w:rsid w:val="75372475"/>
    <w:rsid w:val="767924E3"/>
    <w:rsid w:val="7A2B5BC9"/>
    <w:rsid w:val="7CA7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5915</Words>
  <Characters>6225</Characters>
  <Lines>0</Lines>
  <Paragraphs>0</Paragraphs>
  <TotalTime>83</TotalTime>
  <ScaleCrop>false</ScaleCrop>
  <LinksUpToDate>false</LinksUpToDate>
  <CharactersWithSpaces>6380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停留在心底</cp:lastModifiedBy>
  <dcterms:modified xsi:type="dcterms:W3CDTF">2022-10-18T09:43:08Z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2F54F18A2CE84DADA1B21E746E2F1685</vt:lpwstr>
  </property>
</Properties>
</file>