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邵阳市北塔区机关事务服务中心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2022年度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整体支出绩效自评报告</w:t>
      </w:r>
    </w:p>
    <w:p>
      <w:pPr>
        <w:rPr>
          <w:rFonts w:hint="default" w:ascii="Times New Roman" w:hAnsi="Times New Roman" w:cs="Times New Roman"/>
        </w:rPr>
      </w:pPr>
    </w:p>
    <w:p>
      <w:pPr>
        <w:pStyle w:val="14"/>
        <w:widowControl/>
        <w:spacing w:line="600" w:lineRule="exact"/>
        <w:ind w:left="640" w:firstLine="0"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一、单位基本情况</w:t>
      </w:r>
    </w:p>
    <w:p>
      <w:pPr>
        <w:numPr>
          <w:ilvl w:val="0"/>
          <w:numId w:val="0"/>
        </w:numPr>
        <w:spacing w:line="600" w:lineRule="exact"/>
        <w:ind w:firstLine="320" w:firstLineChars="1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机构设置情况</w:t>
      </w:r>
    </w:p>
    <w:p>
      <w:pPr>
        <w:widowControl/>
        <w:spacing w:line="600" w:lineRule="exact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邵阳市北塔区机关事务服务中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心为正科级全额拨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款事业单位。内设机构4个。内设机构分别是办公室、公车管理股、后勤服务股、公务接待股。</w:t>
      </w:r>
    </w:p>
    <w:p>
      <w:pPr>
        <w:pStyle w:val="14"/>
        <w:widowControl/>
        <w:numPr>
          <w:ilvl w:val="0"/>
          <w:numId w:val="1"/>
        </w:numPr>
        <w:spacing w:line="600" w:lineRule="exact"/>
        <w:ind w:left="420" w:leftChars="0" w:firstLine="0" w:firstLineChars="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人员编制情况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我单位核定编制7人，实有在职干部职工14人，离退休人员8人。</w:t>
      </w:r>
    </w:p>
    <w:p>
      <w:pPr>
        <w:pStyle w:val="14"/>
        <w:widowControl/>
        <w:numPr>
          <w:ilvl w:val="0"/>
          <w:numId w:val="1"/>
        </w:numPr>
        <w:spacing w:line="600" w:lineRule="exact"/>
        <w:ind w:left="420" w:leftChars="0" w:firstLine="0" w:firstLineChars="0"/>
        <w:rPr>
          <w:rFonts w:hint="eastAsia" w:ascii="楷体_GB2312" w:hAnsi="Calibri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kern w:val="2"/>
          <w:sz w:val="32"/>
          <w:szCs w:val="32"/>
          <w:lang w:val="en-US" w:eastAsia="zh-CN" w:bidi="ar-SA"/>
        </w:rPr>
        <w:t>主要职能职责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（1）为区机关办公与职工生活提供后勤服务。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（2）区机关及事业单位的房屋维修工程的计划、管理及实施。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（3）区政府大楼的内外环境卫生管理、部分临时用工管理；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（4）区机关食堂、职工福利的管理。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（5）分配区机关劳动任务并对各部门的劳动情况进行检查。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（6）负责全区公务用车的管理，负责全区公务用车的编制管理、编制核定，车辆配备、更新、维修、调配、处置等工作。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（7）负责全区公务接待管理和指导工作，负责制定并组织实施全区公务接待管理办法；承担全区重要接待、大型活动、重要会议的后勤保障工作。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（8）承担区其他机关事务工作。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（四）绩效目标设定情况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确保全区机关事务管理正常运行；严格控制三公经费支出，推进节约型机关创建；保障疫情防控后勤，做好纺织大楼、民兵训练基地大型修缮工作，发挥财政资金引导作用。</w:t>
      </w:r>
    </w:p>
    <w:p>
      <w:pPr>
        <w:pStyle w:val="14"/>
        <w:widowControl/>
        <w:spacing w:line="600" w:lineRule="exact"/>
        <w:ind w:left="640"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二、一般公共预算支出情况</w:t>
      </w:r>
    </w:p>
    <w:p>
      <w:pPr>
        <w:pStyle w:val="14"/>
        <w:widowControl/>
        <w:spacing w:line="600" w:lineRule="exact"/>
        <w:ind w:left="640" w:firstLine="0" w:firstLineChars="0"/>
        <w:rPr>
          <w:rFonts w:hint="eastAsia" w:ascii="楷体_GB2312" w:hAnsi="楷体" w:eastAsia="楷体_GB2312" w:cs="楷体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sz w:val="32"/>
          <w:szCs w:val="32"/>
          <w:lang w:val="en-US" w:eastAsia="zh-CN"/>
        </w:rPr>
        <w:t>（一）经批复的预、决算情况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2022年我中心预算批复数171.93万元，其中一般公共预算拨款171.93万元；决算批复数1,723.37万元，其中一般公共预算财政拨款收入1,650.70万元，政府性基金预算财政拨款收入0万元，其他收入72.67万元。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（二）部门预算执行情况</w:t>
      </w:r>
    </w:p>
    <w:p>
      <w:pPr>
        <w:pStyle w:val="14"/>
        <w:widowControl/>
        <w:spacing w:line="600" w:lineRule="exact"/>
        <w:ind w:left="640" w:firstLine="0" w:firstLineChars="0"/>
        <w:rPr>
          <w:rFonts w:hint="eastAsia"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1.基本支出情况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2022年决算基本支出330.36万元，其中：工资及福利支出270.46万元，商品和服务支出55.35万元，对个人和家庭的补助4.55万元，资本性支出0万元。</w:t>
      </w:r>
    </w:p>
    <w:p>
      <w:pPr>
        <w:pStyle w:val="14"/>
        <w:widowControl/>
        <w:spacing w:line="600" w:lineRule="exact"/>
        <w:ind w:left="640" w:firstLine="0" w:firstLineChars="0"/>
        <w:rPr>
          <w:rFonts w:hint="eastAsia" w:ascii="楷体_GB2312" w:hAnsi="楷体" w:eastAsia="楷体_GB2312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项目支出情况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ab/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2022年决算项目支出1,320.34万元，其中：一般公共服务支出649.20万元；国防支出35.90万元；卫生健康支出635.23万元。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left="420" w:leftChars="0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" w:eastAsia="楷体_GB2312" w:cs="楷体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" w:eastAsia="楷体_GB2312" w:cs="楷体"/>
          <w:bCs/>
          <w:sz w:val="32"/>
          <w:szCs w:val="32"/>
        </w:rPr>
        <w:t>“三公”经费使用和管理情况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2022年，本单位“三公经费”预算金额1.70万元，其中公务接待费1.70万元，</w:t>
      </w:r>
      <w:r>
        <w:rPr>
          <w:rFonts w:hint="eastAsia" w:ascii="仿宋_GB2312" w:hAnsi="Times New Roman" w:eastAsia="仿宋_GB2312" w:cs="Times New Roman"/>
          <w:sz w:val="32"/>
          <w:szCs w:val="32"/>
          <w:lang w:val="zh-CN" w:eastAsia="zh-CN"/>
        </w:rPr>
        <w:t>公务用车购置及运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zh-CN" w:eastAsia="zh-CN"/>
        </w:rPr>
        <w:t>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0万元。“三公”经费支出196.26万元，其中公务接待费0万元，</w:t>
      </w:r>
      <w:r>
        <w:rPr>
          <w:rFonts w:hint="eastAsia" w:ascii="仿宋_GB2312" w:hAnsi="Times New Roman" w:eastAsia="仿宋_GB2312" w:cs="Times New Roman"/>
          <w:sz w:val="32"/>
          <w:szCs w:val="32"/>
          <w:lang w:val="zh-CN" w:eastAsia="zh-CN"/>
        </w:rPr>
        <w:t>公务用车购置及运行维护费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支出196.26万元。</w:t>
      </w:r>
    </w:p>
    <w:p>
      <w:pPr>
        <w:pStyle w:val="14"/>
        <w:widowControl/>
        <w:numPr>
          <w:ilvl w:val="0"/>
          <w:numId w:val="1"/>
        </w:numPr>
        <w:spacing w:line="600" w:lineRule="exact"/>
        <w:ind w:left="420" w:leftChars="0" w:firstLine="0" w:firstLineChars="0"/>
        <w:rPr>
          <w:rFonts w:hint="default" w:ascii="楷体_GB2312" w:hAnsi="Calibri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资金结转和结余情况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left="420" w:leftChars="0" w:firstLine="320" w:firstLineChars="1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2022年年初结转和结余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万元。</w:t>
      </w:r>
    </w:p>
    <w:p>
      <w:pPr>
        <w:pStyle w:val="14"/>
        <w:widowControl/>
        <w:numPr>
          <w:ilvl w:val="0"/>
          <w:numId w:val="1"/>
        </w:numPr>
        <w:spacing w:line="600" w:lineRule="exact"/>
        <w:ind w:left="420" w:leftChars="0" w:firstLine="0" w:firstLineChars="0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部门整体支出管理与制度建设情况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2022年，我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严格遵循有关规定，根据上级工作要求结合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我单位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实际，从预算编制与执行、资金分配与使用、资金监督与管理以及财务会计信息、项目组织管理、项目绩效完成等方面严格把控。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通过加强预算收支管理，不断建立健全内部管理制度，梳理内部管理流程，部门整体支出管理水平得到提升，制度建设不断强化。</w:t>
      </w:r>
    </w:p>
    <w:p>
      <w:pPr>
        <w:pStyle w:val="14"/>
        <w:widowControl/>
        <w:numPr>
          <w:ilvl w:val="0"/>
          <w:numId w:val="2"/>
        </w:numPr>
        <w:spacing w:line="600" w:lineRule="exact"/>
        <w:ind w:left="640" w:firstLine="0" w:firstLineChars="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政府性基金预算支出情况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依据实际情况填写，没有不写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邵阳北塔区机关事务服务中心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2022年无政府性基金预算支出。</w:t>
      </w:r>
    </w:p>
    <w:p>
      <w:pPr>
        <w:pStyle w:val="14"/>
        <w:widowControl/>
        <w:numPr>
          <w:ilvl w:val="0"/>
          <w:numId w:val="2"/>
        </w:numPr>
        <w:spacing w:line="600" w:lineRule="exact"/>
        <w:ind w:left="640" w:leftChars="0" w:firstLine="0" w:firstLineChars="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国有资本经营预算支出情况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邵阳北塔区机关事务服务中心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无国有资本经营预算支出。</w:t>
      </w:r>
    </w:p>
    <w:p>
      <w:pPr>
        <w:pStyle w:val="14"/>
        <w:widowControl/>
        <w:numPr>
          <w:ilvl w:val="0"/>
          <w:numId w:val="2"/>
        </w:numPr>
        <w:spacing w:line="600" w:lineRule="exact"/>
        <w:ind w:left="640" w:leftChars="0" w:firstLine="0" w:firstLineChars="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社会保险基金预算支出情况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邵阳北塔区机关事务服务中心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无社会保险基金预算支出。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六、部门整体支出绩效情况</w:t>
      </w:r>
    </w:p>
    <w:p>
      <w:pPr>
        <w:widowControl/>
        <w:spacing w:line="600" w:lineRule="exact"/>
        <w:ind w:firstLine="645"/>
        <w:jc w:val="left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（一）综合评价结论</w:t>
      </w:r>
    </w:p>
    <w:p>
      <w:pPr>
        <w:pStyle w:val="14"/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2022年对照《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邵阳北塔区机关事务服务中心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2022年度部门整体支出绩效评价指标评分表》等方面具体指标综合评分，得分为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95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分，综合评价等级分为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优秀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hint="eastAsia"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综合评价情况</w:t>
      </w:r>
    </w:p>
    <w:p>
      <w:pPr>
        <w:pStyle w:val="14"/>
        <w:widowControl/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部门资金情况总分10分，得分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分。年度资金金额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1723.37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万元，执行率为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1002.37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%。</w:t>
      </w:r>
    </w:p>
    <w:p>
      <w:pPr>
        <w:pStyle w:val="14"/>
        <w:widowControl/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产出指标总分为50分，得分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分。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1）数量指标7个均完成指标值。完成办公大楼及时维修（护）次数5次；干部职工工资、绩效资金的正常发放月份12个月；检查办公大楼安全隐患、会议室场地、电子设备次数15次；举办节能宣传活动次数、垃圾分类业务知识培训次数2次；驾驶员的安全教育次数5次；疫情后勤保障次数3次；食品安全、菜品等相关工作督促检查次数48次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（2）质量指标完成4个指标值。干部职工工资、绩效奖金的准时发放率100%；保障公务用车正常出行100%；保障办公设备正常维护、大楼正常维修、区大楼环境优美100%，疫情后勤有力保障100%。</w:t>
      </w:r>
    </w:p>
    <w:p>
      <w:pPr>
        <w:pStyle w:val="6"/>
        <w:numPr>
          <w:ilvl w:val="0"/>
          <w:numId w:val="5"/>
        </w:num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时效指标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个已完成指标值。各项工作完成时间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2022年12月31日前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numPr>
          <w:ilvl w:val="0"/>
          <w:numId w:val="5"/>
        </w:num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成本指标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个已完成指标值。所有指标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未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超出预算安排。</w:t>
      </w:r>
    </w:p>
    <w:p>
      <w:pPr>
        <w:pStyle w:val="6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3、效益指标总分30分，得分30分。</w:t>
      </w:r>
    </w:p>
    <w:p>
      <w:pPr>
        <w:pStyle w:val="6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（1）经济效益指标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个均已完成指标值。优化资源，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逐步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提高财政资金使用效益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保障安全，打造美丽北塔。</w:t>
      </w:r>
    </w:p>
    <w:p>
      <w:pPr>
        <w:pStyle w:val="5"/>
        <w:numPr>
          <w:ilvl w:val="0"/>
          <w:numId w:val="0"/>
        </w:numPr>
        <w:ind w:right="0" w:rightChars="0" w:firstLine="640" w:firstLineChars="200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（2）社会效益指标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个均已完成指标值。降能节耗，节约财政资金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；优化环境提升全区形象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numPr>
          <w:ilvl w:val="0"/>
          <w:numId w:val="0"/>
        </w:numPr>
        <w:ind w:right="0" w:rightChars="0" w:firstLine="640" w:firstLineChars="200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（3）生态效益指标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个已完成指标值。提高环境保护资金使用效益，加强支持环境治理。</w:t>
      </w:r>
    </w:p>
    <w:p>
      <w:pPr>
        <w:pStyle w:val="5"/>
        <w:numPr>
          <w:ilvl w:val="0"/>
          <w:numId w:val="0"/>
        </w:numPr>
        <w:ind w:right="0" w:rightChars="0" w:firstLine="640" w:firstLineChars="200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（4）可持续影响指标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个已完成指标值。降能节耗，制止资源浪费，有效利用资源，节约财政资金，提升服务质量。</w:t>
      </w:r>
    </w:p>
    <w:p>
      <w:pPr>
        <w:pStyle w:val="5"/>
        <w:numPr>
          <w:ilvl w:val="0"/>
          <w:numId w:val="0"/>
        </w:numPr>
        <w:ind w:right="0" w:rightChars="0"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4、满意度指标总分为10分，得分10分。在2022年度工作中，我单位坚持“以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为本”的工作理念，干部职工满意度98%，社会公众或服务对象满意度98%，均已完成指标值。</w:t>
      </w:r>
    </w:p>
    <w:p>
      <w:pPr>
        <w:pStyle w:val="14"/>
        <w:widowControl/>
        <w:spacing w:line="600" w:lineRule="exact"/>
        <w:ind w:left="640" w:firstLine="0" w:firstLineChars="0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</w:rPr>
        <w:t>七、存在的问题及原因分析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1、年初预算编制不合理，年内预算追加金额较大，预算编制的合理性有待进一步提高。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2、年初预算绩效目标不明确，绩效指标未细化和量化。</w:t>
      </w:r>
      <w:r>
        <w:rPr>
          <w:rFonts w:hint="eastAsia" w:ascii="Times New Roman" w:hAnsi="Times New Roman" w:eastAsia="黑体"/>
          <w:sz w:val="32"/>
          <w:szCs w:val="32"/>
        </w:rPr>
        <w:t>八、下一步改进措施</w:t>
      </w:r>
    </w:p>
    <w:p>
      <w:pPr>
        <w:pStyle w:val="2"/>
        <w:rPr>
          <w:rFonts w:hint="eastAsia"/>
        </w:rPr>
      </w:pPr>
    </w:p>
    <w:p>
      <w:pPr>
        <w:pStyle w:val="5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（一）科学合理编制预算，严格执行预算 </w:t>
      </w:r>
    </w:p>
    <w:p>
      <w:pPr>
        <w:pStyle w:val="5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加强预算编制的前瞻性，按照新《预算法》及其实施条例的相关规定，按政策规定及本部门的发展规划，结合上一年度预算执行情况和本年度预算收支变化因素，科学、合理地编制本年预算草案，避免预算支出与实际执行出现较大偏差的情况，执行中确需调剂预算的，按规定程序报经批准。 </w:t>
      </w:r>
    </w:p>
    <w:p>
      <w:pPr>
        <w:pStyle w:val="5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）加强政府会计制度和新预算法学习培训 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加强新《预算法》、《政府会计制度》等学习培训，规范部门预算收支核算，提高预算绩效管理的质量和效率，建立适应我中心管理特征和工作实际的部门整体支出绩效指标体系。更加科学、合理地设定部门整体支出绩效指标。形成突出绩效特色，细化、量化的绩效指标。 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九、其他需要说明的情况</w:t>
      </w:r>
    </w:p>
    <w:p>
      <w:pPr>
        <w:widowControl/>
        <w:spacing w:line="600" w:lineRule="exact"/>
        <w:ind w:firstLine="645"/>
        <w:jc w:val="left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widowControl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附件1-1      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部门整体支出绩效评价基础数据表</w:t>
      </w:r>
    </w:p>
    <w:p>
      <w:pPr>
        <w:pStyle w:val="2"/>
        <w:rPr>
          <w:rFonts w:hint="default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00" w:lineRule="exact"/>
        <w:rPr>
          <w:rFonts w:hint="default" w:ascii="Times New Roman" w:hAnsi="Times New Roman" w:cs="Times New Roman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</w:rPr>
        <w:t>填报单位：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邵阳市北塔区机关事务服务中心  </w:t>
      </w:r>
      <w:r>
        <w:rPr>
          <w:rFonts w:hint="default" w:ascii="Times New Roman" w:hAnsi="Times New Roman" w:cs="Times New Roman"/>
          <w:kern w:val="0"/>
          <w:sz w:val="24"/>
        </w:rPr>
        <w:t>填报时间：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2023.9.22</w:t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单位：万元</w:t>
      </w:r>
    </w:p>
    <w:tbl>
      <w:tblPr>
        <w:tblStyle w:val="11"/>
        <w:tblW w:w="91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709"/>
        <w:gridCol w:w="10"/>
        <w:gridCol w:w="2319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财政供养人员情况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编制数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年末实际在职人数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经费控制情况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当年决算数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当年预算数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上年决算数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一、部门基本支出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336.88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156.93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741.18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其中： 1、压缩一般性支出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2、三公经费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196.26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1.70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公务用车购置和维护经费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196.26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178.71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其中：公车购置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23.27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公车运行维护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172.99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133.72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公务接待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1.70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出国（境）经费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二、部门项目支出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1386.48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15.00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551.13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、业务工作专项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737.28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160.06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国防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35.90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160.06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卫生健康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635.23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66.15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、运行维护专项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649.20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15.00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391.07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一般公共服务支出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649.20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15.00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391.07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494.25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437.23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703"/>
              </w:tabs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严格控制三公经费支出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　　</w:t>
            </w:r>
          </w:p>
        </w:tc>
      </w:tr>
    </w:tbl>
    <w:p>
      <w:pPr>
        <w:spacing w:before="62" w:beforeLines="20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default" w:ascii="Times New Roman" w:hAnsi="Times New Roman" w:cs="Times New Roman"/>
          <w:kern w:val="0"/>
          <w:szCs w:val="22"/>
        </w:rPr>
        <w:t>说明：“公用经费”填报基本支出中的一般商品和服务支出；“项目支出”需要填报基本支出以外的所有项目支出情况，包括业务工作项目、运行维护项目和县级专项资金等。</w:t>
      </w:r>
    </w:p>
    <w:p>
      <w:pPr>
        <w:widowControl/>
        <w:jc w:val="center"/>
        <w:rPr>
          <w:rFonts w:hint="eastAsia" w:ascii="Times New Roman" w:hAnsi="Times New Roman" w:eastAsia="宋体"/>
          <w:kern w:val="0"/>
          <w:szCs w:val="21"/>
          <w:lang w:val="en-US" w:eastAsia="zh-CN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</w:t>
      </w:r>
    </w:p>
    <w:p>
      <w:pPr>
        <w:widowControl/>
        <w:jc w:val="both"/>
        <w:rPr>
          <w:rFonts w:hint="default" w:ascii="Times New Roman" w:hAnsi="Times New Roman"/>
          <w:kern w:val="0"/>
          <w:szCs w:val="21"/>
        </w:rPr>
      </w:pPr>
      <w:r>
        <w:rPr>
          <w:rFonts w:hint="default" w:ascii="Times New Roman" w:hAnsi="Times New Roman"/>
          <w:kern w:val="0"/>
          <w:szCs w:val="21"/>
        </w:rPr>
        <w:t>填表人</w:t>
      </w:r>
      <w:r>
        <w:rPr>
          <w:rFonts w:hint="eastAsia" w:ascii="Times New Roman" w:hAnsi="Times New Roman"/>
          <w:kern w:val="0"/>
          <w:szCs w:val="21"/>
          <w:lang w:eastAsia="zh-CN"/>
        </w:rPr>
        <w:t>：</w:t>
      </w:r>
      <w:r>
        <w:rPr>
          <w:rFonts w:hint="default" w:ascii="Times New Roman" w:hAnsi="Times New Roman"/>
          <w:kern w:val="0"/>
          <w:szCs w:val="21"/>
        </w:rPr>
        <w:t xml:space="preserve"> 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/>
          <w:kern w:val="0"/>
          <w:szCs w:val="21"/>
        </w:rPr>
        <w:t xml:space="preserve">  联系电话：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/>
          <w:kern w:val="0"/>
          <w:szCs w:val="21"/>
        </w:rPr>
        <w:t>单位负责人签字：</w:t>
      </w:r>
    </w:p>
    <w:p>
      <w:pPr>
        <w:widowControl/>
        <w:jc w:val="center"/>
        <w:rPr>
          <w:rFonts w:hint="default" w:ascii="Times New Roman" w:hAnsi="Times New Roman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62" w:beforeLines="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1-2 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部门整体支出绩效自评表</w:t>
      </w:r>
    </w:p>
    <w:p>
      <w:pPr>
        <w:spacing w:line="320" w:lineRule="exact"/>
        <w:jc w:val="center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sz w:val="28"/>
          <w:szCs w:val="28"/>
        </w:rPr>
        <w:t xml:space="preserve">（ 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 xml:space="preserve">2022 </w:t>
      </w:r>
      <w:r>
        <w:rPr>
          <w:rFonts w:hint="default" w:ascii="Times New Roman" w:hAnsi="Times New Roman" w:cs="Times New Roman"/>
          <w:sz w:val="28"/>
          <w:szCs w:val="28"/>
        </w:rPr>
        <w:t>年度</w:t>
      </w:r>
      <w:r>
        <w:rPr>
          <w:rFonts w:hint="default" w:ascii="Times New Roman" w:hAnsi="Times New Roman" w:eastAsia="方正小标宋_GBK" w:cs="Times New Roman"/>
          <w:sz w:val="28"/>
          <w:szCs w:val="28"/>
        </w:rPr>
        <w:t>）</w:t>
      </w:r>
    </w:p>
    <w:p>
      <w:pPr>
        <w:spacing w:line="320" w:lineRule="exact"/>
        <w:jc w:val="center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填报单位（盖章）：</w:t>
      </w:r>
      <w:r>
        <w:rPr>
          <w:rFonts w:hint="eastAsia" w:ascii="Times New Roman" w:hAnsi="Times New Roman" w:cs="Times New Roman"/>
          <w:sz w:val="24"/>
          <w:lang w:val="en-US" w:eastAsia="zh-CN"/>
        </w:rPr>
        <w:t>邵阳市北塔区机关事务服务中心</w:t>
      </w:r>
      <w:r>
        <w:rPr>
          <w:rFonts w:hint="default" w:ascii="Times New Roman" w:hAnsi="Times New Roman" w:cs="Times New Roman"/>
          <w:sz w:val="24"/>
        </w:rPr>
        <w:t xml:space="preserve">         填报时间：</w:t>
      </w:r>
      <w:r>
        <w:rPr>
          <w:rFonts w:hint="eastAsia" w:ascii="Times New Roman" w:hAnsi="Times New Roman" w:cs="Times New Roman"/>
          <w:sz w:val="24"/>
          <w:lang w:val="en-US" w:eastAsia="zh-CN"/>
        </w:rPr>
        <w:t>2023.9.22</w:t>
      </w:r>
    </w:p>
    <w:tbl>
      <w:tblPr>
        <w:tblStyle w:val="11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108" w:type="dxa"/>
        </w:tblCellMar>
      </w:tblPr>
      <w:tblGrid>
        <w:gridCol w:w="612"/>
        <w:gridCol w:w="900"/>
        <w:gridCol w:w="1050"/>
        <w:gridCol w:w="1005"/>
        <w:gridCol w:w="1821"/>
        <w:gridCol w:w="1246"/>
        <w:gridCol w:w="1615"/>
        <w:gridCol w:w="73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部门资金（万元）</w:t>
            </w: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171.93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1723.37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1002.37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7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按收入性质分类</w:t>
            </w:r>
          </w:p>
        </w:tc>
        <w:tc>
          <w:tcPr>
            <w:tcW w:w="452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按支出性质分类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一般公共预算拨款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1650.70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336.88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政府性基金拨款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 xml:space="preserve">         1.人员经费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275.94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纳入管理的非税收入拨款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 xml:space="preserve">     2.公用经费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……拨款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其中：三公经费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170.69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72.67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项目支出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1386.49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1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47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年初预期（设定）目标　</w:t>
            </w:r>
          </w:p>
        </w:tc>
        <w:tc>
          <w:tcPr>
            <w:tcW w:w="452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61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77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在本年度收支预算内，确保完成以下整体目标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保障干部职工工资、绩效奖金的正常发放，保障机关日常工作的正常运转；2.机关院落花卉摆放，定期修剪维护乔木、灌木，确保院内四季常青、鸟语花香；3.卫生无垃圾死角，整洁干净。降低能源消耗，减少、制止能源浪费，有效、合理地利用能源；4.全区政府采购资金节约率达10%以上；5.办公楼及时维护维修，能确保办公秩序正常进行；6.食堂饮食服务满意度90%；7.公务用车油耗和维修比上年节约，公用设备的维护满意度上升，三公经费减少10%。</w:t>
            </w:r>
          </w:p>
        </w:tc>
        <w:tc>
          <w:tcPr>
            <w:tcW w:w="4524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严格按照财政预算开展政府采购项目。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严格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按照财政预算，严控三公经费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612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三级指标　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（50分）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办公大楼及时维修（护）次数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干部职工工资、绩效奖金的正常发放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月份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12个月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检查办公大楼安全隐患、会议室场地、电子设备次数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12次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举办节能宣传活动次数、垃圾分类业务知识培训次数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驾驶员的安全教育次数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大型疫情后勤保障次数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食品安全、菜品等相关工作督促检查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次数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48次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干部职工工资、绩效奖金的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准时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发放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100%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保障公务用车正常出行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100%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保障办公设备正常维护、大楼正常维修、区大楼环境优美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100%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6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疫情后勤有力保障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100%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100%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各项工作完成时间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2022年12月31日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2022年12月31日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所有指标不超出预算安排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000000"/>
                <w:sz w:val="16"/>
                <w:szCs w:val="16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1723.37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万元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1723.37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万元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6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ind w:left="-1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优化资源，提高财政资金使用效益。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提高资金使用效益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逐步提高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61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保障安全，打造</w:t>
            </w: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美丽北塔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持续保障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持续保障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降能节耗，节约财政资金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持续节约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持续节约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优化环境提升全区形象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持续提升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持续提升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b/>
                <w:kern w:val="44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提高环境保护资金使用效益，加强支持环境治理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持续提高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持续提高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降能节耗，制止资源浪费，有效利用资源，节约财政资金，提升服务质量。</w:t>
            </w:r>
          </w:p>
        </w:tc>
        <w:tc>
          <w:tcPr>
            <w:tcW w:w="1246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持续提升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持续提升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干部职工满意度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员工满意度≥95%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社会公众或服务对象满意度≥95%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</w:tbl>
    <w:p/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highlight w:val="yellow"/>
          <w:lang w:eastAsia="zh-CN"/>
        </w:rPr>
      </w:pPr>
      <w:r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</w:rPr>
        <w:t>年度项目支出绩效自评表</w:t>
      </w:r>
    </w:p>
    <w:tbl>
      <w:tblPr>
        <w:tblStyle w:val="11"/>
        <w:tblW w:w="99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062"/>
        <w:gridCol w:w="1403"/>
        <w:gridCol w:w="1056"/>
        <w:gridCol w:w="1126"/>
        <w:gridCol w:w="820"/>
        <w:gridCol w:w="1010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全区事务管理经费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执行率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468.81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468.81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440.85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27.96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1.机关院落花卉摆放，定期修剪维护乔木、灌木，确保院内四季常青、鸟语花香；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.卫生无垃圾死角，整洁干净。降低能源消耗，减少、制止能源浪费，有效、合理地利用能源；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.全区政府采购资金节约率达10%以上；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.办公楼及时维护维修，能确保办公秩序正常进行；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.食堂饮食服务满意度90%；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.公务用车油耗和维修比上年节约，公用设备的维护满意度上升，三公经费减少10%。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1、完成。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2、完成。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3、完成。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4、完成。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5、完成。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6、完成。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检查办公大楼安全隐患、会议室场地、电子设备次数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办公大楼及时维修（护）次数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食品安全、菜品等相关工作督促检查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次数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驾驶员的安全教育次数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保障公务用车正常出行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保障办公设备正常维护、大楼正常维修、区大楼环境优美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各项工作完成时间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2022年12月31日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2022年12月31日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所有指标不超出预算安排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468.81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468.81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（30分）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优化资源，提高财政资金使用效益。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提高资金使用效益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逐步提高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保障安全，打造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美丽北塔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持续保障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降能节耗，节约财政资金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优化环境提升全区形象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提高环境保护资金使用效益，加强支持环境治理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降能节耗，制止资源浪费，有效利用资源，节约财政资金，提升服务质量。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干部职工满意度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员工满意度≥95%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社会公众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社会公众或服务对象满意度≥95%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Cs w:val="21"/>
          <w:lang w:val="en-US" w:eastAsia="zh-CN"/>
        </w:rPr>
        <w:t>填表人：        填报日期：          联系电话：            单位负责人签字：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</w:rPr>
      </w:pPr>
      <w:r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</w:rPr>
        <w:t>年度项目支出绩效自评表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11"/>
        <w:tblW w:w="9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95"/>
        <w:gridCol w:w="1063"/>
        <w:gridCol w:w="1134"/>
        <w:gridCol w:w="994"/>
        <w:gridCol w:w="928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项目支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出名称</w:t>
            </w:r>
          </w:p>
        </w:tc>
        <w:tc>
          <w:tcPr>
            <w:tcW w:w="8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纺织大楼大型修缮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实施单位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项目资金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年初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执行率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年度资金总额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10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其中：当年财政拨款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上年结转资金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其他资金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预期目标</w:t>
            </w:r>
          </w:p>
        </w:tc>
        <w:tc>
          <w:tcPr>
            <w:tcW w:w="4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保证纺织大楼大型修缮进度。</w:t>
            </w:r>
          </w:p>
        </w:tc>
        <w:tc>
          <w:tcPr>
            <w:tcW w:w="4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完成值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偏差原因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分析及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纺织大楼修缮栋数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1栋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纺织大楼修缮监督次数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纺织大楼修缮质量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修缮完成时间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按合同进度完成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按合同进度完成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指标不超出预算安排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208.34万元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（30分）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经济效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优化资源，提高财政资金使用效益。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提高资金使用效益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逐步提高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社会效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节约财政资金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生态效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提高环境保护资金使用效益，加强支持环境治理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降能节耗，制止资源浪费，有效利用资源，节约财政资金，提升服务质量。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社会公众或服务对象满意度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社会公众或服务对象满意度≥95%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Cs w:val="21"/>
          <w:lang w:val="en-US" w:eastAsia="zh-CN"/>
        </w:rPr>
        <w:t>填表人：        填报日期：          联系电话：            单位负责人签字：</w:t>
      </w:r>
    </w:p>
    <w:p>
      <w:pPr>
        <w:pStyle w:val="4"/>
        <w:rPr>
          <w:rFonts w:hint="default" w:ascii="Times New Roman Regular" w:hAnsi="Times New Roman Regular" w:eastAsia="仿宋_GB2312" w:cs="Times New Roman Regular"/>
          <w:kern w:val="0"/>
          <w:szCs w:val="21"/>
        </w:rPr>
      </w:pPr>
    </w:p>
    <w:p>
      <w:pPr>
        <w:pStyle w:val="4"/>
        <w:rPr>
          <w:rFonts w:hint="default" w:ascii="Times New Roman Regular" w:hAnsi="Times New Roman Regular" w:eastAsia="仿宋_GB2312" w:cs="Times New Roman Regular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</w:rPr>
      </w:pPr>
      <w:r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</w:rPr>
        <w:t>年度项目支出绩效自评表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11"/>
        <w:tblW w:w="99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项目支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出名称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民兵训练基地大型修缮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实施单位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项目资金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年初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执行率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预期目标</w:t>
            </w:r>
          </w:p>
        </w:tc>
        <w:tc>
          <w:tcPr>
            <w:tcW w:w="4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按期支付民兵训练基地大型修缮款</w:t>
            </w:r>
          </w:p>
        </w:tc>
        <w:tc>
          <w:tcPr>
            <w:tcW w:w="4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偏差原因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分析及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(50分)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民兵训练基地大型修缮次数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民兵训练基地大型修缮质量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修缮完成时间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2022年12月31日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2022年12月31日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指标不超出预算安排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35.91万元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（30分）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经济效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优化资源，提高财政资金使用效益。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提高资金使用效益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逐步提高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社会效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节约财政资金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持续节约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生态效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提高环境保护资金使用效益，加强支持环境治理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降能节耗，制止资源浪费，有效利用资源，节约财政资金，提升服务质量。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社会公众或服务对象满意度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社会公众或服务对象满意度≥95%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Cs w:val="21"/>
          <w:lang w:val="en-US" w:eastAsia="zh-CN"/>
        </w:rPr>
        <w:t>填表人：        填报日期：          联系电话：            单位负责人签字：</w:t>
      </w:r>
    </w:p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 Regular" w:hAnsi="Times New Roman Regular" w:eastAsia="方正小标宋_GBK" w:cs="Times New Roman Regular"/>
          <w:color w:val="000000"/>
          <w:kern w:val="0"/>
          <w:sz w:val="36"/>
          <w:szCs w:val="36"/>
          <w:lang w:val="en-US" w:eastAsia="zh-CN"/>
        </w:rPr>
        <w:t>年度项目支出绩效自评表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9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504"/>
        <w:gridCol w:w="941"/>
        <w:gridCol w:w="1106"/>
        <w:gridCol w:w="902"/>
        <w:gridCol w:w="890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项目支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出名称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疫情防控费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主管部门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实施单位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邵阳市北塔区机关事务服务中心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项目资金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年初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预算数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执行率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年度资金总额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673.43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673.43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其中：当年财政拨款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635.24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635.24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上年结转资金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其他资金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38.19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38.19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年度总体目标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预期目标</w:t>
            </w: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1、保障疫情期间物资提供；2、保障疫情期间餐饮、住宿，3、保障疫情期间卫生服务。</w:t>
            </w: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1、完成；2、完成；3、完成。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年度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指标值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完成值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偏差原因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分析及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办公大楼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消杀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次数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≥3次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大型疫情后勤保障次数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宣传防疫知识次数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次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疫情物品保障率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疫情期间单位人员安排率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疫情期间各部门用餐、住宿保障率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完成时间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2022年12月31日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2022年12月31日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指标不超出预算安排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673.43万元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673.43万元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（30分）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经济效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优化资源，提高财政金使用效益。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逐步提高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逐步提高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社会效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为疫情提供有力保障，保护人民群众安全。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持续保障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持续保障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生态效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益指标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提高环境保护资金使用效益，加强支持环境治</w:t>
            </w:r>
            <w:r>
              <w:rPr>
                <w:rFonts w:hint="eastAsia"/>
                <w:lang w:val="en-US" w:eastAsia="zh-CN"/>
              </w:rPr>
              <w:t>理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持续提高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持续提高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效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标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降能节耗，节约财政资金，提升服务质量。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持续提升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指标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社会公众或服务对象满意度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干部职工满意度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ab/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总分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default" w:ascii="Times New Roman Regular" w:hAnsi="Times New Roman Regular" w:eastAsia="仿宋_GB2312" w:cs="Times New Roman Regular"/>
          <w:kern w:val="0"/>
          <w:szCs w:val="21"/>
        </w:rPr>
      </w:pPr>
      <w:r>
        <w:rPr>
          <w:rFonts w:hint="default" w:ascii="宋体" w:hAnsi="宋体" w:cs="宋体"/>
          <w:color w:val="000000"/>
          <w:kern w:val="0"/>
          <w:szCs w:val="21"/>
          <w:lang w:val="en-US" w:eastAsia="zh-CN"/>
        </w:rPr>
        <w:t>填表人：        填报日期：          联系电话：            单位负责人签字：</w:t>
      </w:r>
    </w:p>
    <w:p>
      <w:pPr>
        <w:pStyle w:val="4"/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9895C"/>
    <w:multiLevelType w:val="singleLevel"/>
    <w:tmpl w:val="9429895C"/>
    <w:lvl w:ilvl="0" w:tentative="0">
      <w:start w:val="2"/>
      <w:numFmt w:val="chineseCounting"/>
      <w:suff w:val="nothing"/>
      <w:lvlText w:val="（%1）"/>
      <w:lvlJc w:val="left"/>
      <w:pPr>
        <w:ind w:left="-220"/>
      </w:pPr>
      <w:rPr>
        <w:rFonts w:hint="eastAsia"/>
      </w:rPr>
    </w:lvl>
  </w:abstractNum>
  <w:abstractNum w:abstractNumId="1">
    <w:nsid w:val="9B3C7F42"/>
    <w:multiLevelType w:val="singleLevel"/>
    <w:tmpl w:val="9B3C7F4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8FA68F1"/>
    <w:multiLevelType w:val="singleLevel"/>
    <w:tmpl w:val="D8FA68F1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4A42BD04"/>
    <w:multiLevelType w:val="singleLevel"/>
    <w:tmpl w:val="4A42BD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BBC5BF5"/>
    <w:multiLevelType w:val="singleLevel"/>
    <w:tmpl w:val="5BBC5BF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5BE9E6E"/>
    <w:multiLevelType w:val="singleLevel"/>
    <w:tmpl w:val="75BE9E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ODZjNzcwMzdhOTU3ZDNhMmI5ZDVmYzNkODZjOGUifQ=="/>
  </w:docVars>
  <w:rsids>
    <w:rsidRoot w:val="1DBB05A1"/>
    <w:rsid w:val="089A0BA4"/>
    <w:rsid w:val="14D66B92"/>
    <w:rsid w:val="1A681208"/>
    <w:rsid w:val="1D5E3A3C"/>
    <w:rsid w:val="1DBB05A1"/>
    <w:rsid w:val="22BB548D"/>
    <w:rsid w:val="27197074"/>
    <w:rsid w:val="278C70EF"/>
    <w:rsid w:val="2B3E2ABE"/>
    <w:rsid w:val="3291620A"/>
    <w:rsid w:val="33E947FE"/>
    <w:rsid w:val="342A06C4"/>
    <w:rsid w:val="39B34CB8"/>
    <w:rsid w:val="3D872D7B"/>
    <w:rsid w:val="3EE44D3A"/>
    <w:rsid w:val="40BE466E"/>
    <w:rsid w:val="49B54134"/>
    <w:rsid w:val="4A7317D0"/>
    <w:rsid w:val="4BCF5981"/>
    <w:rsid w:val="4C3D6555"/>
    <w:rsid w:val="50D37CC2"/>
    <w:rsid w:val="52E8557B"/>
    <w:rsid w:val="533C1542"/>
    <w:rsid w:val="5FAD0307"/>
    <w:rsid w:val="606D1251"/>
    <w:rsid w:val="61AF3E33"/>
    <w:rsid w:val="61C92810"/>
    <w:rsid w:val="683F3A37"/>
    <w:rsid w:val="6869180E"/>
    <w:rsid w:val="694863D3"/>
    <w:rsid w:val="6AB50F36"/>
    <w:rsid w:val="701D5D19"/>
    <w:rsid w:val="71900E5F"/>
    <w:rsid w:val="71E371E1"/>
    <w:rsid w:val="73BB6668"/>
    <w:rsid w:val="74DD2099"/>
    <w:rsid w:val="76EA1012"/>
    <w:rsid w:val="781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6"/>
    <w:next w:val="6"/>
    <w:qFormat/>
    <w:uiPriority w:val="0"/>
    <w:pPr>
      <w:keepNext/>
      <w:keepLines/>
      <w:spacing w:beforeLines="0" w:beforeAutospacing="0" w:afterLines="0" w:afterAutospacing="0" w:line="360" w:lineRule="auto"/>
      <w:ind w:firstLine="482" w:firstLineChars="200"/>
      <w:outlineLvl w:val="0"/>
    </w:pPr>
    <w:rPr>
      <w:rFonts w:ascii="Times New Roman" w:hAnsi="Times New Roman" w:eastAsia="黑体"/>
      <w:b/>
      <w:kern w:val="44"/>
      <w:sz w:val="32"/>
      <w:szCs w:val="22"/>
    </w:rPr>
  </w:style>
  <w:style w:type="paragraph" w:styleId="8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"/>
      <w:b/>
      <w:sz w:val="32"/>
      <w:szCs w:val="22"/>
    </w:rPr>
  </w:style>
  <w:style w:type="paragraph" w:styleId="9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Times New Roman" w:hAnsi="Times New Roman" w:eastAsia="仿宋"/>
      <w:b/>
      <w:sz w:val="30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 First Indent"/>
    <w:basedOn w:val="7"/>
    <w:qFormat/>
    <w:uiPriority w:val="0"/>
    <w:pPr>
      <w:adjustRightInd w:val="0"/>
      <w:snapToGrid w:val="0"/>
      <w:spacing w:beforeLines="50" w:after="0" w:line="360" w:lineRule="auto"/>
      <w:ind w:firstLine="200" w:firstLineChars="200"/>
    </w:pPr>
    <w:rPr>
      <w:rFonts w:ascii="Times New Roman" w:hAnsi="Times New Roman"/>
      <w:sz w:val="24"/>
      <w:szCs w:val="24"/>
    </w:rPr>
  </w:style>
  <w:style w:type="paragraph" w:styleId="7">
    <w:name w:val="Body Text"/>
    <w:basedOn w:val="1"/>
    <w:unhideWhenUsed/>
    <w:qFormat/>
    <w:uiPriority w:val="99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10">
    <w:name w:val="toc 1"/>
    <w:basedOn w:val="1"/>
    <w:next w:val="1"/>
    <w:qFormat/>
    <w:uiPriority w:val="0"/>
  </w:style>
  <w:style w:type="paragraph" w:customStyle="1" w:styleId="13">
    <w:name w:val="样式1"/>
    <w:basedOn w:val="1"/>
    <w:next w:val="1"/>
    <w:qFormat/>
    <w:uiPriority w:val="0"/>
    <w:pPr>
      <w:keepNext/>
      <w:keepLines/>
      <w:spacing w:beforeLines="0" w:afterLines="0" w:line="360" w:lineRule="auto"/>
      <w:ind w:firstLine="482" w:firstLineChars="200"/>
      <w:outlineLvl w:val="0"/>
    </w:pPr>
    <w:rPr>
      <w:rFonts w:hint="eastAsia" w:ascii="Times New Roman" w:hAnsi="Times New Roman" w:eastAsia="黑体"/>
      <w:b/>
      <w:kern w:val="44"/>
      <w:sz w:val="32"/>
      <w:szCs w:val="22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2023-09-21T01:18:00Z</dcterms:created>
  <dc:creator>lulu</dc:creator>
  <cp:lastModifiedBy>紫雪</cp:lastModifiedBy>
  <dcterms:modified xsi:type="dcterms:W3CDTF">2023-09-25T13:18:30Z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9D23BC86557C4EA082E88EAFB42B7254_13</vt:lpwstr>
  </property>
</Properties>
</file>