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rFonts w:hint="eastAsia"/>
          <w:i w:val="0"/>
          <w:iCs w:val="0"/>
          <w:caps w:val="0"/>
          <w:color w:val="auto"/>
          <w:spacing w:val="0"/>
          <w:sz w:val="44"/>
          <w:szCs w:val="44"/>
          <w:shd w:val="clear" w:fill="FFFFFF"/>
          <w:lang w:eastAsia="zh-CN"/>
        </w:rPr>
        <w:t>北塔区</w:t>
      </w:r>
      <w:r>
        <w:rPr>
          <w:rFonts w:hint="eastAsia"/>
          <w:i w:val="0"/>
          <w:iCs w:val="0"/>
          <w:caps w:val="0"/>
          <w:color w:val="auto"/>
          <w:spacing w:val="0"/>
          <w:sz w:val="44"/>
          <w:szCs w:val="44"/>
          <w:shd w:val="clear" w:fill="FFFFFF"/>
          <w:lang w:val="en-US" w:eastAsia="zh-CN"/>
        </w:rPr>
        <w:t>妇联</w:t>
      </w: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i w:val="0"/>
          <w:iCs w:val="0"/>
          <w:caps w:val="0"/>
          <w:color w:val="000000"/>
          <w:spacing w:val="0"/>
          <w:sz w:val="32"/>
          <w:szCs w:val="32"/>
          <w:lang w:val="en-US" w:eastAsia="zh-CN"/>
        </w:rPr>
        <w:t xml:space="preserve">无内设机构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i w:val="0"/>
          <w:iCs w:val="0"/>
          <w:caps w:val="0"/>
          <w:color w:val="000000"/>
          <w:spacing w:val="0"/>
          <w:sz w:val="32"/>
          <w:szCs w:val="32"/>
          <w:lang w:val="en-US" w:eastAsia="zh-CN"/>
        </w:rPr>
        <w:t>本部门共有编制人数3个，实有2人</w:t>
      </w:r>
    </w:p>
    <w:p>
      <w:pPr>
        <w:numPr>
          <w:ilvl w:val="0"/>
          <w:numId w:val="1"/>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主要工作职责</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1、根据党的中心任务，指导全区各级妇联依据《中华全国妇女联合会章程》和妇女代表大会的决议，开展妇女儿童工作，联系团体会员，并进行业务工作指导。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2、组织、协调、指导全区妇女开展“双学双比”、“巾帼建功”、“五好文明家庭”、“最美家庭”、“平安家庭”、“示范妇女儿童之家”“婚调委”等创建活动。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3、教育、引导广大妇女增强自尊、自信、自立、自强的精神，全面提高素质，促进妇女人才成长。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4、加强与社会各界的联系，协调和维护妇女儿童合法权益，推动社会各界为妇女儿童办好事、做实事。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5、调查研究全区妇女儿童的情况、问题，及时向区委、区政府反映情况，提出意见和建议。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6、致力提高妇联干部的整体素质，加强妇联干部队伍建设、妇联组织建设和妇联阵地建设，增强妇联组织的凝聚力和战斗力。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7、团结和带领全区各族各界妇女在社会主义物质文明建设和社会主义精神文明建设中发挥积极作用。 </w:t>
      </w:r>
    </w:p>
    <w:p>
      <w:pPr>
        <w:keepNext w:val="0"/>
        <w:keepLines w:val="0"/>
        <w:widowControl w:val="0"/>
        <w:suppressLineNumbers w:val="0"/>
        <w:spacing w:before="0" w:beforeAutospacing="1" w:after="0" w:afterAutospacing="1" w:line="480" w:lineRule="exact"/>
        <w:ind w:left="0" w:right="0" w:firstLine="640" w:firstLineChars="200"/>
        <w:jc w:val="left"/>
        <w:rPr>
          <w:rFonts w:hint="eastAsia" w:ascii="宋体" w:hAnsi="宋体" w:eastAsia="宋体" w:cs="宋体"/>
          <w:i w:val="0"/>
          <w:iCs w:val="0"/>
          <w:caps w:val="0"/>
          <w:color w:val="000000"/>
          <w:spacing w:val="0"/>
          <w:sz w:val="32"/>
          <w:szCs w:val="32"/>
          <w:lang w:eastAsia="zh-CN"/>
        </w:rPr>
      </w:pPr>
      <w:r>
        <w:rPr>
          <w:rFonts w:hint="eastAsia" w:ascii="宋体" w:hAnsi="宋体" w:eastAsia="宋体" w:cs="宋体"/>
          <w:i w:val="0"/>
          <w:iCs w:val="0"/>
          <w:caps w:val="0"/>
          <w:color w:val="000000"/>
          <w:spacing w:val="0"/>
          <w:sz w:val="32"/>
          <w:szCs w:val="32"/>
          <w:lang w:val="en-US" w:eastAsia="zh-CN"/>
        </w:rPr>
        <w:t xml:space="preserve">8、完成区委、区政府和上级妇联部署或交办的其它工作任务。 </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default"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kern w:val="2"/>
          <w:sz w:val="32"/>
          <w:szCs w:val="32"/>
          <w:lang w:val="en-US" w:eastAsia="zh-CN" w:bidi="ar"/>
        </w:rPr>
        <w:t>2022年本部门全年预算数48.12万元，本年实际支出</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eastAsia="zh-CN"/>
        </w:rPr>
        <w:t>，完成全年预算的</w:t>
      </w:r>
      <w:r>
        <w:rPr>
          <w:rFonts w:hint="eastAsia" w:ascii="宋体" w:hAnsi="宋体" w:eastAsia="宋体" w:cs="宋体"/>
          <w:i w:val="0"/>
          <w:iCs w:val="0"/>
          <w:caps w:val="0"/>
          <w:color w:val="000000"/>
          <w:spacing w:val="0"/>
          <w:sz w:val="32"/>
          <w:szCs w:val="32"/>
          <w:lang w:val="en-US" w:eastAsia="zh-CN"/>
        </w:rPr>
        <w:t>168.43%</w:t>
      </w:r>
      <w:r>
        <w:rPr>
          <w:rFonts w:hint="eastAsia" w:ascii="宋体" w:hAnsi="宋体" w:eastAsia="宋体" w:cs="宋体"/>
          <w:i w:val="0"/>
          <w:iCs w:val="0"/>
          <w:caps w:val="0"/>
          <w:color w:val="000000"/>
          <w:spacing w:val="0"/>
          <w:sz w:val="32"/>
          <w:szCs w:val="32"/>
        </w:rPr>
        <w:t>。与上一年度相比，</w:t>
      </w:r>
      <w:r>
        <w:rPr>
          <w:rFonts w:hint="eastAsia" w:ascii="宋体" w:hAnsi="宋体" w:eastAsia="宋体" w:cs="宋体"/>
          <w:i w:val="0"/>
          <w:iCs w:val="0"/>
          <w:caps w:val="0"/>
          <w:color w:val="000000"/>
          <w:spacing w:val="0"/>
          <w:sz w:val="32"/>
          <w:szCs w:val="32"/>
          <w:lang w:eastAsia="zh-CN"/>
        </w:rPr>
        <w:t>实际支出</w:t>
      </w:r>
      <w:r>
        <w:rPr>
          <w:rFonts w:hint="eastAsia" w:ascii="宋体" w:hAnsi="宋体" w:eastAsia="宋体" w:cs="宋体"/>
          <w:i w:val="0"/>
          <w:iCs w:val="0"/>
          <w:caps w:val="0"/>
          <w:color w:val="000000"/>
          <w:spacing w:val="0"/>
          <w:sz w:val="32"/>
          <w:szCs w:val="32"/>
          <w:lang w:val="en-US" w:eastAsia="zh-CN"/>
        </w:rPr>
        <w:t>增加15.2</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val="en-US" w:eastAsia="zh-CN"/>
        </w:rPr>
        <w:t>上升23.08</w:t>
      </w:r>
      <w:r>
        <w:rPr>
          <w:rFonts w:hint="eastAsia" w:ascii="宋体" w:hAnsi="宋体" w:eastAsia="宋体" w:cs="宋体"/>
          <w:i w:val="0"/>
          <w:iCs w:val="0"/>
          <w:caps w:val="0"/>
          <w:color w:val="000000"/>
          <w:spacing w:val="0"/>
          <w:sz w:val="32"/>
          <w:szCs w:val="32"/>
        </w:rPr>
        <w:t>%。主要原因是</w:t>
      </w:r>
      <w:r>
        <w:rPr>
          <w:rFonts w:hint="eastAsia" w:ascii="宋体" w:hAnsi="宋体" w:eastAsia="宋体" w:cs="宋体"/>
          <w:i w:val="0"/>
          <w:iCs w:val="0"/>
          <w:caps w:val="0"/>
          <w:color w:val="000000"/>
          <w:spacing w:val="0"/>
          <w:sz w:val="32"/>
          <w:szCs w:val="32"/>
          <w:lang w:val="en-US" w:eastAsia="zh-CN"/>
        </w:rPr>
        <w:t>人员经费及公用经费的增加。</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万元，其中：财政拨款收入</w:t>
      </w:r>
      <w:r>
        <w:rPr>
          <w:rFonts w:hint="eastAsia" w:ascii="宋体" w:hAnsi="宋体" w:eastAsia="宋体" w:cs="宋体"/>
          <w:i w:val="0"/>
          <w:iCs w:val="0"/>
          <w:caps w:val="0"/>
          <w:color w:val="000000"/>
          <w:spacing w:val="0"/>
          <w:sz w:val="32"/>
          <w:szCs w:val="32"/>
          <w:lang w:val="en-US" w:eastAsia="zh-CN"/>
        </w:rPr>
        <w:t>71.69</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88.45</w:t>
      </w:r>
      <w:r>
        <w:rPr>
          <w:rFonts w:hint="eastAsia" w:ascii="宋体" w:hAnsi="宋体" w:eastAsia="宋体" w:cs="宋体"/>
          <w:i w:val="0"/>
          <w:iCs w:val="0"/>
          <w:caps w:val="0"/>
          <w:color w:val="000000"/>
          <w:spacing w:val="0"/>
          <w:sz w:val="32"/>
          <w:szCs w:val="32"/>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32"/>
          <w:szCs w:val="32"/>
          <w:lang w:val="en-US" w:eastAsia="zh-CN"/>
        </w:rPr>
        <w:t>9.36</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11.55</w:t>
      </w:r>
      <w:r>
        <w:rPr>
          <w:rFonts w:hint="eastAsia" w:ascii="宋体" w:hAnsi="宋体" w:eastAsia="宋体" w:cs="宋体"/>
          <w:i w:val="0"/>
          <w:iCs w:val="0"/>
          <w:caps w:val="0"/>
          <w:color w:val="000000"/>
          <w:spacing w:val="0"/>
          <w:sz w:val="32"/>
          <w:szCs w:val="32"/>
        </w:rPr>
        <w:t>%</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万元，其中：基本支出</w:t>
      </w:r>
      <w:r>
        <w:rPr>
          <w:rFonts w:hint="eastAsia" w:ascii="宋体" w:hAnsi="宋体" w:eastAsia="宋体" w:cs="宋体"/>
          <w:i w:val="0"/>
          <w:iCs w:val="0"/>
          <w:caps w:val="0"/>
          <w:color w:val="000000"/>
          <w:spacing w:val="0"/>
          <w:sz w:val="32"/>
          <w:szCs w:val="32"/>
          <w:lang w:val="en-US" w:eastAsia="zh-CN"/>
        </w:rPr>
        <w:t>81.05</w:t>
      </w:r>
      <w:r>
        <w:rPr>
          <w:rFonts w:hint="eastAsia" w:ascii="宋体" w:hAnsi="宋体" w:eastAsia="宋体" w:cs="宋体"/>
          <w:i w:val="0"/>
          <w:iCs w:val="0"/>
          <w:caps w:val="0"/>
          <w:color w:val="000000"/>
          <w:spacing w:val="0"/>
          <w:sz w:val="32"/>
          <w:szCs w:val="32"/>
        </w:rPr>
        <w:t>万元，占100%；项目支出0万元，占0%；上缴上级支出0万元，占0%；经营支出0万元，占0%；对附属单位补助支出0万元，占0%。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2022年度北塔区妇联基本支出全年预算36.52万元，本年实际支出为81.05万元，主要为人员经费支出和公用经费支出，其中人员经费支出30.27万元、公用经费支出50.78万元。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本年项目支出年初预算安排为11.6万元，本年实际支出为0万元，本部门2022年度无项目支出。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default"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1、预算执行情况。</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⑴2022年财政拨款预算执行数81.05万元，预算安排数48.12万元，预算执行率为</w:t>
      </w:r>
      <w:r>
        <w:rPr>
          <w:rFonts w:hint="eastAsia" w:ascii="宋体" w:hAnsi="宋体" w:eastAsia="宋体" w:cs="宋体"/>
          <w:i w:val="0"/>
          <w:iCs w:val="0"/>
          <w:caps w:val="0"/>
          <w:color w:val="000000"/>
          <w:spacing w:val="0"/>
          <w:sz w:val="32"/>
          <w:szCs w:val="32"/>
          <w:lang w:val="en-US" w:eastAsia="zh-CN"/>
        </w:rPr>
        <w:t>168.43</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当年预算有超支32.93万元。⑵公用经费预算15.84万元，实际支出50.78万元，公用经费控制率为320.58%；（3）“三公经费”年初预算安排0万元，实际支出0万元，（4）政府采购年初预算4.6万元，实际政府采购金额31.65万元。政府采购执行率688.04%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w:t>
      </w:r>
      <w:r>
        <w:rPr>
          <w:rFonts w:hint="eastAsia" w:ascii="宋体" w:hAnsi="宋体" w:eastAsia="宋体" w:cs="宋体"/>
          <w:b w:val="0"/>
          <w:bCs w:val="0"/>
          <w:i w:val="0"/>
          <w:iCs w:val="0"/>
          <w:caps w:val="0"/>
          <w:color w:val="auto"/>
          <w:spacing w:val="0"/>
          <w:sz w:val="32"/>
          <w:szCs w:val="32"/>
          <w:highlight w:val="none"/>
          <w:shd w:val="clear" w:fill="FFFFFF"/>
          <w:lang w:val="en-US" w:eastAsia="zh-CN"/>
        </w:rPr>
        <w:t>妇联</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w:t>
      </w:r>
      <w:r>
        <w:rPr>
          <w:rFonts w:hint="eastAsia" w:ascii="宋体" w:hAnsi="宋体" w:eastAsia="宋体" w:cs="宋体"/>
          <w:color w:val="auto"/>
          <w:sz w:val="32"/>
          <w:szCs w:val="32"/>
          <w:lang w:val="en-US" w:eastAsia="zh-CN"/>
        </w:rPr>
        <w:t>妇联</w:t>
      </w:r>
      <w:r>
        <w:rPr>
          <w:rFonts w:hint="eastAsia" w:ascii="宋体" w:hAnsi="宋体" w:eastAsia="宋体" w:cs="宋体"/>
          <w:color w:val="auto"/>
          <w:sz w:val="32"/>
          <w:szCs w:val="32"/>
          <w:lang w:eastAsia="zh-CN"/>
        </w:rPr>
        <w:t>局</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拥有各类资产总额1.28万元，其中流动资产0.69万元，固定资产净值0.59万元。单位为加强资产管理，内部制定了资产管理制度，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联</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联</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联</w:t>
      </w:r>
      <w:r>
        <w:rPr>
          <w:rFonts w:hint="eastAsia" w:ascii="宋体" w:hAnsi="宋体" w:eastAsia="宋体" w:cs="宋体"/>
          <w:b w:val="0"/>
          <w:bCs w:val="0"/>
          <w:sz w:val="32"/>
          <w:szCs w:val="32"/>
        </w:rPr>
        <w:t>认真组织开展整体支出绩效自评，自评等级“良好”。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预算编制不够明确和细化，预算编制的合理性需要提高，预算执行力还要进一步加强。资金使用效益有待进一步提高，绩效目标设立不够明确、细化和量化。</w:t>
      </w:r>
    </w:p>
    <w:p>
      <w:pPr>
        <w:pStyle w:val="6"/>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人员素质有待提高。由于人员变动，单位对相关绩效管理业务的熟练，加上缺乏系统的培训，业务操作水平有限。</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widowControl/>
        <w:spacing w:line="600" w:lineRule="exact"/>
        <w:ind w:firstLine="645"/>
        <w:jc w:val="left"/>
        <w:rPr>
          <w:rFonts w:hint="eastAsia" w:ascii="宋体" w:hAnsi="宋体" w:eastAsia="宋体" w:cs="宋体"/>
          <w:kern w:val="0"/>
          <w:sz w:val="32"/>
          <w:szCs w:val="32"/>
          <w:lang w:val="en-US" w:eastAsia="zh-CN" w:bidi="ar"/>
        </w:rPr>
      </w:pPr>
      <w:r>
        <w:rPr>
          <w:rFonts w:hint="eastAsia" w:ascii="宋体" w:hAnsi="宋体" w:eastAsia="宋体" w:cs="宋体"/>
          <w:sz w:val="32"/>
          <w:szCs w:val="32"/>
        </w:rPr>
        <w:t>（一）</w:t>
      </w:r>
      <w:r>
        <w:rPr>
          <w:rFonts w:hint="eastAsia" w:ascii="宋体" w:hAnsi="宋体" w:eastAsia="宋体" w:cs="宋体"/>
          <w:kern w:val="0"/>
          <w:sz w:val="32"/>
          <w:szCs w:val="32"/>
          <w:lang w:val="en-US" w:eastAsia="zh-CN" w:bidi="ar"/>
        </w:rPr>
        <w:t>细化预算编制工作，认真做好预算的编制。进一步加强内设机构的预算管理意识，严格按照预算编制的相关制度和要求进行预算编制。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（二）加强政策学习，提高思想认识。组织相关人员认真学习《会计法》、《预算法》等相关法规、制度，提高业务人员的业务水平及思想认识，为绩效评价工作夯实基础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429"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left"/>
              <w:rPr>
                <w:rFonts w:ascii="仿宋_GB2312" w:hAnsi="宋体" w:eastAsia="仿宋_GB2312" w:cs="宋体"/>
                <w:kern w:val="0"/>
                <w:sz w:val="20"/>
                <w:szCs w:val="20"/>
              </w:rPr>
            </w:pP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rPr>
                <w:rFonts w:ascii="仿宋_GB2312" w:hAnsi="宋体" w:eastAsia="仿宋_GB2312" w:cs="宋体"/>
                <w:kern w:val="0"/>
                <w:sz w:val="20"/>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p>
        </w:tc>
        <w:tc>
          <w:tcPr>
            <w:tcW w:w="851"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0"/>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90</w:t>
            </w:r>
          </w:p>
        </w:tc>
      </w:tr>
    </w:tbl>
    <w:p>
      <w:pPr>
        <w:pStyle w:val="2"/>
        <w:rPr>
          <w:rFonts w:hint="eastAsia"/>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25D08EA"/>
    <w:rsid w:val="02A74CAA"/>
    <w:rsid w:val="05213482"/>
    <w:rsid w:val="09137F54"/>
    <w:rsid w:val="09CF644B"/>
    <w:rsid w:val="09E17252"/>
    <w:rsid w:val="0A122902"/>
    <w:rsid w:val="0D5E3707"/>
    <w:rsid w:val="11733383"/>
    <w:rsid w:val="118063A3"/>
    <w:rsid w:val="11E84674"/>
    <w:rsid w:val="126C42B4"/>
    <w:rsid w:val="17042185"/>
    <w:rsid w:val="17B648CC"/>
    <w:rsid w:val="1C002766"/>
    <w:rsid w:val="1D2D4D96"/>
    <w:rsid w:val="1D9A1B96"/>
    <w:rsid w:val="1F010C8F"/>
    <w:rsid w:val="202B2B4C"/>
    <w:rsid w:val="20F63895"/>
    <w:rsid w:val="22D8603F"/>
    <w:rsid w:val="23DF601F"/>
    <w:rsid w:val="255915D8"/>
    <w:rsid w:val="26166273"/>
    <w:rsid w:val="289E030A"/>
    <w:rsid w:val="2B032004"/>
    <w:rsid w:val="2C3A1B18"/>
    <w:rsid w:val="2C7529D1"/>
    <w:rsid w:val="2D6C05C8"/>
    <w:rsid w:val="2DB256DE"/>
    <w:rsid w:val="2EFF0BCA"/>
    <w:rsid w:val="332B42F5"/>
    <w:rsid w:val="35D23F10"/>
    <w:rsid w:val="35F36D6D"/>
    <w:rsid w:val="3619015E"/>
    <w:rsid w:val="36E22B02"/>
    <w:rsid w:val="375C4F25"/>
    <w:rsid w:val="37A26170"/>
    <w:rsid w:val="38F247D2"/>
    <w:rsid w:val="3A365ACD"/>
    <w:rsid w:val="3B9303B2"/>
    <w:rsid w:val="3C8416D7"/>
    <w:rsid w:val="3E42660A"/>
    <w:rsid w:val="3FAB09ED"/>
    <w:rsid w:val="437717C3"/>
    <w:rsid w:val="44AF5D78"/>
    <w:rsid w:val="45833892"/>
    <w:rsid w:val="45CB4E15"/>
    <w:rsid w:val="470B1C8F"/>
    <w:rsid w:val="47D12ED9"/>
    <w:rsid w:val="4A4754D4"/>
    <w:rsid w:val="4ACA7AAB"/>
    <w:rsid w:val="4B991F60"/>
    <w:rsid w:val="4D113C42"/>
    <w:rsid w:val="4E422B8B"/>
    <w:rsid w:val="4E58558A"/>
    <w:rsid w:val="4EB250E6"/>
    <w:rsid w:val="4F3501F1"/>
    <w:rsid w:val="518E61BA"/>
    <w:rsid w:val="52C04276"/>
    <w:rsid w:val="53202F66"/>
    <w:rsid w:val="54517DF8"/>
    <w:rsid w:val="556605D6"/>
    <w:rsid w:val="55C776C9"/>
    <w:rsid w:val="575435C3"/>
    <w:rsid w:val="57BA05EF"/>
    <w:rsid w:val="58CA4CA4"/>
    <w:rsid w:val="59A70B1E"/>
    <w:rsid w:val="59E60318"/>
    <w:rsid w:val="5A78538F"/>
    <w:rsid w:val="5C8E7193"/>
    <w:rsid w:val="5CA8446E"/>
    <w:rsid w:val="5CBC5F90"/>
    <w:rsid w:val="5E6D1153"/>
    <w:rsid w:val="5F83500A"/>
    <w:rsid w:val="60745B56"/>
    <w:rsid w:val="613310AF"/>
    <w:rsid w:val="62652744"/>
    <w:rsid w:val="641F097E"/>
    <w:rsid w:val="6470642E"/>
    <w:rsid w:val="65236940"/>
    <w:rsid w:val="65C43C25"/>
    <w:rsid w:val="664A41B0"/>
    <w:rsid w:val="66D16D4F"/>
    <w:rsid w:val="66FE6113"/>
    <w:rsid w:val="67472364"/>
    <w:rsid w:val="680332E9"/>
    <w:rsid w:val="6B874FA2"/>
    <w:rsid w:val="6C3C4515"/>
    <w:rsid w:val="6C6B54E9"/>
    <w:rsid w:val="6FD52562"/>
    <w:rsid w:val="70514092"/>
    <w:rsid w:val="70852420"/>
    <w:rsid w:val="71881FAB"/>
    <w:rsid w:val="73125FD0"/>
    <w:rsid w:val="752E254E"/>
    <w:rsid w:val="76DC35F5"/>
    <w:rsid w:val="7832658D"/>
    <w:rsid w:val="79074D5F"/>
    <w:rsid w:val="7A21330E"/>
    <w:rsid w:val="7A461E16"/>
    <w:rsid w:val="7AF745AA"/>
    <w:rsid w:val="7B7D06A6"/>
    <w:rsid w:val="7CF23984"/>
    <w:rsid w:val="7E6C224D"/>
    <w:rsid w:val="7F0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Indent"/>
    <w:basedOn w:val="1"/>
    <w:unhideWhenUsed/>
    <w:qFormat/>
    <w:uiPriority w:val="99"/>
    <w:pPr>
      <w:ind w:firstLine="420" w:firstLine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2023-12-13T08:47:16Z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CAA3045AE5A749C0AAA4998C620B6F91_13</vt:lpwstr>
  </property>
</Properties>
</file>