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300" w:line="600" w:lineRule="atLeast"/>
        <w:jc w:val="center"/>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pPr>
      <w:r>
        <w:rPr>
          <w:rFonts w:hint="eastAsia" w:ascii="宋体" w:hAnsi="宋体" w:eastAsia="宋体" w:cs="宋体"/>
          <w:color w:val="444444"/>
          <w:kern w:val="0"/>
          <w:sz w:val="28"/>
          <w:szCs w:val="28"/>
          <w:shd w:val="clear" w:color="auto" w:fill="FFFFFF"/>
        </w:rPr>
        <w:t>第五部分</w:t>
      </w:r>
    </w:p>
    <w:p>
      <w:pPr>
        <w:pStyle w:val="4"/>
        <w:widowControl/>
        <w:spacing w:after="300" w:line="600" w:lineRule="atLeast"/>
        <w:jc w:val="center"/>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pPr>
      <w:r>
        <w:rPr>
          <w:rFonts w:hint="eastAsia" w:ascii="宋体" w:hAnsi="宋体" w:eastAsia="宋体" w:cs="宋体"/>
          <w:color w:val="444444"/>
          <w:kern w:val="0"/>
          <w:sz w:val="28"/>
          <w:szCs w:val="28"/>
          <w:shd w:val="clear" w:color="auto" w:fill="FFFFFF"/>
        </w:rPr>
        <w:t>附件</w:t>
      </w:r>
    </w:p>
    <w:p>
      <w:pPr>
        <w:pStyle w:val="4"/>
        <w:widowControl/>
        <w:spacing w:after="300" w:line="600" w:lineRule="atLeast"/>
        <w:jc w:val="left"/>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rPr>
          <w:rFonts w:eastAsia="宋体"/>
          <w:b/>
          <w:sz w:val="36"/>
        </w:rPr>
      </w:pPr>
      <w:r>
        <w:rPr>
          <w:rFonts w:ascii="Times New Roman" w:hAnsi="Times New Roman" w:eastAsia="微软雅黑" w:cs="Times New Roman"/>
          <w:b/>
          <w:bCs/>
          <w:color w:val="444444"/>
          <w:sz w:val="40"/>
          <w:szCs w:val="28"/>
          <w:shd w:val="clear" w:color="auto" w:fill="FFFFFF"/>
        </w:rPr>
        <w:t>2021</w:t>
      </w:r>
      <w:r>
        <w:rPr>
          <w:rFonts w:hint="eastAsia" w:ascii="宋体" w:hAnsi="宋体" w:eastAsia="宋体" w:cs="宋体"/>
          <w:b/>
          <w:bCs/>
          <w:color w:val="444444"/>
          <w:sz w:val="40"/>
          <w:szCs w:val="28"/>
          <w:shd w:val="clear" w:color="auto" w:fill="FFFFFF"/>
        </w:rPr>
        <w:t>年度部门整体支出绩效评价报告</w:t>
      </w: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一、部门概况</w:t>
      </w:r>
    </w:p>
    <w:p>
      <w:pPr>
        <w:pStyle w:val="4"/>
        <w:widowControl/>
        <w:spacing w:after="300" w:line="600" w:lineRule="atLeast"/>
        <w:jc w:val="left"/>
        <w:rPr>
          <w:rFonts w:ascii="宋体" w:hAnsi="宋体" w:eastAsia="宋体" w:cs="宋体"/>
          <w:color w:val="444444"/>
          <w:kern w:val="0"/>
          <w:sz w:val="28"/>
          <w:szCs w:val="28"/>
          <w:shd w:val="clear" w:color="auto" w:fill="FFFFFF"/>
        </w:rPr>
      </w:pPr>
      <w:r>
        <w:rPr>
          <w:rFonts w:hint="eastAsia"/>
          <w:color w:val="1E1E1E"/>
        </w:rPr>
        <w:t>邵阳市北塔区工商业联合会（总商会）（以下简称北塔区工商联），是中共邵阳市北塔区委领导的以非公有制企业和非公有制经济人士为主体，具有统战性、经济性、民间性的人民团体和商会组织，为正科级。在区委、区政府领导下做好非公有制经济代表人士思想政治工作，充分发挥桥梁纽带作用。</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（一）基本情况。</w:t>
      </w:r>
    </w:p>
    <w:p>
      <w:pPr>
        <w:shd w:val="clear" w:color="auto" w:fill="FFFFFF"/>
        <w:spacing w:before="100" w:beforeAutospacing="1" w:after="100" w:afterAutospacing="1" w:line="480" w:lineRule="exact"/>
        <w:ind w:firstLine="560" w:firstLineChars="200"/>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1．主要职能。</w:t>
      </w:r>
    </w:p>
    <w:p>
      <w:pPr>
        <w:shd w:val="clear" w:color="auto" w:fill="FFFFFF"/>
        <w:spacing w:before="100" w:beforeAutospacing="1" w:after="100" w:afterAutospacing="1" w:line="480" w:lineRule="exact"/>
        <w:ind w:firstLine="480" w:firstLineChars="200"/>
        <w:rPr>
          <w:rFonts w:ascii="宋体" w:hAnsi="宋体" w:eastAsia="宋体" w:cs="宋体"/>
          <w:color w:val="1E1E1E"/>
          <w:kern w:val="0"/>
          <w:sz w:val="24"/>
        </w:rPr>
      </w:pPr>
      <w:r>
        <w:rPr>
          <w:rFonts w:hint="eastAsia" w:ascii="宋体" w:hAnsi="宋体" w:eastAsia="宋体" w:cs="宋体"/>
          <w:color w:val="1E1E1E"/>
          <w:sz w:val="24"/>
        </w:rPr>
        <w:t>（一）参政议政，参与政府事务和经济、社会重大决策的政治协商，发挥民主监督作用，做好非公有制经济代表人士政治安排的推荐工作，对本区有关政策的制订提出建议并协助贯彻执行。</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（二）宣传国家方针政策，加强和改进思想政治工作，对会员进行团结、引导、服务、教育，引导民营企业家自觉做爱国敬业、守法经营、创业创新、回报社会的典范。</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（三）维护会员的合法利益，反映会员的意见、要求和建议，在会员与政府之间发挥桥梁纽带作用，当好政府管理和服务非公有制经济的助手。</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四）为会员在参与社会主义市场经济建设过程中，提供市场、技术、商品等信息服务，为会员管理提供法律、会计、审计等咨询服务，帮助会员改善经营管理、提高生产技术和产品质量，改进财务、纳税等工作。</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（五）组织会员举办和参加各种展览会、交易会，组织会员出国、出省进行商务活动，帮助会员开拓国内、国际市场。</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（六）为会员提供必要的证明，协调会员与相关部门的联系，为会员和会员企业调解有关经济纠纷。</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（七）指导异地北塔商会、行业商协会、乡（街道）基层商会贯彻执行党的路线、方针、政策，加强党的建设，加强行业协作和自律。</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（八）联络异地北塔商会、行业商协会；为异地北塔商会、行业商协会的发展提供指导、引导、协调和服务；指导做好异地北塔商协会的联络工作。</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（九）增进与台湾、香港、澳门地区和世界工商社团及经济界人士的联系和联谊，促进经济技术、贸易合作的发展，协助引进资金、技术、人才。</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（十）组织非公有制经济人士积极参与党和政府中心工作，参与同心工程、社会主义新农村建设和社会公益事业，积极做好“光彩事业”及其他社会服务工作。</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（十一）协助管理非公有制经济方面的专业技术职务评聘、产品质量监督、经济仲裁及其他人事管理等有关工作。</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（十二）完成区委、区政府交办的其他任务。</w:t>
      </w:r>
    </w:p>
    <w:p>
      <w:pPr>
        <w:pStyle w:val="4"/>
        <w:widowControl/>
        <w:spacing w:after="300" w:line="600" w:lineRule="atLeast"/>
        <w:jc w:val="left"/>
      </w:pP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2.机构情况。</w:t>
      </w:r>
    </w:p>
    <w:p>
      <w:pPr>
        <w:pStyle w:val="4"/>
        <w:widowControl/>
        <w:spacing w:after="300" w:line="600" w:lineRule="atLeast"/>
        <w:jc w:val="left"/>
      </w:pPr>
      <w:r>
        <w:rPr>
          <w:rFonts w:hint="eastAsia"/>
          <w:color w:val="1E1E1E"/>
        </w:rPr>
        <w:t>北塔区工商联设办公室、会员和商会部、经济联络与法律服务部等</w:t>
      </w:r>
      <w:r>
        <w:rPr>
          <w:rFonts w:hint="eastAsia"/>
          <w:color w:val="1E1E1E"/>
          <w:lang w:val="en-US" w:eastAsia="zh-CN"/>
        </w:rPr>
        <w:t>4</w:t>
      </w:r>
      <w:bookmarkStart w:id="1" w:name="_GoBack"/>
      <w:bookmarkEnd w:id="1"/>
      <w:r>
        <w:rPr>
          <w:rFonts w:hint="eastAsia"/>
          <w:color w:val="1E1E1E"/>
        </w:rPr>
        <w:t>个股室。</w:t>
      </w: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3.人员情况。</w:t>
      </w:r>
    </w:p>
    <w:p>
      <w:pPr>
        <w:pStyle w:val="4"/>
        <w:widowControl/>
        <w:spacing w:after="300" w:line="600" w:lineRule="atLeast"/>
        <w:jc w:val="left"/>
      </w:pPr>
      <w:r>
        <w:rPr>
          <w:rFonts w:hint="eastAsia"/>
          <w:color w:val="1E1E1E"/>
        </w:rPr>
        <w:t>北塔区工商联编制人数3人，实际人数3人，离退休0人，小车编制数0台，实际无，办公室2间，房屋面积共40平方米。</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二、部门整体支出管理及使用情况</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（一）基本支出</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联基本支出65.55万元，比上年同口径增加16.38万元，增长33.31%。其中：工资福利支出49.26万元，商品和服务支出14.29万元，对个人和家庭的补助2.01万元，资本性支出0万元。</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2021年“三公”经费实际开支总额0.05万元。其中：因公出国（境）费支出本年未发生。公务用车购置及运行维护费实际开支0万元（公务用车购置费未发生，公务用车运行维护费0万元），公务用车保有量0辆；公务接待费实际开支0.05万元，公务接待2批次4人次。2021年“三公”经费实际开支总额比2020年同口径增加了0.05万原因为接待了外单位来访</w:t>
      </w:r>
    </w:p>
    <w:p>
      <w:pPr>
        <w:pStyle w:val="4"/>
        <w:widowControl/>
        <w:spacing w:after="300" w:line="600" w:lineRule="atLeast"/>
        <w:jc w:val="left"/>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（二）专项支出</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2021年我联项目支出0万元。</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三、资产管理情况</w:t>
      </w:r>
    </w:p>
    <w:p>
      <w:pPr>
        <w:pStyle w:val="4"/>
        <w:widowControl/>
        <w:spacing w:after="300" w:line="600" w:lineRule="atLeast"/>
        <w:jc w:val="left"/>
        <w:rPr>
          <w:rFonts w:eastAsia="宋体"/>
        </w:rPr>
      </w:pPr>
      <w:r>
        <w:rPr>
          <w:rFonts w:ascii="仿宋" w:hAnsi="仿宋" w:eastAsia="仿宋" w:cs="仿宋"/>
          <w:sz w:val="32"/>
          <w:szCs w:val="32"/>
        </w:rPr>
        <w:t>我</w:t>
      </w:r>
      <w:r>
        <w:rPr>
          <w:rFonts w:hint="eastAsia" w:ascii="仿宋" w:hAnsi="仿宋" w:eastAsia="仿宋" w:cs="仿宋"/>
          <w:sz w:val="32"/>
          <w:szCs w:val="32"/>
        </w:rPr>
        <w:t>联</w:t>
      </w:r>
      <w:r>
        <w:rPr>
          <w:rFonts w:ascii="仿宋" w:hAnsi="仿宋" w:eastAsia="仿宋" w:cs="仿宋"/>
          <w:sz w:val="32"/>
          <w:szCs w:val="32"/>
        </w:rPr>
        <w:t>资产管理由办公室负责，资产采购按程序实行报批采购，</w:t>
      </w:r>
      <w:r>
        <w:rPr>
          <w:rFonts w:hint="eastAsia" w:ascii="仿宋" w:hAnsi="仿宋" w:eastAsia="仿宋" w:cs="仿宋"/>
          <w:sz w:val="32"/>
          <w:szCs w:val="32"/>
        </w:rPr>
        <w:t>统一在政采云平台下单，</w:t>
      </w:r>
      <w:r>
        <w:rPr>
          <w:rFonts w:ascii="仿宋" w:hAnsi="仿宋" w:eastAsia="仿宋" w:cs="仿宋"/>
          <w:sz w:val="32"/>
          <w:szCs w:val="32"/>
        </w:rPr>
        <w:t>采购后登记</w:t>
      </w:r>
      <w:r>
        <w:rPr>
          <w:rFonts w:hint="eastAsia" w:ascii="仿宋" w:hAnsi="仿宋" w:eastAsia="仿宋" w:cs="仿宋"/>
          <w:sz w:val="32"/>
          <w:szCs w:val="32"/>
        </w:rPr>
        <w:t>入账，录入资产信息系统</w:t>
      </w:r>
      <w:r>
        <w:rPr>
          <w:rFonts w:ascii="仿宋" w:hAnsi="仿宋" w:eastAsia="仿宋" w:cs="仿宋"/>
          <w:sz w:val="32"/>
          <w:szCs w:val="32"/>
        </w:rPr>
        <w:t>，再派发到相关科室。</w:t>
      </w:r>
      <w:r>
        <w:rPr>
          <w:rFonts w:hint="eastAsia" w:ascii="仿宋" w:hAnsi="仿宋" w:eastAsia="仿宋" w:cs="仿宋"/>
          <w:sz w:val="32"/>
          <w:szCs w:val="32"/>
        </w:rPr>
        <w:t>一是我联资产管理和使用坚持统一政策、统一领导、分级管理、责任到人、物尽其用的原则。</w:t>
      </w:r>
      <w:r>
        <w:rPr>
          <w:rFonts w:ascii="仿宋" w:hAnsi="仿宋" w:eastAsia="仿宋" w:cs="仿宋"/>
          <w:sz w:val="32"/>
          <w:szCs w:val="32"/>
        </w:rPr>
        <w:t>二是运用</w:t>
      </w:r>
      <w:r>
        <w:rPr>
          <w:rFonts w:hint="eastAsia" w:ascii="仿宋" w:hAnsi="仿宋" w:eastAsia="仿宋" w:cs="仿宋"/>
          <w:sz w:val="32"/>
          <w:szCs w:val="32"/>
        </w:rPr>
        <w:t>资产</w:t>
      </w:r>
      <w:r>
        <w:rPr>
          <w:rFonts w:ascii="仿宋" w:hAnsi="仿宋" w:eastAsia="仿宋" w:cs="仿宋"/>
          <w:sz w:val="32"/>
          <w:szCs w:val="32"/>
        </w:rPr>
        <w:t>信息管理系统加强资产管理。</w:t>
      </w:r>
      <w:r>
        <w:rPr>
          <w:rFonts w:hint="eastAsia" w:ascii="仿宋" w:hAnsi="仿宋" w:eastAsia="仿宋" w:cs="仿宋"/>
          <w:sz w:val="32"/>
          <w:szCs w:val="32"/>
        </w:rPr>
        <w:t>对</w:t>
      </w:r>
      <w:r>
        <w:rPr>
          <w:rFonts w:ascii="仿宋" w:hAnsi="仿宋" w:eastAsia="仿宋" w:cs="仿宋"/>
          <w:sz w:val="32"/>
          <w:szCs w:val="32"/>
        </w:rPr>
        <w:t>固定资产分别按使用部门、存放地点和</w:t>
      </w:r>
      <w:r>
        <w:rPr>
          <w:rFonts w:hint="eastAsia" w:ascii="仿宋" w:hAnsi="仿宋" w:eastAsia="仿宋" w:cs="仿宋"/>
          <w:sz w:val="32"/>
          <w:szCs w:val="32"/>
        </w:rPr>
        <w:t>使用</w:t>
      </w:r>
      <w:r>
        <w:rPr>
          <w:rFonts w:ascii="仿宋" w:hAnsi="仿宋" w:eastAsia="仿宋" w:cs="仿宋"/>
          <w:sz w:val="32"/>
          <w:szCs w:val="32"/>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rPr>
        <w:t>常态</w:t>
      </w:r>
      <w:r>
        <w:rPr>
          <w:rFonts w:ascii="仿宋" w:hAnsi="仿宋" w:eastAsia="仿宋" w:cs="仿宋"/>
          <w:sz w:val="32"/>
          <w:szCs w:val="32"/>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rPr>
        <w:t>，每年编制一次固定资产年报</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截至2021年12月31日，邵阳市北塔区工商业联合会（总商会）资产总额为2.26万元，主要由以下部分构成：流动资产0万元,占资产总额的0%,主要为银行存款及其他应收款等;固定资产2.26万元,占资产总额的100%，主要包括办公设备等。</w:t>
      </w:r>
      <w:r>
        <w:rPr>
          <w:rFonts w:hint="eastAsia" w:ascii="微软雅黑" w:hAnsi="微软雅黑" w:eastAsia="微软雅黑" w:cs="微软雅黑"/>
          <w:color w:val="444444"/>
          <w:sz w:val="28"/>
          <w:szCs w:val="28"/>
          <w:shd w:val="clear" w:color="auto" w:fill="FFFFFF"/>
        </w:rPr>
        <w:t> </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四、部门整体支出绩效情况</w:t>
      </w:r>
    </w:p>
    <w:p>
      <w:pPr>
        <w:pStyle w:val="4"/>
        <w:widowControl/>
        <w:spacing w:after="300" w:line="600" w:lineRule="atLeast"/>
        <w:jc w:val="left"/>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2021年，我联充分履行职责职能，严格执行各项管理制度，经济、社会等效益显著、社会公众满意度上升，较好地完成了全年工作目标。</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（一）预算配置</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2021年，我联在职人员编制数为3人，年末实际在职人数为3人，财政在职人员控制率为100%。年初预算收入43.75万元，年末决算收入65.55万元；年末决算支出65.55万元，项目资金结转结余0万元。</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（二）预算执行</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（三）预算管理</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为规范机关财务管理，建立健全财务管理制度，我联制订了《邵阳市北塔区工商联内部管理制度》等一系列合法合规、较为完整的、具有很强的可操作性财务管理制度。坚持经费预算科学化、精细化，执行控制规范化、责任化，监督检查常态化、同步化。</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五、综合评价情况及评价结论</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2021年我联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联整体支出绩效自评90分，自评结果为良好。</w:t>
      </w: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六、存在的问题及原因分析</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1、绩效评价工作机制有待进一步完善，由于平时工作中未加强对绩效监控工作的重视，绩效监控工作容易滞后，未形成对绩效目标进行监控的习惯。</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2、在编制部门年度预算时，虽然根据本单位职能职责和年度工作计划编制，但在2021年部门预算执行过程中，仍然存在以下问题，年初预算编制不合理或部分经费计划比较紧张，往往需要在年度中间进行预算追加和调整。</w:t>
      </w:r>
    </w:p>
    <w:p>
      <w:pPr>
        <w:pStyle w:val="4"/>
        <w:widowControl/>
        <w:spacing w:after="300" w:line="600" w:lineRule="atLeast"/>
        <w:jc w:val="left"/>
        <w:rPr>
          <w:b/>
        </w:rPr>
      </w:pP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七、下一步改进措施</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（一）进一步加强项目资金管理</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（二）进一步提高绩效管理水平</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加强预算执行的准确性，开展好支出绩效管理工作，运用好绩效评价结果，不断提升绩效管理水平。</w:t>
      </w:r>
    </w:p>
    <w:p>
      <w:pPr>
        <w:pStyle w:val="4"/>
        <w:widowControl/>
        <w:spacing w:after="300" w:line="600" w:lineRule="atLeast"/>
        <w:jc w:val="left"/>
        <w:rPr>
          <w:b/>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一级指标</w:t>
            </w:r>
          </w:p>
        </w:tc>
        <w:tc>
          <w:tcPr>
            <w:tcW w:w="429"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二级指标</w:t>
            </w:r>
          </w:p>
        </w:tc>
        <w:tc>
          <w:tcPr>
            <w:tcW w:w="567"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分值</w:t>
            </w:r>
          </w:p>
        </w:tc>
        <w:tc>
          <w:tcPr>
            <w:tcW w:w="851"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三级   指标</w:t>
            </w:r>
          </w:p>
        </w:tc>
        <w:tc>
          <w:tcPr>
            <w:tcW w:w="567"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分值</w:t>
            </w:r>
          </w:p>
        </w:tc>
        <w:tc>
          <w:tcPr>
            <w:tcW w:w="3118"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评价标准</w:t>
            </w:r>
          </w:p>
        </w:tc>
        <w:tc>
          <w:tcPr>
            <w:tcW w:w="3472" w:type="dxa"/>
            <w:noWrap/>
            <w:vAlign w:val="center"/>
          </w:tcPr>
          <w:p>
            <w:pPr>
              <w:widowControl/>
              <w:jc w:val="center"/>
              <w:rPr>
                <w:rFonts w:ascii="宋体" w:hAnsi="宋体" w:cs="宋体"/>
                <w:b/>
                <w:bCs/>
                <w:kern w:val="0"/>
                <w:sz w:val="24"/>
                <w:szCs w:val="20"/>
              </w:rPr>
            </w:pPr>
            <w:r>
              <w:rPr>
                <w:rFonts w:hint="eastAsia" w:ascii="宋体" w:hAnsi="宋体" w:cs="宋体"/>
                <w:b/>
                <w:bCs/>
                <w:kern w:val="0"/>
                <w:sz w:val="24"/>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4"/>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投    入</w:t>
            </w:r>
          </w:p>
        </w:tc>
        <w:tc>
          <w:tcPr>
            <w:tcW w:w="429" w:type="dxa"/>
            <w:vMerge w:val="restart"/>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预算配置</w:t>
            </w:r>
          </w:p>
        </w:tc>
        <w:tc>
          <w:tcPr>
            <w:tcW w:w="567" w:type="dxa"/>
            <w:vMerge w:val="restart"/>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18</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“三公经费”</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3</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“三公经费”变动率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“三公经费”变动率=[（本年度“三公经费”总额-上年度“三公经费”总额）/上年度“三公经费”总额]×100%。</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“三公经费”   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3</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①招待费用明确招待标准和招待人数,1分;②车辆维护、燃油使用政府定点，1分。③</w:t>
            </w:r>
            <w:r>
              <w:rPr>
                <w:rFonts w:hint="eastAsia" w:ascii="仿宋_GB2312" w:hAnsi="仿宋" w:eastAsia="仿宋_GB2312" w:cs="仿宋"/>
                <w:kern w:val="0"/>
                <w:sz w:val="24"/>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公务</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招待费变动率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“公务招待费”变动率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公务用车购置</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运行费</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“公务用车购置运行费”变动率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商品 和服务支出 变动率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“商品和服务支出”变动率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重点  支出  安排率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重点支出安排率=（重点项目支出/项目总支出）×100%</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非税 收入 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①实行收支两条线，1分；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noWrap/>
            <w:vAlign w:val="center"/>
          </w:tcPr>
          <w:p>
            <w:pPr>
              <w:widowControl/>
              <w:jc w:val="center"/>
              <w:rPr>
                <w:rFonts w:ascii="仿宋_GB2312" w:hAnsi="宋体" w:eastAsia="仿宋_GB2312" w:cs="宋体"/>
                <w:kern w:val="0"/>
                <w:sz w:val="24"/>
                <w:szCs w:val="20"/>
              </w:rPr>
            </w:pPr>
          </w:p>
        </w:tc>
        <w:tc>
          <w:tcPr>
            <w:tcW w:w="567" w:type="dxa"/>
            <w:vMerge w:val="continue"/>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非税 收入 完成率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过    程</w:t>
            </w:r>
          </w:p>
          <w:p>
            <w:pPr>
              <w:widowControl/>
              <w:ind w:left="113" w:right="113"/>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widowControl/>
              <w:jc w:val="center"/>
              <w:rPr>
                <w:rFonts w:ascii="仿宋_GB2312" w:hAnsi="宋体" w:eastAsia="仿宋_GB2312" w:cs="宋体"/>
                <w:kern w:val="0"/>
                <w:sz w:val="24"/>
                <w:szCs w:val="20"/>
              </w:rPr>
            </w:pPr>
          </w:p>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8</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预算  完成率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完成率&lt;1，计2分，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完成率=1，计1分，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完成率&gt;1，不得分。</w:t>
            </w:r>
          </w:p>
          <w:p>
            <w:pPr>
              <w:widowControl/>
              <w:jc w:val="left"/>
              <w:rPr>
                <w:rFonts w:ascii="仿宋_GB2312" w:hAnsi="宋体" w:eastAsia="仿宋_GB2312" w:cs="宋体"/>
                <w:kern w:val="0"/>
                <w:sz w:val="24"/>
                <w:szCs w:val="20"/>
              </w:rPr>
            </w:pPr>
          </w:p>
        </w:tc>
        <w:tc>
          <w:tcPr>
            <w:tcW w:w="3472" w:type="dxa"/>
            <w:noWrap/>
            <w:vAlign w:val="center"/>
          </w:tcPr>
          <w:p>
            <w:pPr>
              <w:autoSpaceDN w:val="0"/>
              <w:jc w:val="left"/>
              <w:textAlignment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4"/>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资金  结余</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4"/>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“三公经费”</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控制率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以100%为标准。三公经费控制率</w:t>
            </w:r>
            <w:r>
              <w:rPr>
                <w:rFonts w:hint="eastAsia" w:ascii="仿宋_GB2312" w:hAnsi="Arial" w:eastAsia="仿宋_GB2312" w:cs="Arial"/>
                <w:kern w:val="0"/>
                <w:sz w:val="24"/>
                <w:szCs w:val="20"/>
              </w:rPr>
              <w:t>≤</w:t>
            </w:r>
            <w:r>
              <w:rPr>
                <w:rFonts w:hint="eastAsia" w:ascii="仿宋_GB2312" w:hAnsi="宋体" w:eastAsia="仿宋_GB2312" w:cs="宋体"/>
                <w:kern w:val="0"/>
                <w:sz w:val="24"/>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政府</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采购</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 w:hAnsi="仿宋" w:eastAsia="仿宋" w:cs="宋体"/>
                <w:kern w:val="0"/>
                <w:sz w:val="24"/>
                <w:szCs w:val="20"/>
              </w:rPr>
              <w:t>①编</w:t>
            </w:r>
            <w:r>
              <w:rPr>
                <w:rFonts w:hint="eastAsia" w:ascii="仿宋_GB2312" w:hAnsi="宋体" w:eastAsia="仿宋_GB2312" w:cs="宋体"/>
                <w:kern w:val="0"/>
                <w:sz w:val="24"/>
                <w:szCs w:val="20"/>
              </w:rPr>
              <w:t>制政府采购年度预算并上报的，0.5分；②追加并编制政府采购预算的，0.5分；</w:t>
            </w:r>
            <w:r>
              <w:rPr>
                <w:rFonts w:hint="eastAsia" w:ascii="仿宋" w:hAnsi="仿宋" w:eastAsia="仿宋" w:cs="宋体"/>
                <w:kern w:val="0"/>
                <w:sz w:val="24"/>
                <w:szCs w:val="20"/>
              </w:rPr>
              <w:t>③</w:t>
            </w:r>
            <w:r>
              <w:rPr>
                <w:rFonts w:hint="eastAsia" w:ascii="仿宋_GB2312" w:hAnsi="宋体" w:eastAsia="仿宋_GB2312" w:cs="宋体"/>
                <w:kern w:val="0"/>
                <w:sz w:val="24"/>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管理  制度</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6</w:t>
            </w:r>
          </w:p>
          <w:p>
            <w:pPr>
              <w:widowControl/>
              <w:rPr>
                <w:rFonts w:ascii="仿宋_GB2312" w:hAnsi="宋体" w:eastAsia="仿宋_GB2312" w:cs="宋体"/>
                <w:kern w:val="0"/>
                <w:sz w:val="24"/>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①已制定资金管理办法、内部财务管理制度、会计核算制度等管理制度，1分；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②建立健全单位内部控制制度，1分；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③会计人员、机构按规定设置，1分；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④会计基础工作健全，1分；</w:t>
            </w:r>
          </w:p>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⑤会计档案符合规定要求，1分；</w:t>
            </w:r>
          </w:p>
          <w:p>
            <w:pPr>
              <w:widowControl/>
              <w:jc w:val="left"/>
              <w:rPr>
                <w:rFonts w:ascii="仿宋_GB2312" w:hAnsi="宋体" w:eastAsia="仿宋_GB2312" w:cs="宋体"/>
                <w:kern w:val="0"/>
                <w:sz w:val="24"/>
                <w:szCs w:val="20"/>
              </w:rPr>
            </w:pPr>
            <w:r>
              <w:rPr>
                <w:rFonts w:hint="eastAsia" w:ascii="仿宋_GB2312" w:hAnsi="仿宋" w:eastAsia="仿宋_GB2312" w:cs="仿宋"/>
                <w:kern w:val="0"/>
                <w:sz w:val="24"/>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4"/>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4"/>
                <w:szCs w:val="20"/>
              </w:rPr>
            </w:pPr>
          </w:p>
        </w:tc>
        <w:tc>
          <w:tcPr>
            <w:tcW w:w="851" w:type="dxa"/>
            <w:tcBorders>
              <w:top w:val="single" w:color="auto" w:sz="4" w:space="0"/>
            </w:tcBorders>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4"/>
                <w:szCs w:val="20"/>
              </w:rPr>
            </w:pPr>
            <w:r>
              <w:rPr>
                <w:rFonts w:hint="eastAsia" w:ascii="仿宋_GB2312" w:hAnsi="宋体" w:eastAsia="仿宋_GB2312" w:cs="宋体"/>
                <w:kern w:val="0"/>
                <w:sz w:val="24"/>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4"/>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资金  使用</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合规性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14</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①支出符合国家财经法规和财务管理制度规定以及有关专项资金管理办法的规定；</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②资金（开支）拨付有完整的审批程序和手续；</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③支出符合部门预算批复的用途；</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④资金使用无截留、挤占、挪用、虚列支出、随意借用、大额现金支付等情况。</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⑤</w:t>
            </w:r>
            <w:r>
              <w:rPr>
                <w:rFonts w:hint="eastAsia" w:ascii="仿宋_GB2312" w:hAnsi="仿宋" w:eastAsia="仿宋_GB2312" w:cs="仿宋"/>
                <w:kern w:val="0"/>
                <w:sz w:val="24"/>
                <w:szCs w:val="20"/>
              </w:rPr>
              <w:t>重大财务事项经由集体研究决策；</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⑥</w:t>
            </w:r>
            <w:r>
              <w:rPr>
                <w:rFonts w:hint="eastAsia" w:ascii="仿宋_GB2312" w:hAnsi="仿宋" w:eastAsia="仿宋_GB2312" w:cs="仿宋"/>
                <w:kern w:val="0"/>
                <w:sz w:val="24"/>
                <w:szCs w:val="20"/>
              </w:rPr>
              <w:t>专项资金做到专款专用；</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⑦</w:t>
            </w:r>
            <w:r>
              <w:rPr>
                <w:rFonts w:hint="eastAsia" w:ascii="仿宋_GB2312" w:hAnsi="仿宋" w:eastAsia="仿宋_GB2312" w:cs="仿宋"/>
                <w:kern w:val="0"/>
                <w:sz w:val="24"/>
                <w:szCs w:val="20"/>
              </w:rPr>
              <w:t>原始凭证的取得真实有效；</w:t>
            </w:r>
          </w:p>
          <w:p>
            <w:pPr>
              <w:widowControl/>
              <w:jc w:val="left"/>
              <w:rPr>
                <w:rFonts w:ascii="仿宋_GB2312" w:hAnsi="仿宋" w:eastAsia="仿宋_GB2312" w:cs="仿宋"/>
                <w:kern w:val="0"/>
                <w:sz w:val="24"/>
                <w:szCs w:val="20"/>
              </w:rPr>
            </w:pPr>
            <w:r>
              <w:rPr>
                <w:rFonts w:hint="eastAsia" w:ascii="仿宋_GB2312" w:hAnsi="微软雅黑" w:eastAsia="仿宋_GB2312" w:cs="微软雅黑"/>
                <w:kern w:val="0"/>
                <w:sz w:val="24"/>
                <w:szCs w:val="20"/>
              </w:rPr>
              <w:t>⑧</w:t>
            </w:r>
            <w:r>
              <w:rPr>
                <w:rFonts w:hint="eastAsia" w:ascii="仿宋_GB2312" w:hAnsi="仿宋" w:eastAsia="仿宋_GB2312" w:cs="仿宋"/>
                <w:kern w:val="0"/>
                <w:sz w:val="24"/>
                <w:szCs w:val="20"/>
              </w:rPr>
              <w:t>无超范围、超预算开支；</w:t>
            </w:r>
          </w:p>
          <w:p>
            <w:pPr>
              <w:widowControl/>
              <w:jc w:val="left"/>
              <w:rPr>
                <w:rFonts w:ascii="仿宋_GB2312" w:hAnsi="宋体" w:eastAsia="仿宋_GB2312" w:cs="宋体"/>
                <w:kern w:val="0"/>
                <w:sz w:val="24"/>
                <w:szCs w:val="20"/>
              </w:rPr>
            </w:pPr>
            <w:r>
              <w:rPr>
                <w:rFonts w:hint="eastAsia" w:ascii="仿宋" w:hAnsi="仿宋" w:eastAsia="仿宋" w:cs="仿宋"/>
                <w:kern w:val="0"/>
                <w:sz w:val="24"/>
                <w:szCs w:val="20"/>
              </w:rPr>
              <w:t>⑨</w:t>
            </w:r>
            <w:r>
              <w:rPr>
                <w:rFonts w:hint="eastAsia" w:ascii="仿宋_GB2312" w:hAnsi="仿宋" w:eastAsia="仿宋_GB2312" w:cs="仿宋"/>
                <w:kern w:val="0"/>
                <w:sz w:val="24"/>
                <w:szCs w:val="20"/>
              </w:rPr>
              <w:t>无超标准发放津补贴、奖金，无用公款支付应由个人支付的款项。</w:t>
            </w:r>
            <w:r>
              <w:rPr>
                <w:rFonts w:hint="eastAsia" w:ascii="仿宋_GB2312" w:hAnsi="仿宋" w:eastAsia="仿宋_GB2312" w:cs="仿宋"/>
                <w:kern w:val="0"/>
                <w:sz w:val="24"/>
                <w:szCs w:val="20"/>
              </w:rPr>
              <w:br w:type="textWrapping"/>
            </w:r>
            <w:r>
              <w:rPr>
                <w:rFonts w:hint="eastAsia" w:ascii="仿宋_GB2312" w:hAnsi="仿宋" w:eastAsia="仿宋_GB2312" w:cs="仿宋"/>
                <w:kern w:val="0"/>
                <w:sz w:val="24"/>
                <w:szCs w:val="20"/>
              </w:rPr>
              <w:t>以上情况每出现一例不</w:t>
            </w:r>
            <w:r>
              <w:rPr>
                <w:rFonts w:hint="eastAsia" w:ascii="仿宋_GB2312" w:hAnsi="宋体" w:eastAsia="仿宋_GB2312" w:cs="宋体"/>
                <w:kern w:val="0"/>
                <w:sz w:val="24"/>
                <w:szCs w:val="20"/>
              </w:rPr>
              <w:t>符合要求的扣2分，扣完为止。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预决算信息公开性和完善性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4</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20</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管理  制度</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健全性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①已制定资产管理制度，1分；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资产  管理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安全性</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16</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 xml:space="preserve">①资产保存完整；②资产配置合理；③资产处置规范； </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④资产账务管理合规，帐实帐卡、账账、账表（决算报表等）相符；⑤资产有偿使用及处置收入及时足额上缴；</w:t>
            </w:r>
            <w:r>
              <w:rPr>
                <w:rFonts w:hint="eastAsia" w:ascii="仿宋_GB2312" w:hAnsi="仿宋" w:eastAsia="仿宋_GB2312" w:cs="仿宋"/>
                <w:kern w:val="0"/>
                <w:sz w:val="24"/>
                <w:szCs w:val="20"/>
              </w:rPr>
              <w:t>⑥清查盘点：每年至少清查盘点一次；⑦产权明晰，权证齐全</w:t>
            </w:r>
            <w:r>
              <w:rPr>
                <w:rFonts w:hint="eastAsia" w:ascii="仿宋_GB2312" w:hAnsi="宋体" w:eastAsia="仿宋_GB2312" w:cs="宋体"/>
                <w:kern w:val="0"/>
                <w:sz w:val="24"/>
                <w:szCs w:val="20"/>
              </w:rPr>
              <w:t>；⑧按标准购置固定资产。</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固定  资产</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利用率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4"/>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17</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目标 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8</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绩效 评价</w:t>
            </w:r>
          </w:p>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管理</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7</w:t>
            </w:r>
          </w:p>
        </w:tc>
        <w:tc>
          <w:tcPr>
            <w:tcW w:w="3118" w:type="dxa"/>
            <w:noWrap/>
            <w:vAlign w:val="center"/>
          </w:tcPr>
          <w:p>
            <w:pPr>
              <w:widowControl/>
              <w:jc w:val="left"/>
              <w:rPr>
                <w:rFonts w:ascii="仿宋_GB2312" w:hAnsi="宋体" w:eastAsia="仿宋_GB2312" w:cs="宋体"/>
                <w:kern w:val="0"/>
                <w:sz w:val="24"/>
                <w:szCs w:val="20"/>
              </w:rPr>
            </w:pPr>
            <w:r>
              <w:rPr>
                <w:rFonts w:hint="eastAsia" w:ascii="仿宋" w:hAnsi="仿宋" w:eastAsia="仿宋" w:cs="宋体"/>
                <w:kern w:val="0"/>
                <w:sz w:val="24"/>
                <w:szCs w:val="20"/>
              </w:rPr>
              <w:t>①</w:t>
            </w:r>
            <w:r>
              <w:rPr>
                <w:rFonts w:hint="eastAsia" w:ascii="仿宋_GB2312" w:hAnsi="宋体" w:eastAsia="仿宋_GB2312" w:cs="宋体"/>
                <w:kern w:val="0"/>
                <w:sz w:val="24"/>
                <w:szCs w:val="20"/>
              </w:rPr>
              <w:t>开展2019年度专项资金绩效自评的，2分，每少一个专项资金的自评扣1分，扣完为止；</w:t>
            </w:r>
            <w:r>
              <w:rPr>
                <w:rFonts w:hint="eastAsia" w:ascii="仿宋" w:hAnsi="仿宋" w:eastAsia="仿宋" w:cs="宋体"/>
                <w:kern w:val="0"/>
                <w:sz w:val="24"/>
                <w:szCs w:val="20"/>
              </w:rPr>
              <w:t>②</w:t>
            </w:r>
            <w:r>
              <w:rPr>
                <w:rFonts w:hint="eastAsia" w:ascii="仿宋_GB2312" w:hAnsi="宋体" w:eastAsia="仿宋_GB2312" w:cs="宋体"/>
                <w:kern w:val="0"/>
                <w:sz w:val="24"/>
                <w:szCs w:val="20"/>
              </w:rPr>
              <w:t>开展2019年度已完工项目绩效自评的，2分，每少一个项目扣1分，扣完为止；</w:t>
            </w:r>
            <w:r>
              <w:rPr>
                <w:rFonts w:hint="eastAsia" w:ascii="仿宋" w:hAnsi="仿宋" w:eastAsia="仿宋" w:cs="宋体"/>
                <w:kern w:val="0"/>
                <w:sz w:val="24"/>
                <w:szCs w:val="20"/>
              </w:rPr>
              <w:t>③</w:t>
            </w:r>
            <w:r>
              <w:rPr>
                <w:rFonts w:hint="eastAsia" w:ascii="仿宋_GB2312" w:hAnsi="宋体" w:eastAsia="仿宋_GB2312" w:cs="宋体"/>
                <w:kern w:val="0"/>
                <w:sz w:val="24"/>
                <w:szCs w:val="20"/>
              </w:rPr>
              <w:t>开展2019年度部门整体支出绩效自评的，1分；</w:t>
            </w:r>
            <w:r>
              <w:rPr>
                <w:rFonts w:hint="eastAsia" w:ascii="仿宋" w:hAnsi="仿宋" w:eastAsia="仿宋" w:cs="宋体"/>
                <w:kern w:val="0"/>
                <w:sz w:val="24"/>
                <w:szCs w:val="20"/>
              </w:rPr>
              <w:t>④</w:t>
            </w:r>
            <w:r>
              <w:rPr>
                <w:rFonts w:hint="eastAsia" w:ascii="仿宋_GB2312" w:hAnsi="宋体" w:eastAsia="仿宋_GB2312" w:cs="宋体"/>
                <w:kern w:val="0"/>
                <w:sz w:val="24"/>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4"/>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评价 结果 运用</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 w:hAnsi="仿宋" w:eastAsia="仿宋" w:cs="宋体"/>
                <w:sz w:val="24"/>
                <w:szCs w:val="20"/>
              </w:rPr>
            </w:pPr>
            <w:r>
              <w:rPr>
                <w:rFonts w:hint="eastAsia" w:ascii="仿宋_GB2312" w:hAnsi="宋体" w:eastAsia="仿宋_GB2312" w:cs="宋体"/>
                <w:kern w:val="0"/>
                <w:sz w:val="24"/>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5</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重点　工作　完成率</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4"/>
                <w:szCs w:val="20"/>
              </w:rPr>
            </w:pPr>
            <w:r>
              <w:rPr>
                <w:rFonts w:hint="eastAsia" w:ascii="仿宋_GB2312" w:hAnsi="宋体" w:eastAsia="仿宋_GB2312" w:cs="宋体"/>
                <w:kern w:val="0"/>
                <w:sz w:val="24"/>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4"/>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工作</w:t>
            </w:r>
          </w:p>
          <w:p>
            <w:pPr>
              <w:rPr>
                <w:rFonts w:ascii="仿宋_GB2312" w:hAnsi="宋体" w:eastAsia="仿宋_GB2312" w:cs="宋体"/>
                <w:kern w:val="0"/>
                <w:sz w:val="24"/>
                <w:szCs w:val="20"/>
              </w:rPr>
            </w:pPr>
            <w:r>
              <w:rPr>
                <w:rFonts w:hint="eastAsia" w:ascii="仿宋_GB2312" w:hAnsi="宋体" w:eastAsia="仿宋_GB2312" w:cs="宋体"/>
                <w:kern w:val="0"/>
                <w:sz w:val="24"/>
                <w:szCs w:val="20"/>
              </w:rPr>
              <w:t>质量</w:t>
            </w:r>
          </w:p>
        </w:tc>
        <w:tc>
          <w:tcPr>
            <w:tcW w:w="567" w:type="dxa"/>
            <w:noWrap/>
            <w:vAlign w:val="center"/>
          </w:tcPr>
          <w:p>
            <w:pPr>
              <w:rPr>
                <w:rFonts w:ascii="仿宋_GB2312" w:hAnsi="宋体" w:eastAsia="仿宋_GB2312" w:cs="宋体"/>
                <w:kern w:val="0"/>
                <w:sz w:val="24"/>
                <w:szCs w:val="20"/>
              </w:rPr>
            </w:pPr>
            <w:r>
              <w:rPr>
                <w:rFonts w:hint="eastAsia" w:ascii="仿宋_GB2312" w:hAnsi="宋体" w:eastAsia="仿宋_GB2312" w:cs="宋体"/>
                <w:kern w:val="0"/>
                <w:sz w:val="24"/>
                <w:szCs w:val="20"/>
              </w:rPr>
              <w:t>3</w:t>
            </w:r>
          </w:p>
        </w:tc>
        <w:tc>
          <w:tcPr>
            <w:tcW w:w="3118" w:type="dxa"/>
            <w:noWrap/>
            <w:vAlign w:val="center"/>
          </w:tcPr>
          <w:p>
            <w:pPr>
              <w:jc w:val="left"/>
              <w:rPr>
                <w:rFonts w:ascii="仿宋_GB2312" w:hAnsi="宋体" w:eastAsia="仿宋_GB2312" w:cs="宋体"/>
                <w:kern w:val="0"/>
                <w:sz w:val="24"/>
                <w:szCs w:val="20"/>
              </w:rPr>
            </w:pPr>
            <w:r>
              <w:rPr>
                <w:rFonts w:hint="eastAsia" w:ascii="仿宋_GB2312" w:hAnsi="宋体" w:eastAsia="仿宋_GB2312" w:cs="宋体"/>
                <w:kern w:val="0"/>
                <w:sz w:val="24"/>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4"/>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r>
              <w:rPr>
                <w:rFonts w:hint="eastAsia" w:ascii="仿宋_GB2312" w:hAnsi="宋体" w:eastAsia="仿宋_GB2312" w:cs="宋体"/>
                <w:kern w:val="0"/>
                <w:sz w:val="24"/>
                <w:szCs w:val="20"/>
              </w:rPr>
              <w:t>4</w:t>
            </w: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经济  效益</w:t>
            </w:r>
          </w:p>
        </w:tc>
        <w:tc>
          <w:tcPr>
            <w:tcW w:w="567" w:type="dxa"/>
            <w:vMerge w:val="restart"/>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6590" w:type="dxa"/>
            <w:gridSpan w:val="2"/>
            <w:vMerge w:val="restart"/>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社会  效益</w:t>
            </w:r>
          </w:p>
        </w:tc>
        <w:tc>
          <w:tcPr>
            <w:tcW w:w="567" w:type="dxa"/>
            <w:vMerge w:val="continue"/>
            <w:noWrap/>
            <w:vAlign w:val="center"/>
          </w:tcPr>
          <w:p>
            <w:pPr>
              <w:widowControl/>
              <w:rPr>
                <w:rFonts w:ascii="仿宋_GB2312" w:hAnsi="宋体" w:eastAsia="仿宋_GB2312" w:cs="宋体"/>
                <w:kern w:val="0"/>
                <w:sz w:val="24"/>
                <w:szCs w:val="20"/>
              </w:rPr>
            </w:pPr>
          </w:p>
        </w:tc>
        <w:tc>
          <w:tcPr>
            <w:tcW w:w="6590" w:type="dxa"/>
            <w:gridSpan w:val="2"/>
            <w:vMerge w:val="continue"/>
            <w:noWrap/>
            <w:vAlign w:val="center"/>
          </w:tcPr>
          <w:p>
            <w:pPr>
              <w:widowControl/>
              <w:jc w:val="left"/>
              <w:rPr>
                <w:rFonts w:ascii="仿宋_GB2312" w:hAnsi="宋体" w:eastAsia="仿宋_GB2312" w:cs="宋体"/>
                <w:kern w:val="0"/>
                <w:sz w:val="24"/>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生态  效益</w:t>
            </w:r>
          </w:p>
        </w:tc>
        <w:tc>
          <w:tcPr>
            <w:tcW w:w="567" w:type="dxa"/>
            <w:vMerge w:val="continue"/>
            <w:noWrap/>
            <w:vAlign w:val="center"/>
          </w:tcPr>
          <w:p>
            <w:pPr>
              <w:widowControl/>
              <w:rPr>
                <w:rFonts w:ascii="仿宋_GB2312" w:hAnsi="宋体" w:eastAsia="仿宋_GB2312" w:cs="宋体"/>
                <w:kern w:val="0"/>
                <w:sz w:val="24"/>
                <w:szCs w:val="20"/>
              </w:rPr>
            </w:pPr>
          </w:p>
        </w:tc>
        <w:tc>
          <w:tcPr>
            <w:tcW w:w="6590" w:type="dxa"/>
            <w:gridSpan w:val="2"/>
            <w:vMerge w:val="continue"/>
            <w:noWrap/>
            <w:vAlign w:val="center"/>
          </w:tcPr>
          <w:p>
            <w:pPr>
              <w:widowControl/>
              <w:jc w:val="left"/>
              <w:rPr>
                <w:rFonts w:ascii="仿宋_GB2312" w:hAnsi="宋体" w:eastAsia="仿宋_GB2312" w:cs="宋体"/>
                <w:kern w:val="0"/>
                <w:sz w:val="24"/>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4"/>
                <w:szCs w:val="20"/>
              </w:rPr>
            </w:pPr>
          </w:p>
        </w:tc>
        <w:tc>
          <w:tcPr>
            <w:tcW w:w="851"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社会公众或服务对象满意度</w:t>
            </w:r>
          </w:p>
        </w:tc>
        <w:tc>
          <w:tcPr>
            <w:tcW w:w="567" w:type="dxa"/>
            <w:noWrap/>
            <w:vAlign w:val="center"/>
          </w:tcPr>
          <w:p>
            <w:pPr>
              <w:widowControl/>
              <w:rPr>
                <w:rFonts w:ascii="仿宋_GB2312" w:hAnsi="宋体" w:eastAsia="仿宋_GB2312" w:cs="宋体"/>
                <w:kern w:val="0"/>
                <w:sz w:val="24"/>
                <w:szCs w:val="20"/>
              </w:rPr>
            </w:pPr>
            <w:r>
              <w:rPr>
                <w:rFonts w:hint="eastAsia" w:ascii="仿宋_GB2312" w:hAnsi="宋体" w:eastAsia="仿宋_GB2312" w:cs="宋体"/>
                <w:kern w:val="0"/>
                <w:sz w:val="24"/>
                <w:szCs w:val="20"/>
              </w:rPr>
              <w:t>2</w:t>
            </w:r>
          </w:p>
        </w:tc>
        <w:tc>
          <w:tcPr>
            <w:tcW w:w="3118"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90%（含）以上计2分；</w:t>
            </w:r>
            <w:r>
              <w:rPr>
                <w:rFonts w:hint="eastAsia" w:ascii="仿宋_GB2312" w:hAnsi="宋体" w:eastAsia="仿宋_GB2312" w:cs="宋体"/>
                <w:kern w:val="0"/>
                <w:sz w:val="24"/>
                <w:szCs w:val="20"/>
              </w:rPr>
              <w:br w:type="textWrapping"/>
            </w:r>
            <w:r>
              <w:rPr>
                <w:rFonts w:hint="eastAsia" w:ascii="仿宋_GB2312" w:hAnsi="宋体" w:eastAsia="仿宋_GB2312" w:cs="宋体"/>
                <w:kern w:val="0"/>
                <w:sz w:val="24"/>
                <w:szCs w:val="20"/>
              </w:rPr>
              <w:t>80%（含）-90%，计1分；70%（含）-80%，计0.5分；低于70%,计0分。</w:t>
            </w:r>
          </w:p>
        </w:tc>
        <w:tc>
          <w:tcPr>
            <w:tcW w:w="3472" w:type="dxa"/>
            <w:noWrap/>
            <w:vAlign w:val="center"/>
          </w:tcPr>
          <w:p>
            <w:pPr>
              <w:widowControl/>
              <w:jc w:val="left"/>
              <w:rPr>
                <w:rFonts w:ascii="仿宋_GB2312" w:hAnsi="宋体" w:eastAsia="仿宋_GB2312" w:cs="宋体"/>
                <w:kern w:val="0"/>
                <w:sz w:val="24"/>
                <w:szCs w:val="20"/>
              </w:rPr>
            </w:pPr>
            <w:r>
              <w:rPr>
                <w:rFonts w:hint="eastAsia" w:ascii="仿宋_GB2312" w:hAnsi="宋体" w:eastAsia="仿宋_GB2312" w:cs="宋体"/>
                <w:kern w:val="0"/>
                <w:sz w:val="24"/>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4"/>
                <w:szCs w:val="22"/>
              </w:rPr>
            </w:pPr>
            <w:r>
              <w:rPr>
                <w:rFonts w:hint="eastAsia" w:ascii="仿宋_GB2312" w:hAnsi="宋体" w:eastAsia="仿宋_GB2312" w:cs="宋体"/>
                <w:kern w:val="0"/>
                <w:sz w:val="24"/>
                <w:szCs w:val="22"/>
              </w:rPr>
              <w:t>合计</w:t>
            </w:r>
          </w:p>
        </w:tc>
        <w:tc>
          <w:tcPr>
            <w:tcW w:w="8575" w:type="dxa"/>
            <w:gridSpan w:val="5"/>
            <w:noWrap/>
            <w:vAlign w:val="center"/>
          </w:tcPr>
          <w:p>
            <w:pPr>
              <w:widowControl/>
              <w:jc w:val="left"/>
              <w:rPr>
                <w:rFonts w:ascii="仿宋_GB2312" w:hAnsi="宋体" w:eastAsia="仿宋_GB2312" w:cs="宋体"/>
                <w:kern w:val="0"/>
                <w:sz w:val="24"/>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90</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Q1YjE0NDFmZWExNDBkMGM1MjMwNDg4YTk0YzcyYjgifQ=="/>
  </w:docVars>
  <w:rsids>
    <w:rsidRoot w:val="00BE670C"/>
    <w:rsid w:val="0002696A"/>
    <w:rsid w:val="00044AB6"/>
    <w:rsid w:val="0017658D"/>
    <w:rsid w:val="001B1232"/>
    <w:rsid w:val="001B2B8B"/>
    <w:rsid w:val="00205497"/>
    <w:rsid w:val="00501C61"/>
    <w:rsid w:val="006559A8"/>
    <w:rsid w:val="006736F1"/>
    <w:rsid w:val="007110A3"/>
    <w:rsid w:val="007E4220"/>
    <w:rsid w:val="00834A74"/>
    <w:rsid w:val="00856131"/>
    <w:rsid w:val="00891D19"/>
    <w:rsid w:val="00A16CAE"/>
    <w:rsid w:val="00AF70FC"/>
    <w:rsid w:val="00BA4C59"/>
    <w:rsid w:val="00BE670C"/>
    <w:rsid w:val="00C02E33"/>
    <w:rsid w:val="00C667DF"/>
    <w:rsid w:val="00DE3DC8"/>
    <w:rsid w:val="00FA5BEE"/>
    <w:rsid w:val="085962CE"/>
    <w:rsid w:val="1EAC476E"/>
    <w:rsid w:val="45AD0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0"/>
    <w:rPr>
      <w:sz w:val="24"/>
    </w:rPr>
  </w:style>
  <w:style w:type="character" w:styleId="7">
    <w:name w:val="page number"/>
    <w:basedOn w:val="6"/>
    <w:qFormat/>
    <w:uiPriority w:val="0"/>
  </w:style>
  <w:style w:type="character" w:styleId="8">
    <w:name w:val="FollowedHyperlink"/>
    <w:basedOn w:val="6"/>
    <w:uiPriority w:val="0"/>
    <w:rPr>
      <w:color w:val="444444"/>
      <w:u w:val="none"/>
    </w:rPr>
  </w:style>
  <w:style w:type="character" w:styleId="9">
    <w:name w:val="Hyperlink"/>
    <w:basedOn w:val="6"/>
    <w:uiPriority w:val="0"/>
    <w:rPr>
      <w:color w:val="444444"/>
      <w:u w:val="none"/>
    </w:rPr>
  </w:style>
  <w:style w:type="character" w:customStyle="1" w:styleId="10">
    <w:name w:val="gai"/>
    <w:basedOn w:val="6"/>
    <w:uiPriority w:val="0"/>
  </w:style>
  <w:style w:type="character" w:customStyle="1" w:styleId="11">
    <w:name w:val="gai1"/>
    <w:basedOn w:val="6"/>
    <w:uiPriority w:val="0"/>
  </w:style>
  <w:style w:type="character" w:customStyle="1" w:styleId="12">
    <w:name w:val="gai2"/>
    <w:basedOn w:val="6"/>
    <w:qFormat/>
    <w:uiPriority w:val="0"/>
  </w:style>
  <w:style w:type="character" w:customStyle="1" w:styleId="13">
    <w:name w:val="gai3"/>
    <w:basedOn w:val="6"/>
    <w:uiPriority w:val="0"/>
  </w:style>
  <w:style w:type="character" w:customStyle="1" w:styleId="14">
    <w:name w:val="gai4"/>
    <w:basedOn w:val="6"/>
    <w:uiPriority w:val="0"/>
  </w:style>
  <w:style w:type="character" w:customStyle="1" w:styleId="15">
    <w:name w:val="you"/>
    <w:basedOn w:val="6"/>
    <w:uiPriority w:val="0"/>
  </w:style>
  <w:style w:type="character" w:customStyle="1" w:styleId="16">
    <w:name w:val="info-valid"/>
    <w:basedOn w:val="6"/>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color="auto"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color="auto"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color="auto"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6111</Words>
  <Characters>6378</Characters>
  <Lines>48</Lines>
  <Paragraphs>13</Paragraphs>
  <TotalTime>46</TotalTime>
  <ScaleCrop>false</ScaleCrop>
  <LinksUpToDate>false</LinksUpToDate>
  <CharactersWithSpaces>6533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2022-10-12T03:10:00Z</dcterms:created>
  <dc:creator>Administrator</dc:creator>
  <cp:lastModifiedBy>Administrator</cp:lastModifiedBy>
  <dcterms:modified xsi:type="dcterms:W3CDTF">2023-04-18T08:08:46Z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2F54F18A2CE84DADA1B21E746E2F1685</vt:lpwstr>
  </property>
</Properties>
</file>