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北塔区工商联2020年度部门整体支出绩效评价报告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邵阳市北塔区财政局关于开展2020年度项目和整体支出绩效自评的通知》（邵北财绩〔2021〕3号）文件精神，我联对2020年度部门整体支出绩效进行了全面综合评价。整体支出分基本支出和项目支出两部分，基本支出的评价重点是厉行节约保运转，降低行政运行成本；项目支出的评价重点是规范管理促发展，专款专用，提高资金使用效益。现将绩效评价情况及评价结果报告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一、部门概况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邵阳市北塔区工商业联合会（邵阳市北塔区总商会）（以下简称北塔区工商联），是中共邵阳市北塔区委领导的以非公有制企业和非公有制经济人士为主体，具有统战性、经济性、民间性的人民团体和商会组织，为正科级。在区委、区政府领导下做好非公有制经济代表人士思想政治工作，充分发挥桥梁纽带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1、主要职能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（一）参政议政，参与政府事务和经济、社会重大决策的政治协商，发挥民主监督作用，做好非公有制经济代表人士政治安排的推荐工作，对本区有关政策的制订提出建议并协助贯彻执行。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（二）宣传国家方针政策，加强和改进思想政治工作，对会员进行团结、引导、服务、教育，引导民营企业家自觉做爱国敬业、守法经营、创业创新、回报社会的典范。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（三）维护会员的合法利益，反映会员的意见、要求和建议，在会员与政府之间发挥桥梁纽带作用，当好政府管理和服务非公有制经济的助手。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为会员在参与社会主义市场经济建设过程中，提供市场、技术、商品等信息服务，为会员管理提供法律、会计、审计等咨询服务，帮助会员改善经营管理、提高生产技术和产品质量，改进财务、纳税等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（五）组织会员举办和参加各种展览会、交易会，组织会员出国、出省进行商务活动，帮助会员开拓国内、国际市场。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（六）为会员提供必要的证明，协调会员与相关部门的联系，为会员和会员企业调解有关经济纠纷。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（七）指导异地北塔商会、行业商协会、乡（街道）基层商会贯彻执行党的路线、方针、政策，加强党的建设，加强行业协作和自律。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（八）联络异地北塔商会、行业商协会；为异地北塔商会、行业商协会的发展提供指导、引导、协调和服务；指导做好异地北塔商协会的联络工作。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（九）增进与台湾、香港、澳门地区和世界工商社团及经济界人士的联系和联谊，促进经济技术、贸易合作的发展，协助引进资金、技术、人才。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（十）组织非公有制经济人士积极参与党和政府中心工作，参与同心工程、社会主义新农村建设和社会公益事业，积极做好“光彩事业”及其他社会服务工作。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（十一）协助管理非公有制经济方面的专业技术职务评聘、产品质量监督、经济仲裁及其他人事管理等有关工作。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（十二）完成区委、区政府交办的其他任务。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2、机构情况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北塔区工商联设办公室、会员和商会部、经济联络与法律服务部等1个股室。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3、人员情况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北塔区工商联编制人数3人，实际人数4人，离退休0人，小车编制数0台，实际无，办公室2间，房屋面积共40平方米。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（二）2020年重点工作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2020年，我联扎实推进了以下重点工作，一是思想政治引领掀起新高潮。我联始终将强化非公经济人士的思想政治引领作为重点工作持续推进，深入开展非公经济人士理想信念教育，通过召开企业家座谈会、举办培训班等方式，引导非公经济人士深入学习习近平总书记系列重要讲话精神，帮助非公经济人士准确把握中央和省委、市委有关重大决策部署，提振发展信心。按照总书记要求，加大民营经济人士的教育培训力度，共举办5期非公经济人士教育座谈，组织辖区30余家非公企业家签订《廉洁从业承诺书》，引导非公经济人士做爱国敬业、清廉自律、守法经营、回报社会的典范。通过开展教育培训，广大非公企业家积极做富而有德、富而有爱、富而有责的良好典范，积极参与打赢疫情防控阻击战、参与脱贫攻坚等，在区委统战部和我联的带领下，疫情期间北塔区非公企业捐资捐物超过500万元，为抗击疫情作出积极贡献。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月10日，我联召开第四届三次执委会议，顺利完成了新主席的选举工作，进一步整合工商联队伍力量，加强机关干部队伍建设，对民营经济人士的思想政治引导更为坚强有力。会上，区委统战部、区工商联主要领导还带领与会民营企业代表人士一起学习了习近平新时代中国特色社会主义思想以及习近平总书记关于民营经济、民营企业的重要论述，号召大家不忘初心，在新时代勇担使命、建功立业，极大的提振了企业的发展信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经济服务工作取得新成效。在疫情防控特殊时期，为推动企业做好疫情防控和复工复产，我联依托“万企大走访、同心促发展”活动平台，积极对接上级关于推动企业复工复产的各项政策举措，建立分片联系乡街道的工作机制，全力帮助企业纾困解难。由分管领导带队，对口联系辖区内5个乡街道，组建专门工作班子深入企业一线，深入宣传中央、省委、市委和区委推动企业复工复产的系列政策措施，全面准确了解企业在群防群控、复工复产中面临的困难，建立民营企业复工复产诉求“直通车”，积极帮助民营企业有序复工复产。通过走访收集汇总企业复工复产困难意见13条，联合发改、卫健、市场监管等相关职能部门，对企业疫情防控和复工复产现场指导30余次。发动广大统战成员捐赠口罩2000个，解决了复工复产企业防疫物资短缺的“燃眉之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月6日，我联借鉴市民营企业沙龙会制度，召开全区民营企业统战工作座谈会，由区委常委、统战部长向兵主持，区委副书记邓政出席，邀请7名民营企业代表与区直职能部门一把手面对面开展座谈。企业代表结合与会学习的十九届五中全会精神和习近平在湖南考察时的重要讲话精神，结合企业发展面临的问题，畅所欲言，与会区直职能部门就相关问题进行“把脉”、“会诊”，答疑释惑。会议商讨解决了与会企业14个急切问题，实实在在为企业解决了存在的困难，起到了良好的效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畅通平台机制进入新常态。今年以来，我联继续探索服务思路，广泛搭建联系服务载体，畅通政企沟通协商制度，通过搭建“三大平台”持续做好会员服务，鼓励其在“三大攻坚战”和“六稳”“六保”中发挥积极作用，进一步引导民营经济在高质量发展上的闯出新路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（三）整体支出情况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1、整体收支决算情况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2020年决算收入47.161627万元，其中年初结转和结余1.810418万元，财政拨款47.161627万元，其他收入0万元；决算支出41.885673万元，年末结转和结余累计490.2元。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2、支出决算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2020年度决算支出49.123025万元，其中基本支出49.123025万元，占总支出的100%；项目支出0万元，占总支出的0%。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二、整体支出管理及使用情况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基本支出54.123025万元，其中包含年初预算安排的项目支出5万元，主要用于保障人员的工资和福利支出、正常办公所需的商品和服务支出及对个人和家庭的补助支出。按支出经济分类：其中工资福利支出28.196974万元，占基本支出的52.10%；商品服务支出15.381451万元，占基本支出的28.42%；对个人家庭补助支出5.5446万元，占基本支出的10.24%；资本性支出0万元，占基本支出的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（二）项目支出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2020年，我联项目支出0万元，按支出经济分类：其中商品和服务支出0万元，占项目支出的0%；对个人家庭补助支出0万元，占项目支出的0%；资本性支出0万元，占项目支出的0%。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（三）项目资金结转和结余情况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2020年项目资金结转和结余0万元。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务接待费严格按照《邵阳市党政机关国内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w:t>
      </w:r>
      <w:r>
        <w:rPr>
          <w:rFonts w:hint="eastAsia" w:ascii="宋体" w:hAnsi="宋体" w:cs="宋体"/>
          <w:sz w:val="24"/>
          <w:szCs w:val="24"/>
          <w:lang w:val="en-US" w:eastAsia="zh-CN"/>
        </w:rPr>
        <w:t>联</w:t>
      </w:r>
      <w:r>
        <w:rPr>
          <w:rFonts w:hint="eastAsia" w:ascii="宋体" w:hAnsi="宋体" w:eastAsia="宋体" w:cs="宋体"/>
          <w:sz w:val="24"/>
          <w:szCs w:val="24"/>
        </w:rPr>
        <w:t>“三公”经费决算支出数0万元。其中：因公出国(境)费0万元、公务接待费0万元、公务用车费0万元。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2020年我联决算支出日常公用经费35.061451万元。主要包括：办公费、差旅费、招待费、水电费、维修费、租赁费、会议费、培训费等支出。具体明细如下（单位：万元）：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bookmarkStart w:id="0" w:name="_GoBack"/>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办公费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3.7572</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印刷费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4.2974</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水费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邮电费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物业管理费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差旅费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0.092</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维修（护）费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0.23</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租赁费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19.68</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会议费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0.2</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培训费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公务接待费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专用燃料费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劳务费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1.1984</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委托业务费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工会经费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2.18</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福利费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其他交通费用</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2.628</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税金及附加费用</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其他商品和服务支出</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0.798451</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资本性支出</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合计</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35.061451</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100.00%</w:t>
            </w:r>
          </w:p>
        </w:tc>
      </w:tr>
      <w:bookmarkEnd w:id="0"/>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（六）部门整体支出的管理情况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会计法》、《预算法》、《政府会计准则》等法律和财政部、省财政厅有关财务规章制度，我单位制订了《北塔区档案馆财务内控制度》，严格执行经费审批制度、财务会审制度和报销程序，加强了经费支出的监督管理，实现了资金申请、审批、拨付、监督等全流程制度化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（七）资产管理情况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联建立健全了完整有效的资产管理制度，资产管理实行账物分离，确定专人负责。财务部门负责管账，相关股室负责管物。固定资产的购置须书面报告局领导，经街道领导审批后，办理政府采购手续，办公室凭政府采购批复实行询价或定点采购，股室领用时需在固定资产管理卡片上签字建档。资产管理负责人建立实物资产的购、存、领台账。2020年我联资产管理和使用状况良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三、整体支出绩效情况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（一）预算配置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2020年，我联在职人员编制数为3人，年末实际在职人数为3人，财政在职人员控制率为100%。年初预算收入39.3531万元，年末决算收入47.361627万元；年末决算支出49.123025万元，项目资金结转结余0万元。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（二）预算执行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（三）预算管理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规范机关财务管理，建立健全财务管理制度，我局制订了《邵阳市北塔区信访局内部管理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（四）提升支出绩效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2020年，我联全面落实省委、省政府和市委、市政府及区委、区政府的工商联工作部署，坚持以勤俭节约为目标，积极开展各项工作，确保各项工作任务全面完成，财务管理规范，单位行政运行稳定有序。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（五）评价结论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结合我联财政资金的使用情况，认真组织开展整体支出绩效自评，自评等级“优”。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四、存在的问题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1、绩效评价工作机制有待进一步完善，由于平时工作中未加强对绩效监控工作的重视，绩效监控工作容易滞后，未形成对绩效目标进行监控的习惯。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编制部门年度预算时，虽然根据本单位职能职责和年度工作计划编制，但在2020年部门预算执行过程中，仍然存在以下问题，年初预算编制不合理或部分经费计划比较紧张，往往需要在年度中间进行预算追加和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五、措施和建议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（一）进一步加强项目资金管理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（二）进一步提高绩效管理水平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加强预算执行的准确性，开展好支出绩效管理工作，运用好绩效评价结果，不断提升绩效管理水平。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邵阳市北塔区工商业联合会（总商会）</w:t>
      </w: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2021年8月26日</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565FCC"/>
    <w:rsid w:val="0A486323"/>
    <w:rsid w:val="0AEE2A27"/>
    <w:rsid w:val="0B4F437E"/>
    <w:rsid w:val="0D0E4BDC"/>
    <w:rsid w:val="0D3258F0"/>
    <w:rsid w:val="0E89464F"/>
    <w:rsid w:val="14B40EC4"/>
    <w:rsid w:val="164D48C4"/>
    <w:rsid w:val="18357EE7"/>
    <w:rsid w:val="19851127"/>
    <w:rsid w:val="1DC434C1"/>
    <w:rsid w:val="1F941784"/>
    <w:rsid w:val="20063B55"/>
    <w:rsid w:val="26D43BC2"/>
    <w:rsid w:val="2AD9589C"/>
    <w:rsid w:val="2B93704B"/>
    <w:rsid w:val="366431B9"/>
    <w:rsid w:val="3AA618CB"/>
    <w:rsid w:val="3FD31C10"/>
    <w:rsid w:val="40864ED4"/>
    <w:rsid w:val="46A04578"/>
    <w:rsid w:val="47E502E4"/>
    <w:rsid w:val="484511D1"/>
    <w:rsid w:val="49357497"/>
    <w:rsid w:val="4AB44016"/>
    <w:rsid w:val="517819AC"/>
    <w:rsid w:val="52C75604"/>
    <w:rsid w:val="5338205E"/>
    <w:rsid w:val="58D02D39"/>
    <w:rsid w:val="58E65A10"/>
    <w:rsid w:val="5BB224E2"/>
    <w:rsid w:val="5C1D7774"/>
    <w:rsid w:val="5CB84210"/>
    <w:rsid w:val="5DC2623E"/>
    <w:rsid w:val="5EDB5F93"/>
    <w:rsid w:val="604C539B"/>
    <w:rsid w:val="667448DE"/>
    <w:rsid w:val="6A210D6A"/>
    <w:rsid w:val="6D745F31"/>
    <w:rsid w:val="6F024D0F"/>
    <w:rsid w:val="70891CF3"/>
    <w:rsid w:val="731004AA"/>
    <w:rsid w:val="771552DF"/>
    <w:rsid w:val="7BE84A86"/>
    <w:rsid w:val="7C1A3FDD"/>
    <w:rsid w:val="7D432F62"/>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11598</Words>
  <Characters>12232</Characters>
  <Lines>62</Lines>
  <Paragraphs>17</Paragraphs>
  <TotalTime>5</TotalTime>
  <ScaleCrop>false</ScaleCrop>
  <LinksUpToDate>false</LinksUpToDate>
  <CharactersWithSpaces>12256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2021-07-28T00:12:00Z</cp:lastPrinted>
  <dcterms:modified xsi:type="dcterms:W3CDTF">2022-07-27T09:31:56Z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A063940A55944868B28FD1D54FE9C9C1</vt:lpwstr>
  </property>
</Properties>
</file>