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小标宋简体" w:hAnsi="方正小标宋简体" w:eastAsia="方正小标宋简体" w:cs="方正小标宋简体"/>
          <w:b w:val="0"/>
          <w:bCs/>
          <w:color w:val="auto"/>
          <w:sz w:val="44"/>
          <w:szCs w:val="4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小标宋简体" w:hAnsi="方正小标宋简体" w:eastAsia="方正小标宋简体" w:cs="方正小标宋简体"/>
          <w:b w:val="0"/>
          <w:bCs/>
          <w:color w:val="auto"/>
          <w:sz w:val="44"/>
          <w:szCs w:val="44"/>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rPr>
          <w:rFonts w:hint="eastAsia" w:ascii="方正小标宋简体" w:hAnsi="方正小标宋简体" w:eastAsia="方正小标宋简体" w:cs="方正小标宋简体"/>
          <w:b w:val="0"/>
          <w:bCs/>
          <w:color w:val="auto"/>
          <w:sz w:val="44"/>
          <w:szCs w:val="44"/>
          <w:lang w:val="en-US" w:eastAsia="zh-CN"/>
        </w:rPr>
      </w:pPr>
    </w:p>
    <w:p>
      <w:pPr>
        <w:spacing w:line="348" w:lineRule="auto"/>
        <w:jc w:val="center"/>
        <w:rPr>
          <w:rFonts w:hint="eastAsia" w:ascii="方正小标宋简体" w:hAnsi="方正小标宋简体" w:eastAsia="方正小标宋简体" w:cs="方正小标宋简体"/>
          <w:b/>
          <w:bCs w:val="0"/>
          <w:color w:val="auto"/>
          <w:sz w:val="52"/>
          <w:szCs w:val="52"/>
        </w:rPr>
      </w:pPr>
      <w:r>
        <w:rPr>
          <w:rFonts w:hint="eastAsia" w:ascii="方正小标宋简体" w:hAnsi="方正小标宋简体" w:eastAsia="方正小标宋简体" w:cs="方正小标宋简体"/>
          <w:b/>
          <w:bCs w:val="0"/>
          <w:color w:val="auto"/>
          <w:sz w:val="52"/>
          <w:szCs w:val="52"/>
        </w:rPr>
        <w:t>绩效评价报告</w:t>
      </w:r>
    </w:p>
    <w:p>
      <w:pPr>
        <w:widowControl/>
        <w:ind w:firstLine="3080" w:firstLineChars="700"/>
        <w:rPr>
          <w:rFonts w:ascii="Arial Narrow" w:hAnsi="Arial Narrow" w:cs="Arial Narrow"/>
          <w:b w:val="0"/>
          <w:bCs/>
          <w:color w:val="auto"/>
          <w:sz w:val="44"/>
          <w:szCs w:val="44"/>
        </w:rPr>
      </w:pPr>
    </w:p>
    <w:p>
      <w:pPr>
        <w:widowControl/>
        <w:ind w:firstLine="3080" w:firstLineChars="700"/>
        <w:rPr>
          <w:rFonts w:ascii="Arial Narrow" w:hAnsi="Arial Narrow" w:cs="Arial Narrow"/>
          <w:b w:val="0"/>
          <w:bCs/>
          <w:color w:val="auto"/>
          <w:sz w:val="44"/>
          <w:szCs w:val="44"/>
        </w:rPr>
      </w:pPr>
    </w:p>
    <w:p>
      <w:pPr>
        <w:widowControl/>
        <w:ind w:firstLine="3080" w:firstLineChars="700"/>
        <w:rPr>
          <w:rFonts w:ascii="Arial Narrow" w:hAnsi="Arial Narrow" w:cs="Arial Narrow"/>
          <w:b w:val="0"/>
          <w:bCs/>
          <w:color w:val="auto"/>
          <w:sz w:val="44"/>
          <w:szCs w:val="44"/>
        </w:rPr>
      </w:pPr>
    </w:p>
    <w:p>
      <w:pPr>
        <w:widowControl/>
        <w:rPr>
          <w:rFonts w:ascii="Arial Narrow" w:hAnsi="Arial Narrow" w:cs="Arial Narrow"/>
          <w:b w:val="0"/>
          <w:bCs/>
          <w:color w:val="auto"/>
          <w:sz w:val="44"/>
          <w:szCs w:val="44"/>
        </w:rPr>
      </w:pPr>
    </w:p>
    <w:p>
      <w:pPr>
        <w:pStyle w:val="5"/>
        <w:rPr>
          <w:color w:val="auto"/>
        </w:rPr>
      </w:pPr>
    </w:p>
    <w:tbl>
      <w:tblPr>
        <w:tblStyle w:val="10"/>
        <w:tblpPr w:leftFromText="180" w:rightFromText="180" w:vertAnchor="text" w:horzAnchor="page" w:tblpX="2196" w:tblpY="497"/>
        <w:tblOverlap w:val="never"/>
        <w:tblW w:w="7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val="en-US" w:eastAsia="zh-CN"/>
              </w:rPr>
            </w:pPr>
            <w:r>
              <w:rPr>
                <w:rFonts w:hint="eastAsia" w:ascii="仿宋" w:hAnsi="仿宋" w:eastAsia="仿宋" w:cs="仿宋"/>
                <w:b/>
                <w:bCs/>
                <w:sz w:val="32"/>
                <w:szCs w:val="32"/>
                <w:u w:val="none"/>
              </w:rPr>
              <w:t>项目名称</w:t>
            </w:r>
            <w:r>
              <w:rPr>
                <w:rFonts w:hint="eastAsia" w:ascii="仿宋" w:hAnsi="仿宋" w:eastAsia="仿宋" w:cs="仿宋"/>
                <w:b/>
                <w:bCs/>
                <w:sz w:val="32"/>
                <w:szCs w:val="32"/>
                <w:u w:val="none"/>
                <w:lang w:eastAsia="zh-CN"/>
              </w:rPr>
              <w:t>：</w:t>
            </w:r>
          </w:p>
        </w:tc>
        <w:tc>
          <w:tcPr>
            <w:tcW w:w="5852" w:type="dxa"/>
            <w:tcBorders>
              <w:top w:val="nil"/>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北塔</w:t>
            </w:r>
            <w:r>
              <w:rPr>
                <w:rFonts w:hint="eastAsia" w:ascii="仿宋" w:hAnsi="仿宋" w:eastAsia="仿宋" w:cs="仿宋"/>
                <w:sz w:val="32"/>
                <w:szCs w:val="32"/>
                <w:u w:val="none"/>
                <w:vertAlign w:val="baseline"/>
                <w:lang w:eastAsia="zh-CN"/>
              </w:rPr>
              <w:t>区</w:t>
            </w:r>
            <w:r>
              <w:rPr>
                <w:rFonts w:hint="eastAsia" w:ascii="仿宋" w:hAnsi="仿宋" w:eastAsia="仿宋" w:cs="仿宋"/>
                <w:sz w:val="32"/>
                <w:szCs w:val="32"/>
                <w:u w:val="none"/>
                <w:vertAlign w:val="baseline"/>
                <w:lang w:val="en-US" w:eastAsia="zh-CN"/>
              </w:rPr>
              <w:t>2022</w:t>
            </w:r>
            <w:r>
              <w:rPr>
                <w:rFonts w:hint="eastAsia" w:ascii="仿宋" w:hAnsi="仿宋" w:eastAsia="仿宋" w:cs="仿宋"/>
                <w:sz w:val="32"/>
                <w:szCs w:val="32"/>
                <w:u w:val="none"/>
                <w:vertAlign w:val="baseline"/>
                <w:lang w:eastAsia="zh-CN"/>
              </w:rPr>
              <w:t>年度</w:t>
            </w:r>
            <w:r>
              <w:rPr>
                <w:rFonts w:hint="eastAsia" w:ascii="仿宋" w:hAnsi="仿宋" w:eastAsia="仿宋" w:cs="仿宋"/>
                <w:sz w:val="32"/>
                <w:szCs w:val="32"/>
                <w:u w:val="none"/>
                <w:vertAlign w:val="baseline"/>
                <w:lang w:val="en-US" w:eastAsia="zh-CN"/>
              </w:rPr>
              <w:t>政策性农业保险项目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项目单位：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tabs>
                <w:tab w:val="left" w:pos="1812"/>
              </w:tabs>
              <w:kinsoku/>
              <w:wordWrap/>
              <w:overflowPunct/>
              <w:topLinePunct w:val="0"/>
              <w:autoSpaceDE/>
              <w:autoSpaceDN/>
              <w:bidi w:val="0"/>
              <w:adjustRightInd/>
              <w:snapToGrid/>
              <w:spacing w:line="520" w:lineRule="exact"/>
              <w:jc w:val="both"/>
              <w:textAlignment w:val="auto"/>
              <w:rPr>
                <w:rFonts w:hint="default"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邵阳市北塔区财政局金融股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委托单位：</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lang w:val="en-US" w:eastAsia="zh-CN"/>
              </w:rPr>
            </w:pPr>
            <w:r>
              <w:rPr>
                <w:rFonts w:hint="eastAsia" w:ascii="仿宋" w:hAnsi="仿宋" w:eastAsia="仿宋" w:cs="仿宋"/>
                <w:sz w:val="32"/>
                <w:szCs w:val="32"/>
                <w:u w:val="none"/>
                <w:vertAlign w:val="baseline"/>
                <w:lang w:val="en-US" w:eastAsia="zh-CN"/>
              </w:rPr>
              <w:t>邵阳市北塔区财政局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718" w:type="dxa"/>
            <w:tcBorders>
              <w:top w:val="nil"/>
              <w:left w:val="nil"/>
              <w:bottom w:val="nil"/>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
                <w:bCs/>
                <w:sz w:val="32"/>
                <w:szCs w:val="32"/>
                <w:u w:val="none"/>
                <w:vertAlign w:val="baseline"/>
                <w:lang w:eastAsia="zh-CN"/>
              </w:rPr>
            </w:pPr>
            <w:r>
              <w:rPr>
                <w:rFonts w:hint="eastAsia" w:ascii="仿宋" w:hAnsi="仿宋" w:eastAsia="仿宋" w:cs="仿宋"/>
                <w:b/>
                <w:bCs/>
                <w:sz w:val="32"/>
                <w:szCs w:val="32"/>
                <w:u w:val="none"/>
                <w:lang w:eastAsia="zh-CN"/>
              </w:rPr>
              <w:t>评价</w:t>
            </w:r>
            <w:r>
              <w:rPr>
                <w:rFonts w:hint="eastAsia" w:ascii="仿宋" w:hAnsi="仿宋" w:eastAsia="仿宋" w:cs="仿宋"/>
                <w:b/>
                <w:bCs/>
                <w:sz w:val="32"/>
                <w:szCs w:val="32"/>
                <w:u w:val="none"/>
              </w:rPr>
              <w:t>机构</w:t>
            </w:r>
            <w:r>
              <w:rPr>
                <w:rFonts w:hint="eastAsia" w:ascii="仿宋" w:hAnsi="仿宋" w:eastAsia="仿宋" w:cs="仿宋"/>
                <w:b/>
                <w:bCs/>
                <w:sz w:val="32"/>
                <w:szCs w:val="32"/>
                <w:u w:val="none"/>
                <w:lang w:eastAsia="zh-CN"/>
              </w:rPr>
              <w:t>：</w:t>
            </w:r>
          </w:p>
        </w:tc>
        <w:tc>
          <w:tcPr>
            <w:tcW w:w="5852" w:type="dxa"/>
            <w:tcBorders>
              <w:top w:val="single" w:color="auto" w:sz="4" w:space="0"/>
              <w:left w:val="nil"/>
              <w:bottom w:val="single" w:color="auto" w:sz="4" w:space="0"/>
              <w:right w:val="nil"/>
            </w:tcBorders>
            <w:noWrap w:val="0"/>
            <w:vAlign w:val="bottom"/>
          </w:tcPr>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u w:val="none"/>
                <w:vertAlign w:val="baseline"/>
              </w:rPr>
            </w:pPr>
            <w:r>
              <w:rPr>
                <w:rFonts w:hint="eastAsia" w:ascii="仿宋" w:hAnsi="仿宋" w:eastAsia="仿宋" w:cs="仿宋"/>
                <w:sz w:val="32"/>
                <w:szCs w:val="32"/>
                <w:u w:val="none"/>
                <w:lang w:eastAsia="zh-CN"/>
              </w:rPr>
              <w:t>湖南</w:t>
            </w:r>
            <w:r>
              <w:rPr>
                <w:rFonts w:hint="eastAsia" w:ascii="仿宋" w:hAnsi="仿宋" w:eastAsia="仿宋" w:cs="仿宋"/>
                <w:sz w:val="32"/>
                <w:szCs w:val="32"/>
                <w:u w:val="none"/>
              </w:rPr>
              <w:t>骏新联合会计师事务所（普通合伙）</w:t>
            </w:r>
          </w:p>
        </w:tc>
      </w:tr>
    </w:tbl>
    <w:p>
      <w:pPr>
        <w:spacing w:before="156" w:beforeLines="50" w:after="156" w:afterLines="50" w:line="360" w:lineRule="auto"/>
        <w:rPr>
          <w:rFonts w:ascii="Arial Narrow" w:hAnsi="Arial Narrow" w:eastAsia="仿宋" w:cs="Arial Narrow"/>
          <w:color w:val="auto"/>
          <w:sz w:val="28"/>
          <w:szCs w:val="28"/>
        </w:rPr>
      </w:pPr>
    </w:p>
    <w:p>
      <w:pPr>
        <w:spacing w:before="156" w:beforeLines="50" w:after="156" w:afterLines="50" w:line="360" w:lineRule="auto"/>
        <w:rPr>
          <w:rFonts w:ascii="Arial Narrow" w:hAnsi="Arial Narrow" w:eastAsia="仿宋" w:cs="Arial Narrow"/>
          <w:color w:val="auto"/>
          <w:sz w:val="28"/>
          <w:szCs w:val="28"/>
        </w:rPr>
      </w:pPr>
    </w:p>
    <w:p>
      <w:pPr>
        <w:spacing w:before="156" w:beforeLines="50" w:after="156" w:afterLines="50" w:line="360" w:lineRule="auto"/>
        <w:jc w:val="center"/>
        <w:outlineLvl w:val="0"/>
        <w:rPr>
          <w:rFonts w:hint="eastAsia" w:eastAsia="仿宋"/>
          <w:color w:val="auto"/>
          <w:spacing w:val="-20"/>
          <w:u w:val="double"/>
          <w:lang w:val="en-US" w:eastAsia="zh-CN"/>
        </w:rPr>
        <w:sectPr>
          <w:pgSz w:w="11906" w:h="16838"/>
          <w:pgMar w:top="1440" w:right="1800" w:bottom="1440" w:left="1800" w:header="851" w:footer="992" w:gutter="0"/>
          <w:cols w:space="720" w:num="1"/>
          <w:docGrid w:type="lines" w:linePitch="312" w:charSpace="0"/>
        </w:sectPr>
      </w:pPr>
      <w:r>
        <w:rPr>
          <w:rFonts w:hint="eastAsia" w:ascii="仿宋" w:hAnsi="仿宋" w:eastAsia="仿宋" w:cs="仿宋"/>
          <w:b/>
          <w:bCs/>
          <w:sz w:val="32"/>
          <w:szCs w:val="32"/>
        </w:rPr>
        <w:t>二○二</w:t>
      </w: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年</w:t>
      </w:r>
      <w:r>
        <w:rPr>
          <w:rFonts w:hint="eastAsia" w:cs="仿宋"/>
          <w:b/>
          <w:bCs/>
          <w:color w:val="000000"/>
          <w:sz w:val="32"/>
          <w:szCs w:val="32"/>
          <w:lang w:val="en-US" w:eastAsia="zh-CN"/>
        </w:rPr>
        <w:t>十一</w:t>
      </w:r>
      <w:r>
        <w:rPr>
          <w:rFonts w:hint="eastAsia" w:ascii="仿宋" w:hAnsi="仿宋" w:eastAsia="仿宋" w:cs="仿宋"/>
          <w:b/>
          <w:bCs/>
          <w:color w:val="000000"/>
          <w:sz w:val="32"/>
          <w:szCs w:val="32"/>
        </w:rPr>
        <w:t>月</w:t>
      </w:r>
      <w:r>
        <w:rPr>
          <w:rFonts w:hint="eastAsia" w:cs="仿宋"/>
          <w:b/>
          <w:bCs/>
          <w:color w:val="000000"/>
          <w:sz w:val="32"/>
          <w:szCs w:val="32"/>
          <w:lang w:val="en-US" w:eastAsia="zh-CN"/>
        </w:rPr>
        <w:t>二十六</w:t>
      </w:r>
      <w:r>
        <w:rPr>
          <w:rFonts w:hint="eastAsia" w:ascii="仿宋" w:hAnsi="仿宋" w:eastAsia="仿宋" w:cs="仿宋"/>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both"/>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lang w:eastAsia="zh-CN"/>
        </w:rPr>
        <w:t>湘</w:t>
      </w:r>
      <w:r>
        <w:rPr>
          <w:rFonts w:hint="eastAsia" w:ascii="仿宋" w:hAnsi="仿宋" w:eastAsia="仿宋" w:cs="仿宋"/>
          <w:color w:val="000000"/>
          <w:sz w:val="28"/>
          <w:szCs w:val="28"/>
          <w:shd w:val="clear" w:color="auto" w:fill="FFFFFF"/>
        </w:rPr>
        <w:t>骏会绩效评字[</w:t>
      </w:r>
      <w:r>
        <w:rPr>
          <w:rFonts w:hint="eastAsia" w:ascii="仿宋" w:hAnsi="仿宋" w:eastAsia="仿宋" w:cs="仿宋"/>
          <w:color w:val="000000"/>
          <w:sz w:val="28"/>
          <w:szCs w:val="28"/>
          <w:shd w:val="clear" w:color="auto" w:fill="FFFFFF"/>
          <w:lang w:eastAsia="zh-CN"/>
        </w:rPr>
        <w:t>202</w:t>
      </w:r>
      <w:r>
        <w:rPr>
          <w:rFonts w:hint="eastAsia" w:ascii="仿宋" w:hAnsi="仿宋" w:eastAsia="仿宋" w:cs="仿宋"/>
          <w:color w:val="000000"/>
          <w:sz w:val="28"/>
          <w:szCs w:val="28"/>
          <w:shd w:val="clear" w:color="auto" w:fill="FFFFFF"/>
          <w:lang w:val="en-US" w:eastAsia="zh-CN"/>
        </w:rPr>
        <w:t>3</w:t>
      </w:r>
      <w:r>
        <w:rPr>
          <w:rFonts w:hint="eastAsia" w:ascii="仿宋" w:hAnsi="仿宋" w:eastAsia="仿宋" w:cs="仿宋"/>
          <w:color w:val="000000"/>
          <w:sz w:val="28"/>
          <w:szCs w:val="28"/>
          <w:shd w:val="clear" w:color="auto" w:fill="FFFFFF"/>
        </w:rPr>
        <w:t>]第</w:t>
      </w:r>
      <w:r>
        <w:rPr>
          <w:rFonts w:hint="eastAsia" w:ascii="仿宋" w:hAnsi="仿宋" w:eastAsia="仿宋" w:cs="仿宋"/>
          <w:color w:val="000000"/>
          <w:sz w:val="28"/>
          <w:szCs w:val="28"/>
          <w:shd w:val="clear" w:color="auto" w:fill="FFFFFF"/>
          <w:lang w:val="en-US" w:eastAsia="zh-CN"/>
        </w:rPr>
        <w:t>024</w:t>
      </w:r>
      <w:r>
        <w:rPr>
          <w:rFonts w:hint="eastAsia" w:ascii="仿宋" w:hAnsi="仿宋" w:eastAsia="仿宋" w:cs="仿宋"/>
          <w:color w:val="000000"/>
          <w:sz w:val="28"/>
          <w:szCs w:val="28"/>
          <w:shd w:val="clear" w:color="auto" w:fill="FFFFFF"/>
        </w:rPr>
        <w:t>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cs="宋体"/>
          <w:b/>
          <w:bCs/>
          <w:sz w:val="32"/>
          <w:szCs w:val="32"/>
          <w:lang w:eastAsia="zh-CN"/>
        </w:rPr>
      </w:pPr>
    </w:p>
    <w:p>
      <w:pPr>
        <w:spacing w:line="560" w:lineRule="exact"/>
        <w:jc w:val="center"/>
        <w:outlineLvl w:val="0"/>
        <w:rPr>
          <w:rFonts w:hint="default" w:ascii="宋体" w:hAnsi="宋体" w:eastAsia="宋体" w:cs="Times New Roman"/>
          <w:b/>
          <w:bCs/>
          <w:sz w:val="36"/>
          <w:szCs w:val="36"/>
          <w:lang w:val="en-US"/>
        </w:rPr>
      </w:pPr>
      <w:r>
        <w:rPr>
          <w:rFonts w:hint="eastAsia" w:ascii="宋体" w:hAnsi="宋体" w:eastAsia="宋体" w:cs="Times New Roman"/>
          <w:b/>
          <w:bCs/>
          <w:sz w:val="36"/>
          <w:szCs w:val="36"/>
          <w:lang w:val="en-US" w:eastAsia="zh-CN"/>
        </w:rPr>
        <w:t>北塔</w:t>
      </w:r>
      <w:r>
        <w:rPr>
          <w:rFonts w:hint="eastAsia" w:ascii="宋体" w:hAnsi="宋体" w:eastAsia="宋体" w:cs="Times New Roman"/>
          <w:b/>
          <w:bCs/>
          <w:sz w:val="36"/>
          <w:szCs w:val="36"/>
          <w:lang w:eastAsia="zh-CN"/>
        </w:rPr>
        <w:t>区20</w:t>
      </w:r>
      <w:r>
        <w:rPr>
          <w:rFonts w:hint="eastAsia" w:ascii="宋体" w:hAnsi="宋体" w:eastAsia="宋体" w:cs="Times New Roman"/>
          <w:b/>
          <w:bCs/>
          <w:sz w:val="36"/>
          <w:szCs w:val="36"/>
          <w:lang w:val="en-US" w:eastAsia="zh-CN"/>
        </w:rPr>
        <w:t>22</w:t>
      </w:r>
      <w:r>
        <w:rPr>
          <w:rFonts w:hint="eastAsia" w:ascii="宋体" w:hAnsi="宋体" w:eastAsia="宋体" w:cs="Times New Roman"/>
          <w:b/>
          <w:bCs/>
          <w:sz w:val="36"/>
          <w:szCs w:val="36"/>
          <w:lang w:eastAsia="zh-CN"/>
        </w:rPr>
        <w:t>年度</w:t>
      </w:r>
      <w:r>
        <w:rPr>
          <w:rFonts w:hint="eastAsia" w:ascii="宋体" w:hAnsi="宋体" w:eastAsia="宋体" w:cs="Times New Roman"/>
          <w:b/>
          <w:bCs/>
          <w:sz w:val="36"/>
          <w:szCs w:val="36"/>
          <w:lang w:val="en-US" w:eastAsia="zh-CN"/>
        </w:rPr>
        <w:t>政策性农业保险项目</w:t>
      </w:r>
    </w:p>
    <w:p>
      <w:pPr>
        <w:spacing w:line="560" w:lineRule="exact"/>
        <w:jc w:val="center"/>
        <w:outlineLvl w:val="0"/>
        <w:rPr>
          <w:rFonts w:ascii="宋体" w:hAnsi="宋体" w:eastAsia="宋体" w:cs="Times New Roman"/>
          <w:b/>
          <w:bCs/>
          <w:sz w:val="36"/>
          <w:szCs w:val="36"/>
        </w:rPr>
      </w:pPr>
      <w:r>
        <w:rPr>
          <w:rFonts w:hint="eastAsia" w:ascii="宋体" w:hAnsi="宋体" w:eastAsia="宋体" w:cs="Times New Roman"/>
          <w:b/>
          <w:bCs/>
          <w:sz w:val="36"/>
          <w:szCs w:val="36"/>
        </w:rPr>
        <w:t>绩效评价报告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default" w:ascii="仿宋_GB2312" w:hAnsi="微软雅黑" w:eastAsia="仿宋_GB2312" w:cs="仿宋_GB2312"/>
          <w:i w:val="0"/>
          <w:iCs w:val="0"/>
          <w:caps w:val="0"/>
          <w:color w:val="auto"/>
          <w:spacing w:val="0"/>
          <w:sz w:val="28"/>
          <w:szCs w:val="28"/>
          <w:shd w:val="clear" w:color="auto" w:fill="FFFFFF"/>
        </w:rPr>
      </w:pP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color w:val="000000"/>
          <w:sz w:val="28"/>
          <w:szCs w:val="28"/>
          <w:shd w:val="clear" w:color="auto" w:fill="FFFFFF"/>
          <w:lang w:eastAsia="zh-CN"/>
        </w:rPr>
      </w:pPr>
      <w:r>
        <w:rPr>
          <w:rFonts w:hint="eastAsia" w:ascii="仿宋" w:hAnsi="仿宋" w:eastAsia="仿宋" w:cs="仿宋"/>
          <w:color w:val="000000"/>
          <w:sz w:val="28"/>
          <w:szCs w:val="28"/>
          <w:shd w:val="clear" w:color="auto" w:fill="FFFFFF"/>
          <w:lang w:eastAsia="zh-CN"/>
        </w:rPr>
        <w:t>为全面掌握</w:t>
      </w:r>
      <w:r>
        <w:rPr>
          <w:rFonts w:hint="eastAsia" w:ascii="仿宋" w:hAnsi="仿宋" w:eastAsia="仿宋" w:cs="仿宋"/>
          <w:color w:val="000000"/>
          <w:sz w:val="28"/>
          <w:szCs w:val="28"/>
          <w:shd w:val="clear" w:color="auto" w:fill="FFFFFF"/>
          <w:lang w:val="en-US" w:eastAsia="zh-CN"/>
        </w:rPr>
        <w:t>北塔</w:t>
      </w:r>
      <w:r>
        <w:rPr>
          <w:rFonts w:hint="eastAsia" w:ascii="仿宋" w:hAnsi="仿宋" w:eastAsia="仿宋" w:cs="仿宋"/>
          <w:color w:val="000000"/>
          <w:sz w:val="28"/>
          <w:szCs w:val="28"/>
          <w:shd w:val="clear" w:color="auto" w:fill="FFFFFF"/>
          <w:lang w:eastAsia="zh-CN"/>
        </w:rPr>
        <w:t>区20</w:t>
      </w:r>
      <w:r>
        <w:rPr>
          <w:rFonts w:hint="eastAsia" w:ascii="仿宋" w:hAnsi="仿宋" w:eastAsia="仿宋" w:cs="仿宋"/>
          <w:color w:val="000000"/>
          <w:sz w:val="28"/>
          <w:szCs w:val="28"/>
          <w:shd w:val="clear" w:color="auto" w:fill="FFFFFF"/>
          <w:lang w:val="en-US" w:eastAsia="zh-CN"/>
        </w:rPr>
        <w:t>22</w:t>
      </w:r>
      <w:r>
        <w:rPr>
          <w:rFonts w:hint="eastAsia" w:ascii="仿宋" w:hAnsi="仿宋" w:eastAsia="仿宋" w:cs="仿宋"/>
          <w:color w:val="000000"/>
          <w:sz w:val="28"/>
          <w:szCs w:val="28"/>
          <w:shd w:val="clear" w:color="auto" w:fill="FFFFFF"/>
          <w:lang w:eastAsia="zh-CN"/>
        </w:rPr>
        <w:t>年度</w:t>
      </w:r>
      <w:r>
        <w:rPr>
          <w:rFonts w:hint="eastAsia" w:ascii="仿宋" w:hAnsi="仿宋" w:eastAsia="仿宋" w:cs="仿宋"/>
          <w:color w:val="000000"/>
          <w:sz w:val="28"/>
          <w:szCs w:val="28"/>
          <w:shd w:val="clear" w:color="auto" w:fill="FFFFFF"/>
          <w:lang w:val="en-US" w:eastAsia="zh-CN"/>
        </w:rPr>
        <w:t>政策性农业保险项目资金使用情况及取得的效果，</w:t>
      </w:r>
      <w:r>
        <w:rPr>
          <w:rFonts w:hint="eastAsia" w:ascii="仿宋" w:hAnsi="仿宋" w:eastAsia="仿宋" w:cs="仿宋"/>
          <w:color w:val="000000"/>
          <w:sz w:val="28"/>
          <w:szCs w:val="28"/>
          <w:shd w:val="clear" w:color="auto" w:fill="FFFFFF"/>
          <w:lang w:eastAsia="zh-CN"/>
        </w:rPr>
        <w:t>进一步规范和加强专项资金管理，切实提高财政资金使用效益。</w:t>
      </w:r>
      <w:r>
        <w:rPr>
          <w:rFonts w:hint="default" w:ascii="仿宋" w:hAnsi="仿宋" w:eastAsia="仿宋" w:cs="仿宋"/>
          <w:color w:val="000000"/>
          <w:sz w:val="28"/>
          <w:szCs w:val="28"/>
          <w:shd w:val="clear" w:color="auto" w:fill="FFFFFF"/>
          <w:lang w:eastAsia="zh-CN"/>
        </w:rPr>
        <w:t>根据《中共中央国务院关于全面实施预算绩效管理的意见》（中发〔2018〕34号）、《财政部关于印发〈项目支出绩效评价管理办法〉的通知》（财预〔2020〕10号）和《中共湖南省委办公厅湖南省人民政府办公厅关于全面实施预算绩效管理的实施意见》（湘办发〔2019〕10号）等文件精神，为全面掌握</w:t>
      </w:r>
      <w:r>
        <w:rPr>
          <w:rFonts w:hint="eastAsia" w:ascii="仿宋" w:hAnsi="仿宋" w:eastAsia="仿宋" w:cs="仿宋"/>
          <w:color w:val="000000"/>
          <w:sz w:val="28"/>
          <w:szCs w:val="28"/>
          <w:shd w:val="clear" w:color="auto" w:fill="FFFFFF"/>
          <w:lang w:eastAsia="zh-CN"/>
        </w:rPr>
        <w:t>2022年政策性农业保险</w:t>
      </w:r>
      <w:r>
        <w:rPr>
          <w:rFonts w:hint="default" w:ascii="仿宋" w:hAnsi="仿宋" w:eastAsia="仿宋" w:cs="仿宋"/>
          <w:color w:val="000000"/>
          <w:sz w:val="28"/>
          <w:szCs w:val="28"/>
          <w:shd w:val="clear" w:color="auto" w:fill="FFFFFF"/>
          <w:lang w:eastAsia="zh-CN"/>
        </w:rPr>
        <w:t>资金使用情况及取得的效果，进一步规范和加强专项资金管理，切实提高财政资金使用效益，邵阳市北塔区财政局委托湖南骏新联合会计师事务所（普通合伙）对</w:t>
      </w:r>
      <w:r>
        <w:rPr>
          <w:rFonts w:hint="eastAsia" w:ascii="仿宋" w:hAnsi="仿宋" w:eastAsia="仿宋" w:cs="仿宋"/>
          <w:color w:val="000000"/>
          <w:sz w:val="28"/>
          <w:szCs w:val="28"/>
          <w:shd w:val="clear" w:color="auto" w:fill="FFFFFF"/>
          <w:lang w:eastAsia="zh-CN"/>
        </w:rPr>
        <w:t>北塔区财政局金融股</w:t>
      </w:r>
      <w:r>
        <w:rPr>
          <w:rFonts w:hint="default" w:ascii="仿宋" w:hAnsi="仿宋" w:eastAsia="仿宋" w:cs="仿宋"/>
          <w:color w:val="000000"/>
          <w:sz w:val="28"/>
          <w:szCs w:val="28"/>
          <w:shd w:val="clear" w:color="auto" w:fill="FFFFFF"/>
          <w:lang w:eastAsia="zh-CN"/>
        </w:rPr>
        <w:t>资金开展绩效评价工作，现将北塔区</w:t>
      </w:r>
      <w:r>
        <w:rPr>
          <w:rFonts w:hint="eastAsia" w:ascii="仿宋" w:hAnsi="仿宋" w:eastAsia="仿宋" w:cs="仿宋"/>
          <w:color w:val="000000"/>
          <w:sz w:val="28"/>
          <w:szCs w:val="28"/>
          <w:shd w:val="clear" w:color="auto" w:fill="FFFFFF"/>
          <w:lang w:eastAsia="zh-CN"/>
        </w:rPr>
        <w:t>2022年政策性农业保险</w:t>
      </w:r>
      <w:r>
        <w:rPr>
          <w:rFonts w:hint="eastAsia" w:ascii="仿宋" w:hAnsi="仿宋" w:eastAsia="仿宋" w:cs="仿宋"/>
          <w:color w:val="000000"/>
          <w:sz w:val="28"/>
          <w:szCs w:val="28"/>
          <w:shd w:val="clear" w:color="auto" w:fill="FFFFFF"/>
          <w:lang w:val="en-US" w:eastAsia="zh-CN"/>
        </w:rPr>
        <w:t>项目</w:t>
      </w:r>
      <w:r>
        <w:rPr>
          <w:rFonts w:hint="default" w:ascii="仿宋" w:hAnsi="仿宋" w:eastAsia="仿宋" w:cs="仿宋"/>
          <w:color w:val="000000"/>
          <w:sz w:val="28"/>
          <w:szCs w:val="28"/>
          <w:shd w:val="clear" w:color="auto" w:fill="FFFFFF"/>
          <w:lang w:eastAsia="zh-CN"/>
        </w:rPr>
        <w:t>绩效评价情况报告如下：</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2" w:firstLineChars="200"/>
        <w:jc w:val="left"/>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一、项目概况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rPr>
        <w:t>为认真贯彻《财政部印发&lt;中央财政农业保险保费补贴管理办法的通知&gt;》(财金〔2021〕130号)、《农业保险条例》和《湖南省财政厅等四部门印发&lt;关于加快湖南省农业保险高质量发展的实施方案&gt;的通知》(湘财金〔2020〕48号）等有关文件精神，深入推进全省农业保险工作，按照市财政局下达</w:t>
      </w:r>
      <w:r>
        <w:rPr>
          <w:rFonts w:hint="eastAsia" w:ascii="仿宋" w:hAnsi="仿宋" w:eastAsia="仿宋" w:cs="仿宋"/>
          <w:i w:val="0"/>
          <w:iCs w:val="0"/>
          <w:caps w:val="0"/>
          <w:color w:val="auto"/>
          <w:spacing w:val="0"/>
          <w:sz w:val="28"/>
          <w:szCs w:val="28"/>
          <w:shd w:val="clear" w:color="auto" w:fill="FFFFFF"/>
          <w:lang w:val="en-US" w:eastAsia="zh-CN"/>
        </w:rPr>
        <w:t>北塔</w:t>
      </w:r>
      <w:r>
        <w:rPr>
          <w:rFonts w:hint="eastAsia" w:ascii="仿宋" w:hAnsi="仿宋" w:eastAsia="仿宋" w:cs="仿宋"/>
          <w:i w:val="0"/>
          <w:iCs w:val="0"/>
          <w:caps w:val="0"/>
          <w:color w:val="auto"/>
          <w:spacing w:val="0"/>
          <w:sz w:val="28"/>
          <w:szCs w:val="28"/>
          <w:shd w:val="clear" w:color="auto" w:fill="FFFFFF"/>
        </w:rPr>
        <w:t>区的省级农业保险保费补贴预算的批复(邵财金〔2022〕2号)，结合农业生产的实际情况，2022年</w:t>
      </w:r>
      <w:r>
        <w:rPr>
          <w:rFonts w:hint="eastAsia" w:ascii="仿宋" w:hAnsi="仿宋" w:eastAsia="仿宋" w:cs="仿宋"/>
          <w:i w:val="0"/>
          <w:iCs w:val="0"/>
          <w:caps w:val="0"/>
          <w:color w:val="auto"/>
          <w:spacing w:val="0"/>
          <w:sz w:val="28"/>
          <w:szCs w:val="28"/>
          <w:shd w:val="clear" w:color="auto" w:fill="FFFFFF"/>
          <w:lang w:val="en-US" w:eastAsia="zh-CN"/>
        </w:rPr>
        <w:t>北塔</w:t>
      </w:r>
      <w:r>
        <w:rPr>
          <w:rFonts w:hint="eastAsia" w:ascii="仿宋" w:hAnsi="仿宋" w:eastAsia="仿宋" w:cs="仿宋"/>
          <w:i w:val="0"/>
          <w:iCs w:val="0"/>
          <w:caps w:val="0"/>
          <w:color w:val="auto"/>
          <w:spacing w:val="0"/>
          <w:sz w:val="28"/>
          <w:szCs w:val="28"/>
          <w:shd w:val="clear" w:color="auto" w:fill="FFFFFF"/>
        </w:rPr>
        <w:t>区主要开办的险种有水稻保险、能繁母猪保险、育肥猪保险、公益林保险。省财政核定下达</w:t>
      </w:r>
      <w:r>
        <w:rPr>
          <w:rFonts w:hint="eastAsia" w:ascii="仿宋" w:hAnsi="仿宋" w:eastAsia="仿宋" w:cs="仿宋"/>
          <w:i w:val="0"/>
          <w:iCs w:val="0"/>
          <w:caps w:val="0"/>
          <w:color w:val="auto"/>
          <w:spacing w:val="0"/>
          <w:sz w:val="28"/>
          <w:szCs w:val="28"/>
          <w:shd w:val="clear" w:color="auto" w:fill="FFFFFF"/>
          <w:lang w:val="en-US" w:eastAsia="zh-CN"/>
        </w:rPr>
        <w:t>2022年北塔</w:t>
      </w:r>
      <w:r>
        <w:rPr>
          <w:rFonts w:hint="eastAsia" w:ascii="仿宋" w:hAnsi="仿宋" w:eastAsia="仿宋" w:cs="仿宋"/>
          <w:i w:val="0"/>
          <w:iCs w:val="0"/>
          <w:caps w:val="0"/>
          <w:color w:val="auto"/>
          <w:spacing w:val="0"/>
          <w:sz w:val="28"/>
          <w:szCs w:val="28"/>
          <w:shd w:val="clear" w:color="auto" w:fill="FFFFFF"/>
        </w:rPr>
        <w:t>区</w:t>
      </w:r>
      <w:r>
        <w:rPr>
          <w:rFonts w:hint="eastAsia" w:ascii="仿宋" w:hAnsi="仿宋" w:eastAsia="仿宋" w:cs="仿宋"/>
          <w:i w:val="0"/>
          <w:iCs w:val="0"/>
          <w:caps w:val="0"/>
          <w:color w:val="auto"/>
          <w:spacing w:val="0"/>
          <w:sz w:val="28"/>
          <w:szCs w:val="28"/>
          <w:shd w:val="clear" w:color="auto" w:fill="FFFFFF"/>
          <w:lang w:val="en-US" w:eastAsia="zh-CN"/>
        </w:rPr>
        <w:t>农业保险保费补贴145万元。</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二、项目资金情况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2" w:firstLineChars="200"/>
        <w:textAlignment w:val="auto"/>
        <w:outlineLvl w:val="1"/>
        <w:rPr>
          <w:rFonts w:hint="eastAsia" w:ascii="仿宋" w:hAnsi="仿宋" w:eastAsia="仿宋" w:cs="仿宋"/>
          <w:b/>
          <w:bCs/>
          <w:i w:val="0"/>
          <w:iCs w:val="0"/>
          <w:caps w:val="0"/>
          <w:color w:val="auto"/>
          <w:spacing w:val="0"/>
          <w:sz w:val="28"/>
          <w:szCs w:val="28"/>
          <w:shd w:val="clear" w:color="auto" w:fill="FFFFFF"/>
          <w:lang w:val="en-US" w:eastAsia="zh-CN"/>
        </w:rPr>
      </w:pPr>
      <w:r>
        <w:rPr>
          <w:rFonts w:hint="eastAsia" w:ascii="仿宋" w:hAnsi="仿宋" w:eastAsia="仿宋" w:cs="仿宋"/>
          <w:b/>
          <w:bCs/>
          <w:i w:val="0"/>
          <w:iCs w:val="0"/>
          <w:caps w:val="0"/>
          <w:color w:val="auto"/>
          <w:spacing w:val="0"/>
          <w:sz w:val="28"/>
          <w:szCs w:val="28"/>
          <w:shd w:val="clear" w:color="auto" w:fill="FFFFFF"/>
          <w:lang w:val="en-US" w:eastAsia="zh-CN"/>
        </w:rPr>
        <w:t>（一）项目资金到位情况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482"/>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北塔区2022年政策性农业保险项目实际到位保险补贴145.0042万元，其中水稻保险补贴28万元，能繁母猪保险补贴13.005万元，育肥猪保险补贴102万元，公益林保险补贴1.9992万元。北塔</w:t>
      </w:r>
      <w:r>
        <w:rPr>
          <w:rFonts w:hint="eastAsia" w:ascii="仿宋" w:hAnsi="仿宋" w:eastAsia="仿宋" w:cs="仿宋"/>
          <w:i w:val="0"/>
          <w:iCs w:val="0"/>
          <w:caps w:val="0"/>
          <w:color w:val="auto"/>
          <w:spacing w:val="0"/>
          <w:sz w:val="28"/>
          <w:szCs w:val="28"/>
          <w:shd w:val="clear" w:color="auto" w:fill="FFFFFF"/>
        </w:rPr>
        <w:t>区</w:t>
      </w:r>
      <w:r>
        <w:rPr>
          <w:rFonts w:hint="eastAsia" w:ascii="仿宋" w:hAnsi="仿宋" w:eastAsia="仿宋" w:cs="仿宋"/>
          <w:i w:val="0"/>
          <w:iCs w:val="0"/>
          <w:caps w:val="0"/>
          <w:color w:val="auto"/>
          <w:spacing w:val="0"/>
          <w:sz w:val="28"/>
          <w:szCs w:val="28"/>
          <w:shd w:val="clear" w:color="auto" w:fill="FFFFFF"/>
          <w:lang w:val="en-US" w:eastAsia="zh-CN"/>
        </w:rPr>
        <w:t>水稻、</w:t>
      </w:r>
      <w:r>
        <w:rPr>
          <w:rFonts w:hint="eastAsia" w:ascii="仿宋" w:hAnsi="仿宋" w:eastAsia="仿宋" w:cs="仿宋"/>
          <w:i w:val="0"/>
          <w:iCs w:val="0"/>
          <w:caps w:val="0"/>
          <w:color w:val="auto"/>
          <w:spacing w:val="0"/>
          <w:sz w:val="28"/>
          <w:szCs w:val="28"/>
          <w:shd w:val="clear" w:color="auto" w:fill="FFFFFF"/>
        </w:rPr>
        <w:t>能繁母猪、育肥猪、公益林保险的各级财政全部纳入财政预算，区财政资金应该配套的全部配套到位。</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rightChars="0" w:firstLine="562" w:firstLineChars="200"/>
        <w:textAlignment w:val="auto"/>
        <w:outlineLvl w:val="1"/>
        <w:rPr>
          <w:rFonts w:hint="eastAsia" w:ascii="仿宋" w:hAnsi="仿宋" w:eastAsia="仿宋" w:cs="仿宋"/>
          <w:b/>
          <w:bCs/>
          <w:i w:val="0"/>
          <w:iCs w:val="0"/>
          <w:caps w:val="0"/>
          <w:color w:val="auto"/>
          <w:spacing w:val="0"/>
          <w:sz w:val="28"/>
          <w:szCs w:val="28"/>
          <w:shd w:val="clear" w:color="auto" w:fill="FFFFFF"/>
          <w:lang w:val="en-US" w:eastAsia="zh-CN"/>
        </w:rPr>
      </w:pPr>
      <w:r>
        <w:rPr>
          <w:rFonts w:hint="eastAsia" w:ascii="仿宋" w:hAnsi="仿宋" w:eastAsia="仿宋" w:cs="仿宋"/>
          <w:b/>
          <w:bCs/>
          <w:i w:val="0"/>
          <w:iCs w:val="0"/>
          <w:caps w:val="0"/>
          <w:color w:val="auto"/>
          <w:spacing w:val="0"/>
          <w:sz w:val="28"/>
          <w:szCs w:val="28"/>
          <w:shd w:val="clear" w:color="auto" w:fill="FFFFFF"/>
          <w:lang w:val="en-US" w:eastAsia="zh-CN"/>
        </w:rPr>
        <w:t>（二）项目承保完成情况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482"/>
        <w:textAlignment w:val="auto"/>
        <w:rPr>
          <w:rFonts w:hint="eastAsia" w:ascii="仿宋_GB2312" w:hAnsi="微软雅黑" w:eastAsia="仿宋_GB2312" w:cs="仿宋_GB2312"/>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rPr>
        <w:t>水稻承保面积1.75万亩，保费35万元；能繁母猪承保数量0.17万头，保费15.3万元；育肥猪承保数量3万头，保费120万元，公益林承保数量1.96万亩，保费2.352万元。总保费172.652万元。</w:t>
      </w:r>
      <w:r>
        <w:rPr>
          <w:rFonts w:hint="eastAsia" w:ascii="仿宋" w:hAnsi="仿宋" w:eastAsia="仿宋" w:cs="仿宋"/>
          <w:i w:val="0"/>
          <w:iCs w:val="0"/>
          <w:caps w:val="0"/>
          <w:color w:val="auto"/>
          <w:spacing w:val="0"/>
          <w:sz w:val="28"/>
          <w:szCs w:val="28"/>
          <w:shd w:val="clear" w:color="auto" w:fill="FFFFFF"/>
          <w:lang w:val="en-US" w:eastAsia="zh-CN"/>
        </w:rPr>
        <w:t>其中</w:t>
      </w:r>
      <w:r>
        <w:rPr>
          <w:rFonts w:hint="eastAsia" w:ascii="仿宋" w:hAnsi="仿宋" w:eastAsia="仿宋" w:cs="仿宋"/>
          <w:i w:val="0"/>
          <w:iCs w:val="0"/>
          <w:caps w:val="0"/>
          <w:color w:val="auto"/>
          <w:spacing w:val="0"/>
          <w:sz w:val="28"/>
          <w:szCs w:val="28"/>
          <w:shd w:val="clear" w:color="auto" w:fill="FFFFFF"/>
        </w:rPr>
        <w:t>农户自缴部分由保险公司协同乡镇协保员上门收取，农户自愿缴</w:t>
      </w:r>
      <w:r>
        <w:rPr>
          <w:rFonts w:hint="eastAsia" w:ascii="仿宋_GB2312" w:hAnsi="微软雅黑" w:eastAsia="仿宋_GB2312" w:cs="仿宋_GB2312"/>
          <w:i w:val="0"/>
          <w:iCs w:val="0"/>
          <w:caps w:val="0"/>
          <w:color w:val="auto"/>
          <w:spacing w:val="0"/>
          <w:sz w:val="28"/>
          <w:szCs w:val="28"/>
          <w:shd w:val="clear" w:color="auto" w:fill="FFFFFF"/>
        </w:rPr>
        <w:t>纳。</w:t>
      </w:r>
      <w:r>
        <w:rPr>
          <w:rFonts w:hint="eastAsia" w:ascii="仿宋_GB2312" w:hAnsi="微软雅黑" w:eastAsia="仿宋_GB2312" w:cs="仿宋_GB2312"/>
          <w:i w:val="0"/>
          <w:iCs w:val="0"/>
          <w:caps w:val="0"/>
          <w:color w:val="auto"/>
          <w:spacing w:val="0"/>
          <w:sz w:val="28"/>
          <w:szCs w:val="28"/>
          <w:shd w:val="clear" w:color="auto" w:fill="FFFFFF"/>
          <w:lang w:val="en-US" w:eastAsia="zh-CN"/>
        </w:rPr>
        <w:t>具体数据如下：</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2"/>
        <w:gridCol w:w="1508"/>
        <w:gridCol w:w="1421"/>
        <w:gridCol w:w="1009"/>
        <w:gridCol w:w="1009"/>
        <w:gridCol w:w="1010"/>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5" w:type="pct"/>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险种</w:t>
            </w:r>
          </w:p>
        </w:tc>
        <w:tc>
          <w:tcPr>
            <w:tcW w:w="885" w:type="pct"/>
            <w:vMerge w:val="restart"/>
            <w:tcBorders>
              <w:top w:val="single" w:color="auto" w:sz="4" w:space="0"/>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承保数量（万亩、万头）</w:t>
            </w:r>
          </w:p>
        </w:tc>
        <w:tc>
          <w:tcPr>
            <w:tcW w:w="834" w:type="pct"/>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保费金额</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（万元）</w:t>
            </w:r>
          </w:p>
        </w:tc>
        <w:tc>
          <w:tcPr>
            <w:tcW w:w="2374" w:type="pct"/>
            <w:gridSpan w:val="4"/>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保费补贴情况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5" w:type="pct"/>
            <w:vMerge w:val="continue"/>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p>
        </w:tc>
        <w:tc>
          <w:tcPr>
            <w:tcW w:w="885" w:type="pct"/>
            <w:vMerge w:val="continue"/>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p>
        </w:tc>
        <w:tc>
          <w:tcPr>
            <w:tcW w:w="834" w:type="pct"/>
            <w:vMerge w:val="continue"/>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中央</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lang w:val="en-US" w:eastAsia="zh-CN"/>
              </w:rPr>
            </w:pPr>
            <w:r>
              <w:rPr>
                <w:rFonts w:hint="eastAsia" w:ascii="仿宋" w:hAnsi="仿宋" w:eastAsia="仿宋" w:cs="仿宋"/>
                <w:color w:val="auto"/>
                <w:spacing w:val="0"/>
                <w:kern w:val="2"/>
                <w:sz w:val="21"/>
                <w:szCs w:val="21"/>
                <w:lang w:val="en-US" w:eastAsia="zh-CN" w:bidi="ar-SA"/>
              </w:rPr>
              <w:t>（万元）</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省级</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(万元）</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县级</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lang w:val="en-US" w:eastAsia="zh-CN"/>
              </w:rPr>
            </w:pPr>
            <w:r>
              <w:rPr>
                <w:rFonts w:hint="eastAsia" w:ascii="仿宋" w:hAnsi="仿宋" w:eastAsia="仿宋" w:cs="仿宋"/>
                <w:color w:val="auto"/>
                <w:spacing w:val="0"/>
                <w:kern w:val="2"/>
                <w:sz w:val="21"/>
                <w:szCs w:val="21"/>
                <w:lang w:val="en-US" w:eastAsia="zh-CN" w:bidi="ar-SA"/>
              </w:rPr>
              <w:t>(万元）</w:t>
            </w:r>
          </w:p>
        </w:tc>
        <w:tc>
          <w:tcPr>
            <w:tcW w:w="598"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农户</w:t>
            </w:r>
          </w:p>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水稻保险</w:t>
            </w:r>
          </w:p>
        </w:tc>
        <w:tc>
          <w:tcPr>
            <w:tcW w:w="88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1.75</w:t>
            </w:r>
          </w:p>
        </w:tc>
        <w:tc>
          <w:tcPr>
            <w:tcW w:w="834" w:type="pct"/>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35</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15.75</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8.75</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3.5</w:t>
            </w:r>
          </w:p>
        </w:tc>
        <w:tc>
          <w:tcPr>
            <w:tcW w:w="598"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能繁母猪保险</w:t>
            </w:r>
          </w:p>
        </w:tc>
        <w:tc>
          <w:tcPr>
            <w:tcW w:w="88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0.17</w:t>
            </w:r>
          </w:p>
        </w:tc>
        <w:tc>
          <w:tcPr>
            <w:tcW w:w="834" w:type="pct"/>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15.3</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7.65</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3.835</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1.53</w:t>
            </w:r>
          </w:p>
        </w:tc>
        <w:tc>
          <w:tcPr>
            <w:tcW w:w="598"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highlight w:val="none"/>
                <w:lang w:val="en-US" w:eastAsia="zh-CN" w:bidi="ar-SA"/>
              </w:rPr>
            </w:pPr>
            <w:r>
              <w:rPr>
                <w:rFonts w:hint="eastAsia" w:ascii="仿宋" w:hAnsi="仿宋" w:eastAsia="仿宋" w:cs="仿宋"/>
                <w:color w:val="auto"/>
                <w:spacing w:val="0"/>
                <w:kern w:val="2"/>
                <w:sz w:val="21"/>
                <w:szCs w:val="21"/>
                <w:highlight w:val="none"/>
                <w:lang w:val="en-US" w:eastAsia="zh-CN" w:bidi="ar-SA"/>
              </w:rPr>
              <w:t>2.295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育肥猪保险</w:t>
            </w:r>
          </w:p>
        </w:tc>
        <w:tc>
          <w:tcPr>
            <w:tcW w:w="88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3</w:t>
            </w:r>
          </w:p>
        </w:tc>
        <w:tc>
          <w:tcPr>
            <w:tcW w:w="834" w:type="pct"/>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120</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60</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30</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12</w:t>
            </w:r>
          </w:p>
        </w:tc>
        <w:tc>
          <w:tcPr>
            <w:tcW w:w="598"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公益林保险</w:t>
            </w:r>
          </w:p>
        </w:tc>
        <w:tc>
          <w:tcPr>
            <w:tcW w:w="885" w:type="pct"/>
            <w:tcBorders>
              <w:left w:val="nil"/>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1.96</w:t>
            </w:r>
          </w:p>
        </w:tc>
        <w:tc>
          <w:tcPr>
            <w:tcW w:w="834" w:type="pct"/>
            <w:tcBorders>
              <w:left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2.352</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1.176</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0.588</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0.2352</w:t>
            </w:r>
          </w:p>
        </w:tc>
        <w:tc>
          <w:tcPr>
            <w:tcW w:w="598"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0.3528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905" w:type="pct"/>
            <w:tcBorders>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小计</w:t>
            </w:r>
          </w:p>
        </w:tc>
        <w:tc>
          <w:tcPr>
            <w:tcW w:w="885" w:type="pct"/>
            <w:tcBorders>
              <w:left w:val="nil"/>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p>
        </w:tc>
        <w:tc>
          <w:tcPr>
            <w:tcW w:w="834" w:type="pct"/>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172.652</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84.576</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43.163</w:t>
            </w:r>
          </w:p>
        </w:tc>
        <w:tc>
          <w:tcPr>
            <w:tcW w:w="592"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17.2652</w:t>
            </w:r>
          </w:p>
        </w:tc>
        <w:tc>
          <w:tcPr>
            <w:tcW w:w="598" w:type="pct"/>
            <w:tcBorders>
              <w:top w:val="single" w:color="auto" w:sz="4" w:space="0"/>
              <w:left w:val="single" w:color="auto" w:sz="4" w:space="0"/>
              <w:bottom w:val="single" w:color="auto" w:sz="4" w:space="0"/>
              <w:right w:val="nil"/>
            </w:tcBorders>
            <w:vAlign w:val="center"/>
          </w:tcPr>
          <w:p>
            <w:pPr>
              <w:keepNext w:val="0"/>
              <w:keepLines w:val="0"/>
              <w:pageBreakBefore w:val="0"/>
              <w:widowControl w:val="0"/>
              <w:kinsoku/>
              <w:wordWrap/>
              <w:overflowPunct w:val="0"/>
              <w:topLinePunct w:val="0"/>
              <w:autoSpaceDE/>
              <w:autoSpaceDN/>
              <w:bidi w:val="0"/>
              <w:adjustRightInd w:val="0"/>
              <w:snapToGrid w:val="0"/>
              <w:spacing w:beforeAutospacing="0" w:afterAutospacing="0" w:line="540" w:lineRule="exact"/>
              <w:ind w:leftChars="0"/>
              <w:jc w:val="center"/>
              <w:textAlignment w:val="auto"/>
              <w:rPr>
                <w:rFonts w:hint="eastAsia" w:ascii="仿宋" w:hAnsi="仿宋" w:eastAsia="仿宋" w:cs="仿宋"/>
                <w:color w:val="auto"/>
                <w:spacing w:val="0"/>
                <w:kern w:val="2"/>
                <w:sz w:val="21"/>
                <w:szCs w:val="21"/>
                <w:lang w:val="en-US" w:eastAsia="zh-CN" w:bidi="ar-SA"/>
              </w:rPr>
            </w:pPr>
            <w:r>
              <w:rPr>
                <w:rFonts w:hint="eastAsia" w:ascii="仿宋" w:hAnsi="仿宋" w:eastAsia="仿宋" w:cs="仿宋"/>
                <w:color w:val="auto"/>
                <w:spacing w:val="0"/>
                <w:kern w:val="2"/>
                <w:sz w:val="21"/>
                <w:szCs w:val="21"/>
                <w:lang w:val="en-US" w:eastAsia="zh-CN" w:bidi="ar-SA"/>
              </w:rPr>
              <w:t>27.6478</w:t>
            </w:r>
          </w:p>
        </w:tc>
      </w:tr>
    </w:tbl>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三、项目组织实施情况</w:t>
      </w:r>
    </w:p>
    <w:p>
      <w:pPr>
        <w:keepNext w:val="0"/>
        <w:keepLines w:val="0"/>
        <w:pageBreakBefore w:val="0"/>
        <w:widowControl w:val="0"/>
        <w:numPr>
          <w:ilvl w:val="0"/>
          <w:numId w:val="0"/>
        </w:numPr>
        <w:kinsoku/>
        <w:wordWrap/>
        <w:overflowPunct w:val="0"/>
        <w:topLinePunct w:val="0"/>
        <w:autoSpaceDE/>
        <w:autoSpaceDN/>
        <w:bidi w:val="0"/>
        <w:spacing w:beforeAutospacing="0" w:afterAutospacing="0" w:line="540" w:lineRule="exact"/>
        <w:ind w:leftChars="0" w:firstLine="562"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（一）项目管理制度建设情况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rPr>
        <w:t>农业保险投入资金主要来源于各级财政和种养大户，区级财政保费补贴资金按省级核定规模进行配套，列入区财政预算，设立专门科目，实行专项管理，据实结算。中央、省财政保费补贴按省核定规模及各承保保险机构实际签单进度给予拨付。保费补贴资金按政策要求落实，资金申请中程序规范、合情合理，预算安排及时足额，管理制度健全完善。保险公司在承保农业保险之前首先进行市场摸底，确定实际市场规模，召开农业保险承保工作会议，明确具体承保规模，确定具体实施方案，任务分配到单位，责任到人。严格按照《农业保险条例》依法合规经营。</w:t>
      </w:r>
    </w:p>
    <w:p>
      <w:pPr>
        <w:keepNext w:val="0"/>
        <w:keepLines w:val="0"/>
        <w:pageBreakBefore w:val="0"/>
        <w:widowControl w:val="0"/>
        <w:numPr>
          <w:ilvl w:val="0"/>
          <w:numId w:val="0"/>
        </w:numPr>
        <w:kinsoku/>
        <w:wordWrap/>
        <w:overflowPunct w:val="0"/>
        <w:topLinePunct w:val="0"/>
        <w:autoSpaceDE/>
        <w:autoSpaceDN/>
        <w:bidi w:val="0"/>
        <w:spacing w:beforeAutospacing="0" w:afterAutospacing="0" w:line="540" w:lineRule="exact"/>
        <w:ind w:leftChars="0" w:firstLine="562"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（二）项目组织实施情况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邵阳市本级及市辖区公开竞争性遴选政策性农业保险承保机构于2020年3月9日进行了公开竞争性遴选，选定中华联合财产保险股份有限公司邵阳中心支公司和</w:t>
      </w:r>
      <w:r>
        <w:rPr>
          <w:rFonts w:hint="eastAsia" w:ascii="仿宋" w:hAnsi="仿宋" w:eastAsia="仿宋" w:cs="仿宋"/>
          <w:i w:val="0"/>
          <w:iCs w:val="0"/>
          <w:caps w:val="0"/>
          <w:color w:val="auto"/>
          <w:spacing w:val="0"/>
          <w:sz w:val="28"/>
          <w:szCs w:val="28"/>
          <w:shd w:val="clear" w:color="auto" w:fill="FFFFFF"/>
          <w:lang w:eastAsia="zh-CN"/>
        </w:rPr>
        <w:t>中国人寿财产保险股份有限公司</w:t>
      </w:r>
      <w:r>
        <w:rPr>
          <w:rFonts w:hint="eastAsia" w:ascii="仿宋" w:hAnsi="仿宋" w:eastAsia="仿宋" w:cs="仿宋"/>
          <w:i w:val="0"/>
          <w:iCs w:val="0"/>
          <w:caps w:val="0"/>
          <w:color w:val="auto"/>
          <w:spacing w:val="0"/>
          <w:sz w:val="28"/>
          <w:szCs w:val="28"/>
          <w:shd w:val="clear" w:color="auto" w:fill="FFFFFF"/>
          <w:lang w:val="en-US" w:eastAsia="zh-CN"/>
        </w:rPr>
        <w:t>邵阳市中心支公司为政策性农业保险承保机构。根据《中华人民共和国合同法》、《农业保险条例》、《湖南省财政农业保险保费补贴管理办法》(湘财金〔2017〕74号)及《湖南省财政厅关于印发&lt;公开竞争性遴选政策性农业保险承保机构的指导意见&gt;的通知》(湘财金〔2019〕41号)等相关法律、法规及文件的规定，邵阳市财政局与承保机构签订政策性农业保险合同。2022年北塔区政策性农业保险承保机构由2020年邵阳市财政局公开竞争性遴选产生的承保机构继续承保。</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rPr>
      </w:pPr>
      <w:r>
        <w:rPr>
          <w:rFonts w:hint="eastAsia" w:ascii="仿宋" w:hAnsi="仿宋" w:eastAsia="仿宋" w:cs="仿宋"/>
          <w:i w:val="0"/>
          <w:iCs w:val="0"/>
          <w:caps w:val="0"/>
          <w:color w:val="auto"/>
          <w:spacing w:val="0"/>
          <w:sz w:val="28"/>
          <w:szCs w:val="28"/>
          <w:shd w:val="clear" w:color="auto" w:fill="FFFFFF"/>
        </w:rPr>
        <w:t>项目资金按照对应险种保费配套比例，在规定时间段内，保费金额足额由区农保办转账相关承保公司保费收入户。有农户自缴的部分保费转账至</w:t>
      </w:r>
      <w:r>
        <w:rPr>
          <w:rFonts w:hint="eastAsia" w:ascii="仿宋" w:hAnsi="仿宋" w:eastAsia="仿宋" w:cs="仿宋"/>
          <w:i w:val="0"/>
          <w:iCs w:val="0"/>
          <w:caps w:val="0"/>
          <w:color w:val="auto"/>
          <w:spacing w:val="0"/>
          <w:sz w:val="28"/>
          <w:szCs w:val="28"/>
          <w:shd w:val="clear" w:color="auto" w:fill="FFFFFF"/>
          <w:lang w:val="en-US" w:eastAsia="zh-CN"/>
        </w:rPr>
        <w:t>承保</w:t>
      </w:r>
      <w:r>
        <w:rPr>
          <w:rFonts w:hint="eastAsia" w:ascii="仿宋" w:hAnsi="仿宋" w:eastAsia="仿宋" w:cs="仿宋"/>
          <w:i w:val="0"/>
          <w:iCs w:val="0"/>
          <w:caps w:val="0"/>
          <w:color w:val="auto"/>
          <w:spacing w:val="0"/>
          <w:sz w:val="28"/>
          <w:szCs w:val="28"/>
          <w:shd w:val="clear" w:color="auto" w:fill="FFFFFF"/>
        </w:rPr>
        <w:t>公司账户，严格按照“见费出单”制度，先缴费后出单，确保保费及时入账。理赔款由省公司直接转入受灾农户“一卡通”账户，确保农户利益。</w:t>
      </w:r>
    </w:p>
    <w:p>
      <w:pPr>
        <w:keepNext w:val="0"/>
        <w:keepLines w:val="0"/>
        <w:pageBreakBefore w:val="0"/>
        <w:widowControl w:val="0"/>
        <w:numPr>
          <w:ilvl w:val="0"/>
          <w:numId w:val="0"/>
        </w:numPr>
        <w:kinsoku/>
        <w:wordWrap/>
        <w:overflowPunct w:val="0"/>
        <w:topLinePunct w:val="0"/>
        <w:autoSpaceDE/>
        <w:autoSpaceDN/>
        <w:bidi w:val="0"/>
        <w:spacing w:beforeAutospacing="0" w:afterAutospacing="0" w:line="540" w:lineRule="exact"/>
        <w:ind w:leftChars="0" w:firstLine="562" w:firstLineChars="200"/>
        <w:textAlignment w:val="auto"/>
        <w:outlineLvl w:val="1"/>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（三）理赔情况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rPr>
      </w:pPr>
      <w:r>
        <w:rPr>
          <w:rFonts w:hint="eastAsia" w:ascii="仿宋" w:hAnsi="仿宋" w:eastAsia="仿宋" w:cs="仿宋"/>
          <w:i w:val="0"/>
          <w:iCs w:val="0"/>
          <w:caps w:val="0"/>
          <w:color w:val="auto"/>
          <w:spacing w:val="0"/>
          <w:sz w:val="28"/>
          <w:szCs w:val="28"/>
          <w:shd w:val="clear" w:color="auto" w:fill="FFFFFF"/>
          <w:lang w:val="en-US" w:eastAsia="zh-CN"/>
        </w:rPr>
        <w:t>2022年</w:t>
      </w:r>
      <w:r>
        <w:rPr>
          <w:rFonts w:hint="eastAsia" w:ascii="仿宋" w:hAnsi="仿宋" w:eastAsia="仿宋" w:cs="仿宋"/>
          <w:i w:val="0"/>
          <w:iCs w:val="0"/>
          <w:caps w:val="0"/>
          <w:color w:val="auto"/>
          <w:spacing w:val="0"/>
          <w:sz w:val="28"/>
          <w:szCs w:val="28"/>
          <w:shd w:val="clear" w:color="auto" w:fill="FFFFFF"/>
        </w:rPr>
        <w:t>政策性农业保险赔付率较高，因连续高温影响，病虫害也较严重，</w:t>
      </w:r>
      <w:r>
        <w:rPr>
          <w:rFonts w:hint="eastAsia" w:ascii="仿宋" w:hAnsi="仿宋" w:eastAsia="仿宋" w:cs="仿宋"/>
          <w:i w:val="0"/>
          <w:iCs w:val="0"/>
          <w:caps w:val="0"/>
          <w:color w:val="auto"/>
          <w:spacing w:val="0"/>
          <w:sz w:val="28"/>
          <w:szCs w:val="28"/>
          <w:shd w:val="clear" w:color="auto" w:fill="FFFFFF"/>
          <w:lang w:val="en-US" w:eastAsia="zh-CN"/>
        </w:rPr>
        <w:t>北塔</w:t>
      </w:r>
      <w:r>
        <w:rPr>
          <w:rFonts w:hint="eastAsia" w:ascii="仿宋" w:hAnsi="仿宋" w:eastAsia="仿宋" w:cs="仿宋"/>
          <w:i w:val="0"/>
          <w:iCs w:val="0"/>
          <w:caps w:val="0"/>
          <w:color w:val="auto"/>
          <w:spacing w:val="0"/>
          <w:sz w:val="28"/>
          <w:szCs w:val="28"/>
          <w:shd w:val="clear" w:color="auto" w:fill="FFFFFF"/>
        </w:rPr>
        <w:t>区水稻受灾较重，各乡镇都有水稻受灾且赔付率较高。全年全险种受理案件共计</w:t>
      </w:r>
      <w:r>
        <w:rPr>
          <w:rFonts w:hint="eastAsia" w:ascii="仿宋" w:hAnsi="仿宋" w:eastAsia="仿宋" w:cs="仿宋"/>
          <w:i w:val="0"/>
          <w:iCs w:val="0"/>
          <w:caps w:val="0"/>
          <w:color w:val="auto"/>
          <w:spacing w:val="0"/>
          <w:sz w:val="28"/>
          <w:szCs w:val="28"/>
          <w:shd w:val="clear" w:color="auto" w:fill="FFFFFF"/>
          <w:lang w:val="en-US" w:eastAsia="zh-CN"/>
        </w:rPr>
        <w:t>174</w:t>
      </w:r>
      <w:r>
        <w:rPr>
          <w:rFonts w:hint="eastAsia" w:ascii="仿宋" w:hAnsi="仿宋" w:eastAsia="仿宋" w:cs="仿宋"/>
          <w:i w:val="0"/>
          <w:iCs w:val="0"/>
          <w:caps w:val="0"/>
          <w:color w:val="auto"/>
          <w:spacing w:val="0"/>
          <w:sz w:val="28"/>
          <w:szCs w:val="28"/>
          <w:shd w:val="clear" w:color="auto" w:fill="FFFFFF"/>
        </w:rPr>
        <w:t>起，理赔数量合计</w:t>
      </w:r>
      <w:r>
        <w:rPr>
          <w:rFonts w:hint="eastAsia" w:ascii="仿宋" w:hAnsi="仿宋" w:eastAsia="仿宋" w:cs="仿宋"/>
          <w:i w:val="0"/>
          <w:iCs w:val="0"/>
          <w:caps w:val="0"/>
          <w:color w:val="auto"/>
          <w:spacing w:val="0"/>
          <w:sz w:val="28"/>
          <w:szCs w:val="28"/>
          <w:shd w:val="clear" w:color="auto" w:fill="FFFFFF"/>
          <w:lang w:val="en-US" w:eastAsia="zh-CN"/>
        </w:rPr>
        <w:t>1396.35</w:t>
      </w:r>
      <w:r>
        <w:rPr>
          <w:rFonts w:hint="eastAsia" w:ascii="仿宋" w:hAnsi="仿宋" w:eastAsia="仿宋" w:cs="仿宋"/>
          <w:i w:val="0"/>
          <w:iCs w:val="0"/>
          <w:caps w:val="0"/>
          <w:color w:val="auto"/>
          <w:spacing w:val="0"/>
          <w:sz w:val="28"/>
          <w:szCs w:val="28"/>
          <w:shd w:val="clear" w:color="auto" w:fill="FFFFFF"/>
        </w:rPr>
        <w:t>亩（头），赔款金额合计</w:t>
      </w:r>
      <w:r>
        <w:rPr>
          <w:rFonts w:hint="eastAsia" w:ascii="仿宋" w:hAnsi="仿宋" w:eastAsia="仿宋" w:cs="仿宋"/>
          <w:i w:val="0"/>
          <w:iCs w:val="0"/>
          <w:caps w:val="0"/>
          <w:color w:val="auto"/>
          <w:spacing w:val="0"/>
          <w:sz w:val="28"/>
          <w:szCs w:val="28"/>
          <w:shd w:val="clear" w:color="auto" w:fill="FFFFFF"/>
          <w:lang w:val="en-US" w:eastAsia="zh-CN"/>
        </w:rPr>
        <w:t>81.5</w:t>
      </w:r>
      <w:r>
        <w:rPr>
          <w:rFonts w:hint="eastAsia" w:ascii="仿宋" w:hAnsi="仿宋" w:eastAsia="仿宋" w:cs="仿宋"/>
          <w:i w:val="0"/>
          <w:iCs w:val="0"/>
          <w:caps w:val="0"/>
          <w:color w:val="auto"/>
          <w:spacing w:val="0"/>
          <w:sz w:val="28"/>
          <w:szCs w:val="28"/>
          <w:shd w:val="clear" w:color="auto" w:fill="FFFFFF"/>
        </w:rPr>
        <w:t>万元，全险种综合赔付率</w:t>
      </w:r>
      <w:r>
        <w:rPr>
          <w:rFonts w:hint="eastAsia" w:ascii="仿宋" w:hAnsi="仿宋" w:eastAsia="仿宋" w:cs="仿宋"/>
          <w:i w:val="0"/>
          <w:iCs w:val="0"/>
          <w:caps w:val="0"/>
          <w:color w:val="auto"/>
          <w:spacing w:val="0"/>
          <w:sz w:val="28"/>
          <w:szCs w:val="28"/>
          <w:shd w:val="clear" w:color="auto" w:fill="FFFFFF"/>
          <w:lang w:val="en-US" w:eastAsia="zh-CN"/>
        </w:rPr>
        <w:t>48</w:t>
      </w:r>
      <w:r>
        <w:rPr>
          <w:rFonts w:hint="eastAsia" w:ascii="仿宋" w:hAnsi="仿宋" w:eastAsia="仿宋" w:cs="仿宋"/>
          <w:i w:val="0"/>
          <w:iCs w:val="0"/>
          <w:caps w:val="0"/>
          <w:color w:val="auto"/>
          <w:spacing w:val="0"/>
          <w:sz w:val="28"/>
          <w:szCs w:val="28"/>
          <w:shd w:val="clear" w:color="auto" w:fill="FFFFFF"/>
        </w:rPr>
        <w:t>%。</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1、</w:t>
      </w:r>
      <w:r>
        <w:rPr>
          <w:rFonts w:hint="eastAsia" w:ascii="仿宋" w:hAnsi="仿宋" w:eastAsia="仿宋" w:cs="仿宋"/>
          <w:i w:val="0"/>
          <w:iCs w:val="0"/>
          <w:caps w:val="0"/>
          <w:color w:val="auto"/>
          <w:spacing w:val="0"/>
          <w:sz w:val="28"/>
          <w:szCs w:val="28"/>
          <w:shd w:val="clear" w:color="auto" w:fill="FFFFFF"/>
        </w:rPr>
        <w:t>种、林业方面：202</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年全年共受理案件</w:t>
      </w:r>
      <w:r>
        <w:rPr>
          <w:rFonts w:hint="eastAsia" w:ascii="仿宋" w:hAnsi="仿宋" w:eastAsia="仿宋" w:cs="仿宋"/>
          <w:i w:val="0"/>
          <w:iCs w:val="0"/>
          <w:caps w:val="0"/>
          <w:color w:val="auto"/>
          <w:spacing w:val="0"/>
          <w:sz w:val="28"/>
          <w:szCs w:val="28"/>
          <w:shd w:val="clear" w:color="auto" w:fill="FFFFFF"/>
          <w:lang w:val="en-US" w:eastAsia="zh-CN"/>
        </w:rPr>
        <w:t>13</w:t>
      </w:r>
      <w:r>
        <w:rPr>
          <w:rFonts w:hint="eastAsia" w:ascii="仿宋" w:hAnsi="仿宋" w:eastAsia="仿宋" w:cs="仿宋"/>
          <w:i w:val="0"/>
          <w:iCs w:val="0"/>
          <w:caps w:val="0"/>
          <w:color w:val="auto"/>
          <w:spacing w:val="0"/>
          <w:sz w:val="28"/>
          <w:szCs w:val="28"/>
          <w:shd w:val="clear" w:color="auto" w:fill="FFFFFF"/>
        </w:rPr>
        <w:t>起，理赔面积</w:t>
      </w:r>
      <w:r>
        <w:rPr>
          <w:rFonts w:hint="eastAsia" w:ascii="仿宋" w:hAnsi="仿宋" w:eastAsia="仿宋" w:cs="仿宋"/>
          <w:i w:val="0"/>
          <w:iCs w:val="0"/>
          <w:caps w:val="0"/>
          <w:color w:val="auto"/>
          <w:spacing w:val="0"/>
          <w:sz w:val="28"/>
          <w:szCs w:val="28"/>
          <w:shd w:val="clear" w:color="auto" w:fill="FFFFFF"/>
          <w:lang w:val="en-US" w:eastAsia="zh-CN"/>
        </w:rPr>
        <w:t>586.35</w:t>
      </w:r>
      <w:r>
        <w:rPr>
          <w:rFonts w:hint="eastAsia" w:ascii="仿宋" w:hAnsi="仿宋" w:eastAsia="仿宋" w:cs="仿宋"/>
          <w:i w:val="0"/>
          <w:iCs w:val="0"/>
          <w:caps w:val="0"/>
          <w:color w:val="auto"/>
          <w:spacing w:val="0"/>
          <w:sz w:val="28"/>
          <w:szCs w:val="28"/>
          <w:shd w:val="clear" w:color="auto" w:fill="FFFFFF"/>
        </w:rPr>
        <w:t>亩，赔款金额</w:t>
      </w:r>
      <w:r>
        <w:rPr>
          <w:rFonts w:hint="eastAsia" w:ascii="仿宋" w:hAnsi="仿宋" w:eastAsia="仿宋" w:cs="仿宋"/>
          <w:i w:val="0"/>
          <w:iCs w:val="0"/>
          <w:caps w:val="0"/>
          <w:color w:val="auto"/>
          <w:spacing w:val="0"/>
          <w:sz w:val="28"/>
          <w:szCs w:val="28"/>
          <w:shd w:val="clear" w:color="auto" w:fill="FFFFFF"/>
          <w:lang w:val="en-US" w:eastAsia="zh-CN"/>
        </w:rPr>
        <w:t>14.4</w:t>
      </w:r>
      <w:r>
        <w:rPr>
          <w:rFonts w:hint="eastAsia" w:ascii="仿宋" w:hAnsi="仿宋" w:eastAsia="仿宋" w:cs="仿宋"/>
          <w:i w:val="0"/>
          <w:iCs w:val="0"/>
          <w:caps w:val="0"/>
          <w:color w:val="auto"/>
          <w:spacing w:val="0"/>
          <w:sz w:val="28"/>
          <w:szCs w:val="28"/>
          <w:shd w:val="clear" w:color="auto" w:fill="FFFFFF"/>
        </w:rPr>
        <w:t>万元，种、林业险种综合赔付率</w:t>
      </w:r>
      <w:r>
        <w:rPr>
          <w:rFonts w:hint="eastAsia" w:ascii="仿宋" w:hAnsi="仿宋" w:eastAsia="仿宋" w:cs="仿宋"/>
          <w:i w:val="0"/>
          <w:iCs w:val="0"/>
          <w:caps w:val="0"/>
          <w:color w:val="auto"/>
          <w:spacing w:val="0"/>
          <w:sz w:val="28"/>
          <w:szCs w:val="28"/>
          <w:shd w:val="clear" w:color="auto" w:fill="FFFFFF"/>
          <w:lang w:val="en-US" w:eastAsia="zh-CN"/>
        </w:rPr>
        <w:t>41</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eastAsia="zh-CN"/>
        </w:rPr>
        <w:t>；</w:t>
      </w:r>
      <w:r>
        <w:rPr>
          <w:rFonts w:hint="eastAsia" w:ascii="仿宋" w:hAnsi="仿宋" w:eastAsia="仿宋" w:cs="仿宋"/>
          <w:i w:val="0"/>
          <w:iCs w:val="0"/>
          <w:caps w:val="0"/>
          <w:color w:val="auto"/>
          <w:spacing w:val="0"/>
          <w:sz w:val="28"/>
          <w:szCs w:val="28"/>
          <w:shd w:val="clear" w:color="auto" w:fill="FFFFFF"/>
          <w:lang w:val="en-US" w:eastAsia="zh-CN"/>
        </w:rPr>
        <w:t>公益林保单年度防灾防损一起，防灾防损金额15.15万元。</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rPr>
        <w:t>2、养殖业方面：202</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年全年共受理案件</w:t>
      </w:r>
      <w:r>
        <w:rPr>
          <w:rFonts w:hint="eastAsia" w:ascii="仿宋" w:hAnsi="仿宋" w:eastAsia="仿宋" w:cs="仿宋"/>
          <w:i w:val="0"/>
          <w:iCs w:val="0"/>
          <w:caps w:val="0"/>
          <w:color w:val="auto"/>
          <w:spacing w:val="0"/>
          <w:sz w:val="28"/>
          <w:szCs w:val="28"/>
          <w:shd w:val="clear" w:color="auto" w:fill="FFFFFF"/>
          <w:lang w:val="en-US" w:eastAsia="zh-CN"/>
        </w:rPr>
        <w:t>161</w:t>
      </w:r>
      <w:r>
        <w:rPr>
          <w:rFonts w:hint="eastAsia" w:ascii="仿宋" w:hAnsi="仿宋" w:eastAsia="仿宋" w:cs="仿宋"/>
          <w:i w:val="0"/>
          <w:iCs w:val="0"/>
          <w:caps w:val="0"/>
          <w:color w:val="auto"/>
          <w:spacing w:val="0"/>
          <w:sz w:val="28"/>
          <w:szCs w:val="28"/>
          <w:shd w:val="clear" w:color="auto" w:fill="FFFFFF"/>
        </w:rPr>
        <w:t>起，受灾农户</w:t>
      </w:r>
      <w:r>
        <w:rPr>
          <w:rFonts w:hint="eastAsia" w:ascii="仿宋" w:hAnsi="仿宋" w:eastAsia="仿宋" w:cs="仿宋"/>
          <w:i w:val="0"/>
          <w:iCs w:val="0"/>
          <w:caps w:val="0"/>
          <w:color w:val="auto"/>
          <w:spacing w:val="0"/>
          <w:sz w:val="28"/>
          <w:szCs w:val="28"/>
          <w:shd w:val="clear" w:color="auto" w:fill="FFFFFF"/>
          <w:lang w:val="en-US" w:eastAsia="zh-CN"/>
        </w:rPr>
        <w:t>9</w:t>
      </w:r>
      <w:r>
        <w:rPr>
          <w:rFonts w:hint="eastAsia" w:ascii="仿宋" w:hAnsi="仿宋" w:eastAsia="仿宋" w:cs="仿宋"/>
          <w:i w:val="0"/>
          <w:iCs w:val="0"/>
          <w:caps w:val="0"/>
          <w:color w:val="auto"/>
          <w:spacing w:val="0"/>
          <w:sz w:val="28"/>
          <w:szCs w:val="28"/>
          <w:shd w:val="clear" w:color="auto" w:fill="FFFFFF"/>
        </w:rPr>
        <w:t>户</w:t>
      </w:r>
      <w:r>
        <w:rPr>
          <w:rFonts w:hint="eastAsia" w:ascii="仿宋" w:hAnsi="仿宋" w:eastAsia="仿宋" w:cs="仿宋"/>
          <w:i w:val="0"/>
          <w:iCs w:val="0"/>
          <w:caps w:val="0"/>
          <w:color w:val="auto"/>
          <w:spacing w:val="0"/>
          <w:sz w:val="28"/>
          <w:szCs w:val="28"/>
          <w:shd w:val="clear" w:color="auto" w:fill="FFFFFF"/>
          <w:lang w:val="en-US" w:eastAsia="zh-CN"/>
        </w:rPr>
        <w:t>次</w:t>
      </w:r>
      <w:r>
        <w:rPr>
          <w:rFonts w:hint="eastAsia" w:ascii="仿宋" w:hAnsi="仿宋" w:eastAsia="仿宋" w:cs="仿宋"/>
          <w:i w:val="0"/>
          <w:iCs w:val="0"/>
          <w:caps w:val="0"/>
          <w:color w:val="auto"/>
          <w:spacing w:val="0"/>
          <w:sz w:val="28"/>
          <w:szCs w:val="28"/>
          <w:shd w:val="clear" w:color="auto" w:fill="FFFFFF"/>
        </w:rPr>
        <w:t>，理赔数量</w:t>
      </w:r>
      <w:r>
        <w:rPr>
          <w:rFonts w:hint="eastAsia" w:ascii="仿宋" w:hAnsi="仿宋" w:eastAsia="仿宋" w:cs="仿宋"/>
          <w:i w:val="0"/>
          <w:iCs w:val="0"/>
          <w:caps w:val="0"/>
          <w:color w:val="auto"/>
          <w:spacing w:val="0"/>
          <w:sz w:val="28"/>
          <w:szCs w:val="28"/>
          <w:shd w:val="clear" w:color="auto" w:fill="FFFFFF"/>
          <w:lang w:val="en-US" w:eastAsia="zh-CN"/>
        </w:rPr>
        <w:t>810</w:t>
      </w:r>
      <w:r>
        <w:rPr>
          <w:rFonts w:hint="eastAsia" w:ascii="仿宋" w:hAnsi="仿宋" w:eastAsia="仿宋" w:cs="仿宋"/>
          <w:i w:val="0"/>
          <w:iCs w:val="0"/>
          <w:caps w:val="0"/>
          <w:color w:val="auto"/>
          <w:spacing w:val="0"/>
          <w:sz w:val="28"/>
          <w:szCs w:val="28"/>
          <w:shd w:val="clear" w:color="auto" w:fill="FFFFFF"/>
        </w:rPr>
        <w:t>头，赔款金额</w:t>
      </w:r>
      <w:r>
        <w:rPr>
          <w:rFonts w:hint="eastAsia" w:ascii="仿宋" w:hAnsi="仿宋" w:eastAsia="仿宋" w:cs="仿宋"/>
          <w:i w:val="0"/>
          <w:iCs w:val="0"/>
          <w:caps w:val="0"/>
          <w:color w:val="auto"/>
          <w:spacing w:val="0"/>
          <w:sz w:val="28"/>
          <w:szCs w:val="28"/>
          <w:shd w:val="clear" w:color="auto" w:fill="FFFFFF"/>
          <w:lang w:val="en-US" w:eastAsia="zh-CN"/>
        </w:rPr>
        <w:t>67</w:t>
      </w:r>
      <w:r>
        <w:rPr>
          <w:rFonts w:hint="eastAsia" w:ascii="仿宋" w:hAnsi="仿宋" w:eastAsia="仿宋" w:cs="仿宋"/>
          <w:i w:val="0"/>
          <w:iCs w:val="0"/>
          <w:caps w:val="0"/>
          <w:color w:val="auto"/>
          <w:spacing w:val="0"/>
          <w:sz w:val="28"/>
          <w:szCs w:val="28"/>
          <w:shd w:val="clear" w:color="auto" w:fill="FFFFFF"/>
        </w:rPr>
        <w:t>万元，养殖业险种综合赔付率</w:t>
      </w:r>
      <w:r>
        <w:rPr>
          <w:rFonts w:hint="eastAsia" w:ascii="仿宋" w:hAnsi="仿宋" w:eastAsia="仿宋" w:cs="仿宋"/>
          <w:i w:val="0"/>
          <w:iCs w:val="0"/>
          <w:caps w:val="0"/>
          <w:color w:val="auto"/>
          <w:spacing w:val="0"/>
          <w:sz w:val="28"/>
          <w:szCs w:val="28"/>
          <w:shd w:val="clear" w:color="auto" w:fill="FFFFFF"/>
          <w:lang w:val="en-US" w:eastAsia="zh-CN"/>
        </w:rPr>
        <w:t>50</w:t>
      </w:r>
      <w:r>
        <w:rPr>
          <w:rFonts w:hint="eastAsia" w:ascii="仿宋" w:hAnsi="仿宋" w:eastAsia="仿宋" w:cs="仿宋"/>
          <w:i w:val="0"/>
          <w:iCs w:val="0"/>
          <w:caps w:val="0"/>
          <w:color w:val="auto"/>
          <w:spacing w:val="0"/>
          <w:sz w:val="28"/>
          <w:szCs w:val="28"/>
          <w:shd w:val="clear" w:color="auto" w:fill="FFFFFF"/>
        </w:rPr>
        <w:t>%，</w:t>
      </w:r>
      <w:r>
        <w:rPr>
          <w:rFonts w:hint="eastAsia" w:ascii="仿宋" w:hAnsi="仿宋" w:eastAsia="仿宋" w:cs="仿宋"/>
          <w:i w:val="0"/>
          <w:iCs w:val="0"/>
          <w:caps w:val="0"/>
          <w:color w:val="auto"/>
          <w:spacing w:val="0"/>
          <w:sz w:val="28"/>
          <w:szCs w:val="28"/>
          <w:shd w:val="clear" w:color="auto" w:fill="FFFFFF"/>
          <w:lang w:val="en-US" w:eastAsia="zh-CN"/>
        </w:rPr>
        <w:t>其中</w:t>
      </w:r>
      <w:r>
        <w:rPr>
          <w:rFonts w:hint="eastAsia" w:ascii="仿宋" w:hAnsi="仿宋" w:eastAsia="仿宋" w:cs="仿宋"/>
          <w:i w:val="0"/>
          <w:iCs w:val="0"/>
          <w:caps w:val="0"/>
          <w:color w:val="auto"/>
          <w:spacing w:val="0"/>
          <w:sz w:val="28"/>
          <w:szCs w:val="28"/>
          <w:shd w:val="clear" w:color="auto" w:fill="FFFFFF"/>
        </w:rPr>
        <w:t>：能繁母猪保险受理案件</w:t>
      </w:r>
      <w:r>
        <w:rPr>
          <w:rFonts w:hint="eastAsia" w:ascii="仿宋" w:hAnsi="仿宋" w:eastAsia="仿宋" w:cs="仿宋"/>
          <w:i w:val="0"/>
          <w:iCs w:val="0"/>
          <w:caps w:val="0"/>
          <w:color w:val="auto"/>
          <w:spacing w:val="0"/>
          <w:sz w:val="28"/>
          <w:szCs w:val="28"/>
          <w:shd w:val="clear" w:color="auto" w:fill="FFFFFF"/>
          <w:lang w:val="en-US" w:eastAsia="zh-CN"/>
        </w:rPr>
        <w:t>36</w:t>
      </w:r>
      <w:r>
        <w:rPr>
          <w:rFonts w:hint="eastAsia" w:ascii="仿宋" w:hAnsi="仿宋" w:eastAsia="仿宋" w:cs="仿宋"/>
          <w:i w:val="0"/>
          <w:iCs w:val="0"/>
          <w:caps w:val="0"/>
          <w:color w:val="auto"/>
          <w:spacing w:val="0"/>
          <w:sz w:val="28"/>
          <w:szCs w:val="28"/>
          <w:shd w:val="clear" w:color="auto" w:fill="FFFFFF"/>
        </w:rPr>
        <w:t>起，受灾农户</w:t>
      </w:r>
      <w:r>
        <w:rPr>
          <w:rFonts w:hint="eastAsia" w:ascii="仿宋" w:hAnsi="仿宋" w:eastAsia="仿宋" w:cs="仿宋"/>
          <w:i w:val="0"/>
          <w:iCs w:val="0"/>
          <w:caps w:val="0"/>
          <w:color w:val="auto"/>
          <w:spacing w:val="0"/>
          <w:sz w:val="28"/>
          <w:szCs w:val="28"/>
          <w:shd w:val="clear" w:color="auto" w:fill="FFFFFF"/>
          <w:lang w:val="en-US" w:eastAsia="zh-CN"/>
        </w:rPr>
        <w:t>69</w:t>
      </w:r>
      <w:r>
        <w:rPr>
          <w:rFonts w:hint="eastAsia" w:ascii="仿宋" w:hAnsi="仿宋" w:eastAsia="仿宋" w:cs="仿宋"/>
          <w:i w:val="0"/>
          <w:iCs w:val="0"/>
          <w:caps w:val="0"/>
          <w:color w:val="auto"/>
          <w:spacing w:val="0"/>
          <w:sz w:val="28"/>
          <w:szCs w:val="28"/>
          <w:shd w:val="clear" w:color="auto" w:fill="FFFFFF"/>
        </w:rPr>
        <w:t>户</w:t>
      </w:r>
      <w:r>
        <w:rPr>
          <w:rFonts w:hint="eastAsia" w:ascii="仿宋" w:hAnsi="仿宋" w:eastAsia="仿宋" w:cs="仿宋"/>
          <w:i w:val="0"/>
          <w:iCs w:val="0"/>
          <w:caps w:val="0"/>
          <w:color w:val="auto"/>
          <w:spacing w:val="0"/>
          <w:sz w:val="28"/>
          <w:szCs w:val="28"/>
          <w:shd w:val="clear" w:color="auto" w:fill="FFFFFF"/>
          <w:lang w:val="en-US" w:eastAsia="zh-CN"/>
        </w:rPr>
        <w:t>次</w:t>
      </w:r>
      <w:r>
        <w:rPr>
          <w:rFonts w:hint="eastAsia" w:ascii="仿宋" w:hAnsi="仿宋" w:eastAsia="仿宋" w:cs="仿宋"/>
          <w:i w:val="0"/>
          <w:iCs w:val="0"/>
          <w:caps w:val="0"/>
          <w:color w:val="auto"/>
          <w:spacing w:val="0"/>
          <w:sz w:val="28"/>
          <w:szCs w:val="28"/>
          <w:shd w:val="clear" w:color="auto" w:fill="FFFFFF"/>
        </w:rPr>
        <w:t>，理赔数量</w:t>
      </w:r>
      <w:r>
        <w:rPr>
          <w:rFonts w:hint="eastAsia" w:ascii="仿宋" w:hAnsi="仿宋" w:eastAsia="仿宋" w:cs="仿宋"/>
          <w:i w:val="0"/>
          <w:iCs w:val="0"/>
          <w:caps w:val="0"/>
          <w:color w:val="auto"/>
          <w:spacing w:val="0"/>
          <w:sz w:val="28"/>
          <w:szCs w:val="28"/>
          <w:shd w:val="clear" w:color="auto" w:fill="FFFFFF"/>
          <w:lang w:val="en-US" w:eastAsia="zh-CN"/>
        </w:rPr>
        <w:t>36</w:t>
      </w:r>
      <w:r>
        <w:rPr>
          <w:rFonts w:hint="eastAsia" w:ascii="仿宋" w:hAnsi="仿宋" w:eastAsia="仿宋" w:cs="仿宋"/>
          <w:i w:val="0"/>
          <w:iCs w:val="0"/>
          <w:caps w:val="0"/>
          <w:color w:val="auto"/>
          <w:spacing w:val="0"/>
          <w:sz w:val="28"/>
          <w:szCs w:val="28"/>
          <w:shd w:val="clear" w:color="auto" w:fill="FFFFFF"/>
        </w:rPr>
        <w:t>头，赔款金额</w:t>
      </w:r>
      <w:r>
        <w:rPr>
          <w:rFonts w:hint="eastAsia" w:ascii="仿宋" w:hAnsi="仿宋" w:eastAsia="仿宋" w:cs="仿宋"/>
          <w:i w:val="0"/>
          <w:iCs w:val="0"/>
          <w:caps w:val="0"/>
          <w:color w:val="auto"/>
          <w:spacing w:val="0"/>
          <w:sz w:val="28"/>
          <w:szCs w:val="28"/>
          <w:shd w:val="clear" w:color="auto" w:fill="FFFFFF"/>
          <w:lang w:val="en-US" w:eastAsia="zh-CN"/>
        </w:rPr>
        <w:t>5.4</w:t>
      </w:r>
      <w:r>
        <w:rPr>
          <w:rFonts w:hint="eastAsia" w:ascii="仿宋" w:hAnsi="仿宋" w:eastAsia="仿宋" w:cs="仿宋"/>
          <w:i w:val="0"/>
          <w:iCs w:val="0"/>
          <w:caps w:val="0"/>
          <w:color w:val="auto"/>
          <w:spacing w:val="0"/>
          <w:sz w:val="28"/>
          <w:szCs w:val="28"/>
          <w:shd w:val="clear" w:color="auto" w:fill="FFFFFF"/>
        </w:rPr>
        <w:t>万元；育肥猪保险受理案件</w:t>
      </w:r>
      <w:r>
        <w:rPr>
          <w:rFonts w:hint="eastAsia" w:ascii="仿宋" w:hAnsi="仿宋" w:eastAsia="仿宋" w:cs="仿宋"/>
          <w:i w:val="0"/>
          <w:iCs w:val="0"/>
          <w:caps w:val="0"/>
          <w:color w:val="auto"/>
          <w:spacing w:val="0"/>
          <w:sz w:val="28"/>
          <w:szCs w:val="28"/>
          <w:shd w:val="clear" w:color="auto" w:fill="FFFFFF"/>
          <w:lang w:val="en-US" w:eastAsia="zh-CN"/>
        </w:rPr>
        <w:t>130</w:t>
      </w:r>
      <w:r>
        <w:rPr>
          <w:rFonts w:hint="eastAsia" w:ascii="仿宋" w:hAnsi="仿宋" w:eastAsia="仿宋" w:cs="仿宋"/>
          <w:i w:val="0"/>
          <w:iCs w:val="0"/>
          <w:caps w:val="0"/>
          <w:color w:val="auto"/>
          <w:spacing w:val="0"/>
          <w:sz w:val="28"/>
          <w:szCs w:val="28"/>
          <w:shd w:val="clear" w:color="auto" w:fill="FFFFFF"/>
        </w:rPr>
        <w:t>起，受灾农户</w:t>
      </w:r>
      <w:r>
        <w:rPr>
          <w:rFonts w:hint="eastAsia" w:ascii="仿宋" w:hAnsi="仿宋" w:eastAsia="仿宋" w:cs="仿宋"/>
          <w:i w:val="0"/>
          <w:iCs w:val="0"/>
          <w:caps w:val="0"/>
          <w:color w:val="auto"/>
          <w:spacing w:val="0"/>
          <w:sz w:val="28"/>
          <w:szCs w:val="28"/>
          <w:shd w:val="clear" w:color="auto" w:fill="FFFFFF"/>
          <w:lang w:val="en-US" w:eastAsia="zh-CN"/>
        </w:rPr>
        <w:t>9</w:t>
      </w:r>
      <w:r>
        <w:rPr>
          <w:rFonts w:hint="eastAsia" w:ascii="仿宋" w:hAnsi="仿宋" w:eastAsia="仿宋" w:cs="仿宋"/>
          <w:i w:val="0"/>
          <w:iCs w:val="0"/>
          <w:caps w:val="0"/>
          <w:color w:val="auto"/>
          <w:spacing w:val="0"/>
          <w:sz w:val="28"/>
          <w:szCs w:val="28"/>
          <w:shd w:val="clear" w:color="auto" w:fill="FFFFFF"/>
        </w:rPr>
        <w:t>户</w:t>
      </w:r>
      <w:r>
        <w:rPr>
          <w:rFonts w:hint="eastAsia" w:ascii="仿宋" w:hAnsi="仿宋" w:eastAsia="仿宋" w:cs="仿宋"/>
          <w:i w:val="0"/>
          <w:iCs w:val="0"/>
          <w:caps w:val="0"/>
          <w:color w:val="auto"/>
          <w:spacing w:val="0"/>
          <w:sz w:val="28"/>
          <w:szCs w:val="28"/>
          <w:shd w:val="clear" w:color="auto" w:fill="FFFFFF"/>
          <w:lang w:val="en-US" w:eastAsia="zh-CN"/>
        </w:rPr>
        <w:t>次</w:t>
      </w:r>
      <w:r>
        <w:rPr>
          <w:rFonts w:hint="eastAsia" w:ascii="仿宋" w:hAnsi="仿宋" w:eastAsia="仿宋" w:cs="仿宋"/>
          <w:i w:val="0"/>
          <w:iCs w:val="0"/>
          <w:caps w:val="0"/>
          <w:color w:val="auto"/>
          <w:spacing w:val="0"/>
          <w:sz w:val="28"/>
          <w:szCs w:val="28"/>
          <w:shd w:val="clear" w:color="auto" w:fill="FFFFFF"/>
        </w:rPr>
        <w:t>，理赔数量</w:t>
      </w:r>
      <w:r>
        <w:rPr>
          <w:rFonts w:hint="eastAsia" w:ascii="仿宋" w:hAnsi="仿宋" w:eastAsia="仿宋" w:cs="仿宋"/>
          <w:i w:val="0"/>
          <w:iCs w:val="0"/>
          <w:caps w:val="0"/>
          <w:color w:val="auto"/>
          <w:spacing w:val="0"/>
          <w:sz w:val="28"/>
          <w:szCs w:val="28"/>
          <w:shd w:val="clear" w:color="auto" w:fill="FFFFFF"/>
          <w:lang w:val="en-US" w:eastAsia="zh-CN"/>
        </w:rPr>
        <w:t>774</w:t>
      </w:r>
      <w:r>
        <w:rPr>
          <w:rFonts w:hint="eastAsia" w:ascii="仿宋" w:hAnsi="仿宋" w:eastAsia="仿宋" w:cs="仿宋"/>
          <w:i w:val="0"/>
          <w:iCs w:val="0"/>
          <w:caps w:val="0"/>
          <w:color w:val="auto"/>
          <w:spacing w:val="0"/>
          <w:sz w:val="28"/>
          <w:szCs w:val="28"/>
          <w:shd w:val="clear" w:color="auto" w:fill="FFFFFF"/>
        </w:rPr>
        <w:t>头，赔款金额</w:t>
      </w:r>
      <w:r>
        <w:rPr>
          <w:rFonts w:hint="eastAsia" w:ascii="仿宋" w:hAnsi="仿宋" w:eastAsia="仿宋" w:cs="仿宋"/>
          <w:i w:val="0"/>
          <w:iCs w:val="0"/>
          <w:caps w:val="0"/>
          <w:color w:val="auto"/>
          <w:spacing w:val="0"/>
          <w:sz w:val="28"/>
          <w:szCs w:val="28"/>
          <w:shd w:val="clear" w:color="auto" w:fill="FFFFFF"/>
          <w:lang w:val="en-US" w:eastAsia="zh-CN"/>
        </w:rPr>
        <w:t>62</w:t>
      </w:r>
      <w:r>
        <w:rPr>
          <w:rFonts w:hint="eastAsia" w:ascii="仿宋" w:hAnsi="仿宋" w:eastAsia="仿宋" w:cs="仿宋"/>
          <w:i w:val="0"/>
          <w:iCs w:val="0"/>
          <w:caps w:val="0"/>
          <w:color w:val="auto"/>
          <w:spacing w:val="0"/>
          <w:sz w:val="28"/>
          <w:szCs w:val="28"/>
          <w:shd w:val="clear" w:color="auto" w:fill="FFFFFF"/>
        </w:rPr>
        <w:t>万元</w:t>
      </w:r>
      <w:r>
        <w:rPr>
          <w:rFonts w:hint="eastAsia" w:ascii="仿宋" w:hAnsi="仿宋" w:eastAsia="仿宋" w:cs="仿宋"/>
          <w:i w:val="0"/>
          <w:iCs w:val="0"/>
          <w:caps w:val="0"/>
          <w:color w:val="auto"/>
          <w:spacing w:val="0"/>
          <w:sz w:val="28"/>
          <w:szCs w:val="28"/>
          <w:shd w:val="clear" w:color="auto" w:fill="FFFFFF"/>
          <w:lang w:eastAsia="zh-CN"/>
        </w:rPr>
        <w:t>。</w:t>
      </w:r>
    </w:p>
    <w:p>
      <w:pPr>
        <w:keepNext w:val="0"/>
        <w:keepLines w:val="0"/>
        <w:pageBreakBefore w:val="0"/>
        <w:widowControl w:val="0"/>
        <w:kinsoku/>
        <w:wordWrap/>
        <w:overflowPunct w:val="0"/>
        <w:topLinePunct w:val="0"/>
        <w:autoSpaceDE/>
        <w:autoSpaceDN/>
        <w:bidi w:val="0"/>
        <w:spacing w:beforeAutospacing="0" w:afterAutospacing="0" w:line="540" w:lineRule="exact"/>
        <w:ind w:leftChars="0" w:firstLine="562" w:firstLineChars="200"/>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四、项目绩效情况</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_GB2312" w:hAnsi="微软雅黑" w:eastAsia="仿宋_GB2312" w:cs="仿宋_GB2312"/>
          <w:i w:val="0"/>
          <w:iCs w:val="0"/>
          <w:caps w:val="0"/>
          <w:color w:val="auto"/>
          <w:spacing w:val="0"/>
          <w:sz w:val="28"/>
          <w:szCs w:val="28"/>
          <w:shd w:val="clear" w:color="auto" w:fill="FFFFFF"/>
        </w:rPr>
      </w:pPr>
      <w:r>
        <w:rPr>
          <w:rFonts w:hint="eastAsia" w:ascii="仿宋" w:hAnsi="仿宋" w:eastAsia="仿宋" w:cs="仿宋"/>
          <w:i w:val="0"/>
          <w:iCs w:val="0"/>
          <w:caps w:val="0"/>
          <w:color w:val="auto"/>
          <w:spacing w:val="0"/>
          <w:sz w:val="28"/>
          <w:szCs w:val="28"/>
          <w:shd w:val="clear" w:color="auto" w:fill="FFFFFF"/>
          <w:lang w:val="en-US" w:eastAsia="zh-CN"/>
        </w:rPr>
        <w:t>北塔</w:t>
      </w:r>
      <w:r>
        <w:rPr>
          <w:rFonts w:hint="eastAsia" w:ascii="仿宋" w:hAnsi="仿宋" w:eastAsia="仿宋" w:cs="仿宋"/>
          <w:i w:val="0"/>
          <w:iCs w:val="0"/>
          <w:caps w:val="0"/>
          <w:color w:val="auto"/>
          <w:spacing w:val="0"/>
          <w:sz w:val="28"/>
          <w:szCs w:val="28"/>
          <w:shd w:val="clear" w:color="auto" w:fill="FFFFFF"/>
        </w:rPr>
        <w:t>区在上报农业规模、险种之前，按照</w:t>
      </w:r>
      <w:r>
        <w:rPr>
          <w:rFonts w:hint="eastAsia" w:ascii="仿宋" w:hAnsi="仿宋" w:eastAsia="仿宋" w:cs="仿宋"/>
          <w:i w:val="0"/>
          <w:iCs w:val="0"/>
          <w:caps w:val="0"/>
          <w:color w:val="auto"/>
          <w:spacing w:val="0"/>
          <w:sz w:val="28"/>
          <w:szCs w:val="28"/>
          <w:shd w:val="clear" w:color="auto" w:fill="FFFFFF"/>
          <w:lang w:val="en-US" w:eastAsia="zh-CN"/>
        </w:rPr>
        <w:t>北塔</w:t>
      </w:r>
      <w:r>
        <w:rPr>
          <w:rFonts w:hint="eastAsia" w:ascii="仿宋" w:hAnsi="仿宋" w:eastAsia="仿宋" w:cs="仿宋"/>
          <w:i w:val="0"/>
          <w:iCs w:val="0"/>
          <w:caps w:val="0"/>
          <w:color w:val="auto"/>
          <w:spacing w:val="0"/>
          <w:sz w:val="28"/>
          <w:szCs w:val="28"/>
          <w:shd w:val="clear" w:color="auto" w:fill="FFFFFF"/>
        </w:rPr>
        <w:t>区农业农村局及畜牧水产局提供的水稻、能繁母猪、育肥猪、公益林实际面积向省财政厅上报承保规模，按省财政厅核实规模承保，遵循“政府引导、市场运作、自主自愿、协同推进”的原则，严格要求依法合规经营。</w:t>
      </w:r>
    </w:p>
    <w:p>
      <w:pPr>
        <w:keepNext w:val="0"/>
        <w:keepLines w:val="0"/>
        <w:pageBreakBefore w:val="0"/>
        <w:widowControl w:val="0"/>
        <w:kinsoku/>
        <w:wordWrap/>
        <w:overflowPunct w:val="0"/>
        <w:topLinePunct w:val="0"/>
        <w:autoSpaceDE/>
        <w:autoSpaceDN/>
        <w:bidi w:val="0"/>
        <w:spacing w:beforeAutospacing="0" w:afterAutospacing="0" w:line="540" w:lineRule="exact"/>
        <w:ind w:leftChars="0" w:firstLine="562" w:firstLineChars="200"/>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五、项目绩效完成情况及效益</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40" w:lineRule="exact"/>
        <w:ind w:firstLine="562" w:firstLineChars="200"/>
        <w:textAlignment w:val="auto"/>
        <w:outlineLvl w:val="1"/>
        <w:rPr>
          <w:rFonts w:hint="eastAsia" w:ascii="仿宋" w:hAnsi="仿宋" w:eastAsia="仿宋" w:cs="仿宋"/>
          <w:b/>
          <w:bCs/>
          <w:color w:val="auto"/>
          <w:spacing w:val="0"/>
          <w:kern w:val="2"/>
          <w:sz w:val="28"/>
          <w:szCs w:val="28"/>
          <w:lang w:val="en-US" w:eastAsia="zh-CN" w:bidi="ar-SA"/>
        </w:rPr>
      </w:pPr>
      <w:r>
        <w:rPr>
          <w:rFonts w:hint="eastAsia" w:ascii="仿宋" w:hAnsi="仿宋" w:eastAsia="仿宋" w:cs="仿宋"/>
          <w:b/>
          <w:bCs/>
          <w:color w:val="auto"/>
          <w:spacing w:val="0"/>
          <w:kern w:val="2"/>
          <w:sz w:val="28"/>
          <w:szCs w:val="28"/>
          <w:lang w:val="en-US" w:eastAsia="zh-CN" w:bidi="ar-SA"/>
        </w:rPr>
        <w:t>（一）产出指标</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40" w:lineRule="exact"/>
        <w:ind w:leftChars="0" w:firstLine="560" w:firstLineChars="200"/>
        <w:textAlignment w:val="auto"/>
        <w:rPr>
          <w:rFonts w:hint="eastAsia" w:ascii="仿宋" w:hAnsi="仿宋" w:eastAsia="仿宋" w:cs="仿宋"/>
          <w:color w:val="auto"/>
          <w:spacing w:val="0"/>
          <w:kern w:val="2"/>
          <w:sz w:val="28"/>
          <w:szCs w:val="28"/>
          <w:lang w:val="en-US" w:eastAsia="zh-CN" w:bidi="ar-SA"/>
        </w:rPr>
      </w:pPr>
      <w:r>
        <w:rPr>
          <w:rFonts w:hint="eastAsia" w:ascii="仿宋" w:hAnsi="仿宋" w:eastAsia="仿宋" w:cs="仿宋"/>
          <w:i w:val="0"/>
          <w:iCs w:val="0"/>
          <w:caps w:val="0"/>
          <w:color w:val="auto"/>
          <w:spacing w:val="0"/>
          <w:sz w:val="28"/>
          <w:szCs w:val="28"/>
          <w:shd w:val="clear" w:color="auto" w:fill="FFFFFF"/>
        </w:rPr>
        <w:t>按照省财政厅核实的规模承保，</w:t>
      </w:r>
      <w:r>
        <w:rPr>
          <w:rFonts w:hint="eastAsia" w:ascii="仿宋" w:hAnsi="仿宋" w:eastAsia="仿宋" w:cs="仿宋"/>
          <w:i w:val="0"/>
          <w:iCs w:val="0"/>
          <w:caps w:val="0"/>
          <w:color w:val="auto"/>
          <w:spacing w:val="0"/>
          <w:sz w:val="28"/>
          <w:szCs w:val="28"/>
          <w:shd w:val="clear" w:color="auto" w:fill="FFFFFF"/>
          <w:lang w:val="en-US" w:eastAsia="zh-CN"/>
        </w:rPr>
        <w:t>北塔</w:t>
      </w:r>
      <w:r>
        <w:rPr>
          <w:rFonts w:hint="eastAsia" w:ascii="仿宋" w:hAnsi="仿宋" w:eastAsia="仿宋" w:cs="仿宋"/>
          <w:i w:val="0"/>
          <w:iCs w:val="0"/>
          <w:caps w:val="0"/>
          <w:color w:val="auto"/>
          <w:spacing w:val="0"/>
          <w:sz w:val="28"/>
          <w:szCs w:val="28"/>
          <w:shd w:val="clear" w:color="auto" w:fill="FFFFFF"/>
        </w:rPr>
        <w:t>区水稻、能繁母猪、育肥猪和公益林保险基本完成承保100%。综合</w:t>
      </w:r>
      <w:r>
        <w:rPr>
          <w:rFonts w:hint="eastAsia" w:ascii="仿宋" w:hAnsi="仿宋" w:eastAsia="仿宋" w:cs="仿宋"/>
          <w:i w:val="0"/>
          <w:iCs w:val="0"/>
          <w:caps w:val="0"/>
          <w:color w:val="auto"/>
          <w:spacing w:val="0"/>
          <w:sz w:val="28"/>
          <w:szCs w:val="28"/>
          <w:shd w:val="clear" w:color="auto" w:fill="FFFFFF"/>
          <w:lang w:val="en-US" w:eastAsia="zh-CN"/>
        </w:rPr>
        <w:t>北塔</w:t>
      </w:r>
      <w:r>
        <w:rPr>
          <w:rFonts w:hint="eastAsia" w:ascii="仿宋" w:hAnsi="仿宋" w:eastAsia="仿宋" w:cs="仿宋"/>
          <w:i w:val="0"/>
          <w:iCs w:val="0"/>
          <w:caps w:val="0"/>
          <w:color w:val="auto"/>
          <w:spacing w:val="0"/>
          <w:sz w:val="28"/>
          <w:szCs w:val="28"/>
          <w:shd w:val="clear" w:color="auto" w:fill="FFFFFF"/>
        </w:rPr>
        <w:t>区实施的</w:t>
      </w:r>
      <w:r>
        <w:rPr>
          <w:rFonts w:hint="eastAsia" w:ascii="仿宋" w:hAnsi="仿宋" w:eastAsia="仿宋" w:cs="仿宋"/>
          <w:i w:val="0"/>
          <w:iCs w:val="0"/>
          <w:caps w:val="0"/>
          <w:color w:val="auto"/>
          <w:spacing w:val="0"/>
          <w:sz w:val="28"/>
          <w:szCs w:val="28"/>
          <w:shd w:val="clear" w:color="auto" w:fill="FFFFFF"/>
          <w:lang w:val="en-US" w:eastAsia="zh-CN"/>
        </w:rPr>
        <w:t>4</w:t>
      </w:r>
      <w:r>
        <w:rPr>
          <w:rFonts w:hint="eastAsia" w:ascii="仿宋" w:hAnsi="仿宋" w:eastAsia="仿宋" w:cs="仿宋"/>
          <w:i w:val="0"/>
          <w:iCs w:val="0"/>
          <w:caps w:val="0"/>
          <w:color w:val="auto"/>
          <w:spacing w:val="0"/>
          <w:sz w:val="28"/>
          <w:szCs w:val="28"/>
          <w:shd w:val="clear" w:color="auto" w:fill="FFFFFF"/>
        </w:rPr>
        <w:t>个险种预算下达情况和实际承保情况，202</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年度承保数量完成率为</w:t>
      </w:r>
      <w:r>
        <w:rPr>
          <w:rFonts w:hint="eastAsia" w:ascii="仿宋" w:hAnsi="仿宋" w:eastAsia="仿宋" w:cs="仿宋"/>
          <w:i w:val="0"/>
          <w:iCs w:val="0"/>
          <w:caps w:val="0"/>
          <w:color w:val="auto"/>
          <w:spacing w:val="0"/>
          <w:sz w:val="28"/>
          <w:szCs w:val="28"/>
          <w:shd w:val="clear" w:color="auto" w:fill="FFFFFF"/>
          <w:lang w:val="en-US" w:eastAsia="zh-CN"/>
        </w:rPr>
        <w:t>100</w:t>
      </w:r>
      <w:r>
        <w:rPr>
          <w:rFonts w:hint="eastAsia" w:ascii="仿宋" w:hAnsi="仿宋" w:eastAsia="仿宋" w:cs="仿宋"/>
          <w:i w:val="0"/>
          <w:iCs w:val="0"/>
          <w:caps w:val="0"/>
          <w:color w:val="auto"/>
          <w:spacing w:val="0"/>
          <w:sz w:val="28"/>
          <w:szCs w:val="28"/>
          <w:shd w:val="clear" w:color="auto" w:fill="FFFFFF"/>
        </w:rPr>
        <w:t>%。中央财政保费补贴比例</w:t>
      </w:r>
      <w:r>
        <w:rPr>
          <w:rFonts w:hint="eastAsia" w:ascii="仿宋" w:hAnsi="仿宋" w:eastAsia="仿宋" w:cs="仿宋"/>
          <w:i w:val="0"/>
          <w:iCs w:val="0"/>
          <w:caps w:val="0"/>
          <w:color w:val="auto"/>
          <w:spacing w:val="0"/>
          <w:sz w:val="28"/>
          <w:szCs w:val="28"/>
          <w:shd w:val="clear" w:color="auto" w:fill="FFFFFF"/>
          <w:lang w:val="en-US" w:eastAsia="zh-CN"/>
        </w:rPr>
        <w:t>为48.9%，省级财政保费补贴比例为25%，区级财政保费补贴比例为10%。粮食作物投保面积覆盖面≥85%。</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40" w:lineRule="exact"/>
        <w:ind w:firstLine="562" w:firstLineChars="200"/>
        <w:textAlignment w:val="auto"/>
        <w:outlineLvl w:val="1"/>
        <w:rPr>
          <w:rFonts w:hint="eastAsia" w:ascii="仿宋" w:hAnsi="仿宋" w:eastAsia="仿宋" w:cs="仿宋"/>
          <w:b/>
          <w:bCs/>
          <w:color w:val="auto"/>
          <w:spacing w:val="0"/>
          <w:kern w:val="2"/>
          <w:sz w:val="28"/>
          <w:szCs w:val="28"/>
          <w:lang w:val="en-US" w:eastAsia="zh-CN" w:bidi="ar-SA"/>
        </w:rPr>
      </w:pPr>
      <w:r>
        <w:rPr>
          <w:rFonts w:hint="eastAsia" w:ascii="仿宋" w:hAnsi="仿宋" w:eastAsia="仿宋" w:cs="仿宋"/>
          <w:b/>
          <w:bCs/>
          <w:color w:val="auto"/>
          <w:spacing w:val="0"/>
          <w:kern w:val="2"/>
          <w:sz w:val="28"/>
          <w:szCs w:val="28"/>
          <w:lang w:val="en-US" w:eastAsia="zh-CN" w:bidi="ar-SA"/>
        </w:rPr>
        <w:t>（二）资金管理指标</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2022年政策性农业保险补贴资金按规定足额拨付。</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40" w:lineRule="exact"/>
        <w:ind w:firstLine="562" w:firstLineChars="200"/>
        <w:textAlignment w:val="auto"/>
        <w:outlineLvl w:val="1"/>
        <w:rPr>
          <w:rFonts w:hint="eastAsia" w:ascii="仿宋" w:hAnsi="仿宋" w:eastAsia="仿宋" w:cs="仿宋"/>
          <w:b/>
          <w:bCs/>
          <w:color w:val="auto"/>
          <w:spacing w:val="0"/>
          <w:kern w:val="2"/>
          <w:sz w:val="28"/>
          <w:szCs w:val="28"/>
          <w:lang w:val="en-US" w:eastAsia="zh-CN" w:bidi="ar-SA"/>
        </w:rPr>
      </w:pPr>
      <w:r>
        <w:rPr>
          <w:rFonts w:hint="eastAsia" w:ascii="仿宋" w:hAnsi="仿宋" w:eastAsia="仿宋" w:cs="仿宋"/>
          <w:b/>
          <w:bCs/>
          <w:color w:val="auto"/>
          <w:spacing w:val="0"/>
          <w:kern w:val="2"/>
          <w:sz w:val="28"/>
          <w:szCs w:val="28"/>
          <w:lang w:val="en-US" w:eastAsia="zh-CN" w:bidi="ar-SA"/>
        </w:rPr>
        <w:t>（三）效益指标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i w:val="0"/>
          <w:iCs w:val="0"/>
          <w:caps w:val="0"/>
          <w:color w:val="auto"/>
          <w:spacing w:val="0"/>
          <w:sz w:val="28"/>
          <w:szCs w:val="28"/>
          <w:shd w:val="clear" w:color="auto" w:fill="FFFFFF"/>
          <w:lang w:val="en-US" w:eastAsia="zh-CN"/>
        </w:rPr>
      </w:pPr>
      <w:r>
        <w:rPr>
          <w:rFonts w:hint="eastAsia" w:ascii="仿宋" w:hAnsi="仿宋" w:eastAsia="仿宋" w:cs="仿宋"/>
          <w:i w:val="0"/>
          <w:iCs w:val="0"/>
          <w:caps w:val="0"/>
          <w:color w:val="auto"/>
          <w:spacing w:val="0"/>
          <w:sz w:val="28"/>
          <w:szCs w:val="28"/>
          <w:shd w:val="clear" w:color="auto" w:fill="FFFFFF"/>
          <w:lang w:val="en-US" w:eastAsia="zh-CN"/>
        </w:rPr>
        <w:t>2022年北塔区风险保障总额4706万元。农业保险综合费用率17%。农业保险的发展不仅体现了经济效益，同时体现了更高的社会效益，特别是发展特色农业保险，为广大种植户化解经营风险，扩大生产规模，带动更多就业，加快农业发展步伐，是广大种植户的“保护伞”和“稳定器”，经济效益明显，是加快农业发展的“有机肥”。</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40" w:lineRule="exact"/>
        <w:ind w:firstLine="562" w:firstLineChars="200"/>
        <w:textAlignment w:val="auto"/>
        <w:outlineLvl w:val="1"/>
        <w:rPr>
          <w:rFonts w:hint="eastAsia" w:ascii="仿宋" w:hAnsi="仿宋" w:eastAsia="仿宋" w:cs="仿宋"/>
          <w:b/>
          <w:bCs/>
          <w:color w:val="auto"/>
          <w:spacing w:val="0"/>
          <w:kern w:val="2"/>
          <w:sz w:val="28"/>
          <w:szCs w:val="28"/>
          <w:lang w:val="en-US" w:eastAsia="zh-CN" w:bidi="ar-SA"/>
        </w:rPr>
      </w:pPr>
      <w:r>
        <w:rPr>
          <w:rFonts w:hint="eastAsia" w:ascii="仿宋" w:hAnsi="仿宋" w:eastAsia="仿宋" w:cs="仿宋"/>
          <w:b/>
          <w:bCs/>
          <w:color w:val="auto"/>
          <w:spacing w:val="0"/>
          <w:kern w:val="2"/>
          <w:sz w:val="28"/>
          <w:szCs w:val="28"/>
          <w:lang w:val="en-US" w:eastAsia="zh-CN" w:bidi="ar-SA"/>
        </w:rPr>
        <w:t>（四）满意度指标</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40" w:lineRule="exact"/>
        <w:ind w:leftChars="0" w:right="0" w:firstLine="560" w:firstLineChars="200"/>
        <w:textAlignment w:val="auto"/>
        <w:rPr>
          <w:rFonts w:hint="eastAsia" w:ascii="仿宋" w:hAnsi="仿宋" w:eastAsia="仿宋" w:cs="仿宋"/>
          <w:color w:val="auto"/>
          <w:spacing w:val="0"/>
          <w:kern w:val="2"/>
          <w:sz w:val="28"/>
          <w:szCs w:val="28"/>
          <w:lang w:val="en-US" w:eastAsia="zh-CN" w:bidi="ar-SA"/>
        </w:rPr>
      </w:pPr>
      <w:r>
        <w:rPr>
          <w:rFonts w:hint="eastAsia" w:ascii="仿宋" w:hAnsi="仿宋" w:eastAsia="仿宋" w:cs="仿宋"/>
          <w:i w:val="0"/>
          <w:iCs w:val="0"/>
          <w:caps w:val="0"/>
          <w:color w:val="auto"/>
          <w:spacing w:val="0"/>
          <w:sz w:val="28"/>
          <w:szCs w:val="28"/>
          <w:shd w:val="clear" w:color="auto" w:fill="FFFFFF"/>
          <w:lang w:val="en-US" w:eastAsia="zh-CN"/>
        </w:rPr>
        <w:t>2022年北塔区水稻保险、育肥猪保险、能繁母猪保险由中华联合财产保险股份有限公司邵阳中心支公司承保；公益林保险由</w:t>
      </w:r>
      <w:r>
        <w:rPr>
          <w:rFonts w:hint="eastAsia" w:ascii="仿宋" w:hAnsi="仿宋" w:eastAsia="仿宋" w:cs="仿宋"/>
          <w:i w:val="0"/>
          <w:iCs w:val="0"/>
          <w:caps w:val="0"/>
          <w:color w:val="auto"/>
          <w:spacing w:val="0"/>
          <w:sz w:val="28"/>
          <w:szCs w:val="28"/>
          <w:shd w:val="clear" w:color="auto" w:fill="FFFFFF"/>
          <w:lang w:eastAsia="zh-CN"/>
        </w:rPr>
        <w:t>中国人寿财产保险股份有限公司</w:t>
      </w:r>
      <w:r>
        <w:rPr>
          <w:rFonts w:hint="eastAsia" w:ascii="仿宋" w:hAnsi="仿宋" w:eastAsia="仿宋" w:cs="仿宋"/>
          <w:i w:val="0"/>
          <w:iCs w:val="0"/>
          <w:caps w:val="0"/>
          <w:color w:val="auto"/>
          <w:spacing w:val="0"/>
          <w:sz w:val="28"/>
          <w:szCs w:val="28"/>
          <w:shd w:val="clear" w:color="auto" w:fill="FFFFFF"/>
          <w:lang w:val="en-US" w:eastAsia="zh-CN"/>
        </w:rPr>
        <w:t>邵阳市中心支公司承保。经过以问卷的方式测试，对保险公司的服务能力和满意度达98%。全年无任何投诉和上访。</w:t>
      </w:r>
    </w:p>
    <w:p>
      <w:pPr>
        <w:pStyle w:val="12"/>
        <w:keepNext w:val="0"/>
        <w:keepLines w:val="0"/>
        <w:pageBreakBefore w:val="0"/>
        <w:widowControl w:val="0"/>
        <w:numPr>
          <w:ilvl w:val="0"/>
          <w:numId w:val="0"/>
        </w:numPr>
        <w:kinsoku/>
        <w:wordWrap/>
        <w:overflowPunct w:val="0"/>
        <w:topLinePunct w:val="0"/>
        <w:autoSpaceDE/>
        <w:autoSpaceDN/>
        <w:bidi w:val="0"/>
        <w:adjustRightInd w:val="0"/>
        <w:snapToGrid/>
        <w:spacing w:beforeAutospacing="0" w:afterAutospacing="0" w:line="540" w:lineRule="exact"/>
        <w:ind w:firstLine="562" w:firstLineChars="200"/>
        <w:textAlignment w:val="auto"/>
        <w:outlineLvl w:val="1"/>
        <w:rPr>
          <w:rFonts w:hint="eastAsia" w:ascii="仿宋" w:hAnsi="仿宋" w:eastAsia="仿宋" w:cs="仿宋"/>
          <w:b/>
          <w:bCs/>
          <w:color w:val="auto"/>
          <w:spacing w:val="0"/>
          <w:kern w:val="2"/>
          <w:sz w:val="28"/>
          <w:szCs w:val="28"/>
          <w:lang w:val="en-US" w:eastAsia="zh-CN" w:bidi="ar-SA"/>
        </w:rPr>
      </w:pPr>
      <w:r>
        <w:rPr>
          <w:rFonts w:hint="eastAsia" w:ascii="仿宋" w:hAnsi="仿宋" w:eastAsia="仿宋" w:cs="仿宋"/>
          <w:b/>
          <w:bCs/>
          <w:color w:val="auto"/>
          <w:spacing w:val="0"/>
          <w:kern w:val="2"/>
          <w:sz w:val="28"/>
          <w:szCs w:val="28"/>
          <w:lang w:val="en-US" w:eastAsia="zh-CN" w:bidi="ar-SA"/>
        </w:rPr>
        <w:t>（五）社会效益</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color w:val="auto"/>
          <w:spacing w:val="0"/>
          <w:kern w:val="2"/>
          <w:sz w:val="32"/>
          <w:szCs w:val="32"/>
          <w:lang w:val="en-US" w:eastAsia="zh-CN" w:bidi="ar-SA"/>
        </w:rPr>
      </w:pPr>
      <w:r>
        <w:rPr>
          <w:rFonts w:hint="eastAsia" w:ascii="仿宋" w:hAnsi="仿宋" w:eastAsia="仿宋" w:cs="仿宋"/>
          <w:i w:val="0"/>
          <w:iCs w:val="0"/>
          <w:caps w:val="0"/>
          <w:color w:val="auto"/>
          <w:spacing w:val="0"/>
          <w:kern w:val="0"/>
          <w:sz w:val="28"/>
          <w:szCs w:val="28"/>
          <w:shd w:val="clear" w:color="auto" w:fill="FFFFFF"/>
          <w:lang w:val="en-US" w:eastAsia="zh-CN"/>
        </w:rPr>
        <w:t>引导和支持了承保区域范围大部分规模化种植户和养殖户参加农业保险，提升了农户参保积极性；大力支持了种、林、养殖业的发展，为农业生产提供了风险保障；扩大了农业保险覆盖面，并提高了风险保障水平，经过政策宣导，扩大了农业保险的知名度和影响力；稳定了农业生产，为农户提供了收入保障。严格要求保险机构做到依法合规经营，杜绝虚假承保，杜绝虚假理赔，坚决实行直赔到户；坚决按照“五公开、三到户”要求，将承保、理赔清单在村公所或人口密集区张榜公示五天以上，对举报虚假理赔的实行有奖举报，通过社会大众的监督支持，让农业保险工作更加公开化、合理化、人性化。</w:t>
      </w:r>
    </w:p>
    <w:p>
      <w:pPr>
        <w:keepNext w:val="0"/>
        <w:keepLines w:val="0"/>
        <w:pageBreakBefore w:val="0"/>
        <w:widowControl w:val="0"/>
        <w:numPr>
          <w:ilvl w:val="0"/>
          <w:numId w:val="0"/>
        </w:numPr>
        <w:tabs>
          <w:tab w:val="left" w:pos="355"/>
        </w:tabs>
        <w:kinsoku/>
        <w:wordWrap/>
        <w:overflowPunct w:val="0"/>
        <w:topLinePunct w:val="0"/>
        <w:autoSpaceDE/>
        <w:autoSpaceDN/>
        <w:bidi w:val="0"/>
        <w:spacing w:beforeAutospacing="0" w:afterAutospacing="0" w:line="540" w:lineRule="exact"/>
        <w:ind w:firstLine="562" w:firstLineChars="200"/>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六、存在问题</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1"/>
        <w:rPr>
          <w:rFonts w:hint="eastAsia" w:ascii="仿宋" w:hAnsi="仿宋" w:eastAsia="仿宋" w:cs="仿宋"/>
          <w:b/>
          <w:bCs/>
          <w:i w:val="0"/>
          <w:iCs w:val="0"/>
          <w:caps w:val="0"/>
          <w:color w:val="auto"/>
          <w:spacing w:val="0"/>
          <w:kern w:val="0"/>
          <w:sz w:val="28"/>
          <w:szCs w:val="28"/>
          <w:shd w:val="clear" w:color="auto" w:fill="FFFFFF"/>
          <w:lang w:val="en-US" w:eastAsia="zh-CN"/>
        </w:rPr>
      </w:pPr>
      <w:r>
        <w:rPr>
          <w:rFonts w:hint="eastAsia" w:ascii="仿宋" w:hAnsi="仿宋" w:eastAsia="仿宋" w:cs="仿宋"/>
          <w:b/>
          <w:bCs/>
          <w:i w:val="0"/>
          <w:iCs w:val="0"/>
          <w:caps w:val="0"/>
          <w:color w:val="auto"/>
          <w:spacing w:val="0"/>
          <w:kern w:val="0"/>
          <w:sz w:val="28"/>
          <w:szCs w:val="28"/>
          <w:shd w:val="clear" w:color="auto" w:fill="FFFFFF"/>
          <w:lang w:val="en-US" w:eastAsia="zh-CN"/>
        </w:rPr>
        <w:t>（一）预算数据不严谨</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i w:val="0"/>
          <w:iCs w:val="0"/>
          <w:caps w:val="0"/>
          <w:color w:val="auto"/>
          <w:spacing w:val="0"/>
          <w:kern w:val="0"/>
          <w:sz w:val="28"/>
          <w:szCs w:val="28"/>
          <w:shd w:val="clear" w:color="auto" w:fill="FFFFFF"/>
          <w:lang w:val="en-US" w:eastAsia="zh-CN"/>
        </w:rPr>
        <w:t>邵阳市北塔区自然资源局提供的《邵阳市北塔区财政局 关于2022年度农业保险工作安排的报告》中公益林保费金额为2.2万元，《2022年农业保险财政保费补贴结算表》中公益林保费金额为2.352万元，实际保费金额为2.352万元。</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i w:val="0"/>
          <w:iCs w:val="0"/>
          <w:caps w:val="0"/>
          <w:color w:val="auto"/>
          <w:spacing w:val="0"/>
          <w:kern w:val="0"/>
          <w:sz w:val="28"/>
          <w:szCs w:val="28"/>
          <w:shd w:val="clear" w:color="auto" w:fill="FFFFFF"/>
          <w:lang w:val="en-US" w:eastAsia="zh-CN"/>
        </w:rPr>
        <w:t>邵阳市北塔区自然资源局提供的《2022年省级财政农业保险保费补贴“二上”预算明细表》中公益林保险的承保公司为中华联合，实际承保公司为</w:t>
      </w:r>
      <w:r>
        <w:rPr>
          <w:rFonts w:hint="eastAsia" w:ascii="仿宋" w:hAnsi="仿宋" w:eastAsia="仿宋" w:cs="仿宋"/>
          <w:i w:val="0"/>
          <w:iCs w:val="0"/>
          <w:caps w:val="0"/>
          <w:color w:val="auto"/>
          <w:spacing w:val="0"/>
          <w:sz w:val="28"/>
          <w:szCs w:val="28"/>
          <w:shd w:val="clear" w:color="auto" w:fill="FFFFFF"/>
          <w:lang w:eastAsia="zh-CN"/>
        </w:rPr>
        <w:t>中国人寿财产保险股份有限公司</w:t>
      </w:r>
      <w:r>
        <w:rPr>
          <w:rFonts w:hint="eastAsia" w:ascii="仿宋" w:hAnsi="仿宋" w:eastAsia="仿宋" w:cs="仿宋"/>
          <w:i w:val="0"/>
          <w:iCs w:val="0"/>
          <w:caps w:val="0"/>
          <w:color w:val="auto"/>
          <w:spacing w:val="0"/>
          <w:sz w:val="28"/>
          <w:szCs w:val="28"/>
          <w:shd w:val="clear" w:color="auto" w:fill="FFFFFF"/>
          <w:lang w:val="en-US" w:eastAsia="zh-CN"/>
        </w:rPr>
        <w:t>邵阳市中心支公司。</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1"/>
        <w:rPr>
          <w:rFonts w:hint="eastAsia" w:ascii="仿宋" w:hAnsi="仿宋" w:eastAsia="仿宋" w:cs="仿宋"/>
          <w:b/>
          <w:bCs/>
          <w:i w:val="0"/>
          <w:iCs w:val="0"/>
          <w:caps w:val="0"/>
          <w:color w:val="auto"/>
          <w:spacing w:val="0"/>
          <w:kern w:val="0"/>
          <w:sz w:val="28"/>
          <w:szCs w:val="28"/>
          <w:shd w:val="clear" w:color="auto" w:fill="FFFFFF"/>
          <w:lang w:val="en-US" w:eastAsia="zh-CN"/>
        </w:rPr>
      </w:pPr>
      <w:r>
        <w:rPr>
          <w:rFonts w:hint="eastAsia" w:ascii="仿宋" w:hAnsi="仿宋" w:eastAsia="仿宋" w:cs="仿宋"/>
          <w:b/>
          <w:bCs/>
          <w:i w:val="0"/>
          <w:iCs w:val="0"/>
          <w:caps w:val="0"/>
          <w:color w:val="auto"/>
          <w:spacing w:val="0"/>
          <w:kern w:val="0"/>
          <w:sz w:val="28"/>
          <w:szCs w:val="28"/>
          <w:shd w:val="clear" w:color="auto" w:fill="FFFFFF"/>
          <w:lang w:val="en-US" w:eastAsia="zh-CN"/>
        </w:rPr>
        <w:t>（二）资料提供不完整</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i w:val="0"/>
          <w:iCs w:val="0"/>
          <w:caps w:val="0"/>
          <w:color w:val="auto"/>
          <w:spacing w:val="0"/>
          <w:kern w:val="0"/>
          <w:sz w:val="28"/>
          <w:szCs w:val="28"/>
          <w:shd w:val="clear" w:color="auto" w:fill="FFFFFF"/>
          <w:lang w:val="en-US" w:eastAsia="zh-CN"/>
        </w:rPr>
        <w:t>由于农业保险合同是市里统一签订，邵阳市北塔区农业农村水利局没有水稻保险合同。</w:t>
      </w:r>
    </w:p>
    <w:p>
      <w:pPr>
        <w:keepNext w:val="0"/>
        <w:keepLines w:val="0"/>
        <w:pageBreakBefore w:val="0"/>
        <w:widowControl w:val="0"/>
        <w:numPr>
          <w:ilvl w:val="0"/>
          <w:numId w:val="0"/>
        </w:numPr>
        <w:kinsoku/>
        <w:wordWrap/>
        <w:overflowPunct w:val="0"/>
        <w:topLinePunct w:val="0"/>
        <w:autoSpaceDE/>
        <w:autoSpaceDN/>
        <w:bidi w:val="0"/>
        <w:spacing w:beforeAutospacing="0" w:afterAutospacing="0" w:line="540" w:lineRule="exact"/>
        <w:ind w:firstLine="562" w:firstLineChars="200"/>
        <w:textAlignment w:val="auto"/>
        <w:outlineLvl w:val="0"/>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七、相关建议</w:t>
      </w:r>
    </w:p>
    <w:p>
      <w:pPr>
        <w:keepNext w:val="0"/>
        <w:keepLines w:val="0"/>
        <w:pageBreakBefore w:val="0"/>
        <w:widowControl w:val="0"/>
        <w:tabs>
          <w:tab w:val="left" w:pos="437"/>
        </w:tabs>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1"/>
        <w:rPr>
          <w:rFonts w:hint="eastAsia" w:ascii="仿宋" w:hAnsi="仿宋" w:eastAsia="仿宋" w:cs="仿宋"/>
          <w:b/>
          <w:bCs/>
          <w:i w:val="0"/>
          <w:iCs w:val="0"/>
          <w:caps w:val="0"/>
          <w:color w:val="auto"/>
          <w:spacing w:val="0"/>
          <w:kern w:val="0"/>
          <w:sz w:val="28"/>
          <w:szCs w:val="28"/>
          <w:shd w:val="clear" w:color="auto" w:fill="FFFFFF"/>
          <w:lang w:val="en-US" w:eastAsia="zh-CN"/>
        </w:rPr>
      </w:pPr>
      <w:r>
        <w:rPr>
          <w:rFonts w:hint="eastAsia" w:ascii="仿宋" w:hAnsi="仿宋" w:eastAsia="仿宋" w:cs="仿宋"/>
          <w:b/>
          <w:bCs/>
          <w:i w:val="0"/>
          <w:iCs w:val="0"/>
          <w:caps w:val="0"/>
          <w:color w:val="auto"/>
          <w:spacing w:val="0"/>
          <w:kern w:val="0"/>
          <w:sz w:val="28"/>
          <w:szCs w:val="28"/>
          <w:shd w:val="clear" w:color="auto" w:fill="FFFFFF"/>
          <w:lang w:val="en-US" w:eastAsia="zh-CN"/>
        </w:rPr>
        <w:t>（一）加强预算管理</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i w:val="0"/>
          <w:iCs w:val="0"/>
          <w:caps w:val="0"/>
          <w:color w:val="auto"/>
          <w:spacing w:val="0"/>
          <w:kern w:val="0"/>
          <w:sz w:val="28"/>
          <w:szCs w:val="28"/>
          <w:shd w:val="clear" w:color="auto" w:fill="FFFFFF"/>
          <w:lang w:val="en-US" w:eastAsia="zh-CN"/>
        </w:rPr>
        <w:t>重视预算编制、绩效目标管理工作，进一步增强绩效管理意识。加强预算管理办法的培训与学习，提高预算编制的全面性、准确性，并严格按预算执行。进一步完善和细化保险责任。</w:t>
      </w:r>
    </w:p>
    <w:p>
      <w:pPr>
        <w:keepNext w:val="0"/>
        <w:keepLines w:val="0"/>
        <w:pageBreakBefore w:val="0"/>
        <w:widowControl w:val="0"/>
        <w:numPr>
          <w:ilvl w:val="0"/>
          <w:numId w:val="0"/>
        </w:numPr>
        <w:tabs>
          <w:tab w:val="left" w:pos="437"/>
        </w:tabs>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1"/>
        <w:rPr>
          <w:rFonts w:hint="eastAsia" w:ascii="仿宋" w:hAnsi="仿宋" w:eastAsia="仿宋" w:cs="仿宋"/>
          <w:b/>
          <w:bCs/>
          <w:i w:val="0"/>
          <w:iCs w:val="0"/>
          <w:caps w:val="0"/>
          <w:color w:val="auto"/>
          <w:spacing w:val="0"/>
          <w:kern w:val="0"/>
          <w:sz w:val="28"/>
          <w:szCs w:val="28"/>
          <w:shd w:val="clear" w:color="auto" w:fill="FFFFFF"/>
          <w:lang w:val="en-US" w:eastAsia="zh-CN"/>
        </w:rPr>
      </w:pPr>
      <w:r>
        <w:rPr>
          <w:rFonts w:hint="eastAsia" w:ascii="仿宋" w:hAnsi="仿宋" w:eastAsia="仿宋" w:cs="仿宋"/>
          <w:b/>
          <w:bCs/>
          <w:i w:val="0"/>
          <w:iCs w:val="0"/>
          <w:caps w:val="0"/>
          <w:color w:val="auto"/>
          <w:spacing w:val="0"/>
          <w:kern w:val="0"/>
          <w:sz w:val="28"/>
          <w:szCs w:val="28"/>
          <w:shd w:val="clear" w:color="auto" w:fill="FFFFFF"/>
          <w:lang w:val="en-US" w:eastAsia="zh-CN"/>
        </w:rPr>
        <w:t>（二）完善资料管理制度</w:t>
      </w:r>
    </w:p>
    <w:p>
      <w:pPr>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i w:val="0"/>
          <w:iCs w:val="0"/>
          <w:caps w:val="0"/>
          <w:color w:val="auto"/>
          <w:spacing w:val="0"/>
          <w:kern w:val="0"/>
          <w:sz w:val="28"/>
          <w:szCs w:val="28"/>
          <w:shd w:val="clear" w:color="auto" w:fill="FFFFFF"/>
          <w:lang w:val="en-US" w:eastAsia="zh-CN"/>
        </w:rPr>
        <w:t>妥善保管相关资料，进一步完善和细化保险责任。</w:t>
      </w:r>
    </w:p>
    <w:p>
      <w:pPr>
        <w:keepNext w:val="0"/>
        <w:keepLines w:val="0"/>
        <w:pageBreakBefore w:val="0"/>
        <w:widowControl w:val="0"/>
        <w:numPr>
          <w:ilvl w:val="0"/>
          <w:numId w:val="0"/>
        </w:numPr>
        <w:kinsoku/>
        <w:wordWrap/>
        <w:overflowPunct w:val="0"/>
        <w:topLinePunct w:val="0"/>
        <w:autoSpaceDE/>
        <w:autoSpaceDN/>
        <w:bidi w:val="0"/>
        <w:spacing w:beforeAutospacing="0" w:afterAutospacing="0" w:line="540" w:lineRule="exact"/>
        <w:ind w:firstLine="562" w:firstLineChars="200"/>
        <w:textAlignment w:val="auto"/>
        <w:outlineLvl w:val="0"/>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八、</w:t>
      </w:r>
      <w:r>
        <w:rPr>
          <w:rFonts w:hint="eastAsia" w:ascii="宋体" w:hAnsi="宋体" w:eastAsia="宋体" w:cs="宋体"/>
          <w:b/>
          <w:bCs/>
          <w:color w:val="auto"/>
          <w:sz w:val="28"/>
          <w:szCs w:val="28"/>
        </w:rPr>
        <w:t>评价结果</w:t>
      </w:r>
    </w:p>
    <w:p>
      <w:pPr>
        <w:keepNext w:val="0"/>
        <w:keepLines w:val="0"/>
        <w:pageBreakBefore w:val="0"/>
        <w:widowControl w:val="0"/>
        <w:numPr>
          <w:ilvl w:val="0"/>
          <w:numId w:val="0"/>
        </w:numPr>
        <w:tabs>
          <w:tab w:val="left" w:pos="437"/>
        </w:tabs>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1"/>
        <w:rPr>
          <w:rFonts w:hint="eastAsia" w:ascii="仿宋" w:hAnsi="仿宋" w:eastAsia="仿宋" w:cs="仿宋"/>
          <w:b/>
          <w:bCs/>
          <w:i w:val="0"/>
          <w:iCs w:val="0"/>
          <w:caps w:val="0"/>
          <w:color w:val="auto"/>
          <w:spacing w:val="0"/>
          <w:kern w:val="0"/>
          <w:sz w:val="28"/>
          <w:szCs w:val="28"/>
          <w:shd w:val="clear" w:color="auto" w:fill="FFFFFF"/>
          <w:lang w:val="en-US" w:eastAsia="zh-CN"/>
        </w:rPr>
      </w:pPr>
      <w:r>
        <w:rPr>
          <w:rFonts w:hint="eastAsia" w:ascii="仿宋" w:hAnsi="仿宋" w:eastAsia="仿宋" w:cs="仿宋"/>
          <w:b/>
          <w:bCs/>
          <w:i w:val="0"/>
          <w:iCs w:val="0"/>
          <w:caps w:val="0"/>
          <w:color w:val="auto"/>
          <w:spacing w:val="0"/>
          <w:kern w:val="0"/>
          <w:sz w:val="28"/>
          <w:szCs w:val="28"/>
          <w:shd w:val="clear" w:color="auto" w:fill="FFFFFF"/>
          <w:lang w:val="en-US" w:eastAsia="zh-CN"/>
        </w:rPr>
        <w:t>（一）绩效评价指标分析</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邵阳市北塔区2022年政策性农业保险项目评价指标体系分为共性指标和个性指标。共性指标包括决策和过程，设定分值为45分，其中决策指标设定20分，过程指标设定25分；个性指标设定分值为55分，其中产出指标30分，效益指标25分。通过数据采集、问卷调查及访谈等方式，对邵阳市北塔区2022年政策性农业保险项目绩效进行客观评价，最终评分结果为89.5分，绩效评级为“良”。具体评分情况如下：</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leftChars="0" w:firstLine="560" w:firstLineChars="200"/>
        <w:textAlignment w:val="auto"/>
        <w:outlineLvl w:val="2"/>
        <w:rPr>
          <w:rFonts w:hint="eastAsia" w:ascii="仿宋" w:hAnsi="仿宋" w:eastAsia="仿宋" w:cs="仿宋"/>
          <w:color w:val="auto"/>
          <w:kern w:val="2"/>
          <w:sz w:val="28"/>
          <w:szCs w:val="28"/>
          <w:lang w:val="en-US" w:eastAsia="zh-CN" w:bidi="ar-SA"/>
        </w:rPr>
      </w:pPr>
      <w:bookmarkStart w:id="0" w:name="_Toc14642"/>
      <w:bookmarkStart w:id="1" w:name="_Toc21414"/>
      <w:bookmarkStart w:id="2" w:name="_Toc20677"/>
      <w:bookmarkStart w:id="3" w:name="_Toc3360"/>
      <w:bookmarkStart w:id="4" w:name="_Toc27519"/>
      <w:bookmarkStart w:id="5" w:name="_Toc32016"/>
      <w:bookmarkStart w:id="6" w:name="_Toc12255"/>
      <w:bookmarkStart w:id="7" w:name="_Toc2186"/>
      <w:bookmarkStart w:id="8" w:name="_Toc1052"/>
      <w:bookmarkStart w:id="9" w:name="_Toc6223"/>
      <w:r>
        <w:rPr>
          <w:rFonts w:hint="eastAsia" w:ascii="仿宋" w:hAnsi="仿宋" w:eastAsia="仿宋" w:cs="仿宋"/>
          <w:color w:val="auto"/>
          <w:kern w:val="2"/>
          <w:sz w:val="28"/>
          <w:szCs w:val="28"/>
          <w:lang w:val="en-US" w:eastAsia="zh-CN" w:bidi="ar-SA"/>
        </w:rPr>
        <w:t>1、共性指标-决策和过程评价</w:t>
      </w:r>
      <w:bookmarkEnd w:id="0"/>
      <w:bookmarkEnd w:id="1"/>
      <w:bookmarkEnd w:id="2"/>
      <w:bookmarkEnd w:id="3"/>
      <w:bookmarkEnd w:id="4"/>
      <w:bookmarkEnd w:id="5"/>
      <w:bookmarkEnd w:id="6"/>
      <w:bookmarkEnd w:id="7"/>
      <w:bookmarkEnd w:id="8"/>
      <w:bookmarkEnd w:id="9"/>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共性指标45分，实际得分35.5分，扣9.5分。其中决策总分20分，包括项目立项、绩效目标、资金投入，实际得分为17分，扣3分；过程总分25分，包括资金管理、组织实施，实际得分为18.5分，扣6.5分。具体扣分情况如下：</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eastAsia="仿宋_GB2312" w:cs="宋体"/>
          <w:color w:val="auto"/>
          <w:kern w:val="2"/>
          <w:sz w:val="28"/>
          <w:szCs w:val="28"/>
          <w:lang w:val="en-US" w:eastAsia="zh-CN" w:bidi="ar-SA"/>
        </w:rPr>
        <w:t>（1）</w:t>
      </w:r>
      <w:r>
        <w:rPr>
          <w:rFonts w:hint="eastAsia" w:ascii="仿宋" w:hAnsi="仿宋" w:eastAsia="仿宋" w:cs="仿宋"/>
          <w:color w:val="auto"/>
          <w:kern w:val="2"/>
          <w:sz w:val="28"/>
          <w:szCs w:val="28"/>
          <w:lang w:val="en-US" w:eastAsia="zh-CN" w:bidi="ar-SA"/>
        </w:rPr>
        <w:t>项目决策。</w:t>
      </w:r>
      <w:r>
        <w:rPr>
          <w:rFonts w:hint="eastAsia" w:ascii="仿宋" w:hAnsi="仿宋" w:eastAsia="仿宋" w:cs="仿宋"/>
          <w:b w:val="0"/>
          <w:bCs w:val="0"/>
          <w:i w:val="0"/>
          <w:iCs w:val="0"/>
          <w:color w:val="auto"/>
          <w:kern w:val="0"/>
          <w:sz w:val="28"/>
          <w:szCs w:val="28"/>
          <w:highlight w:val="none"/>
          <w:vertAlign w:val="baseline"/>
          <w:lang w:val="en-US" w:eastAsia="zh-CN" w:bidi="ar-SA"/>
        </w:rPr>
        <w:t>预算额度测算不准确，根据“预算额度测算依据是否充分，是否按照标准编制，是得1分，否则不得分”，扣1分；</w:t>
      </w:r>
      <w:r>
        <w:rPr>
          <w:rFonts w:hint="eastAsia" w:ascii="仿宋" w:hAnsi="仿宋" w:eastAsia="仿宋" w:cs="仿宋"/>
          <w:i w:val="0"/>
          <w:iCs w:val="0"/>
          <w:caps w:val="0"/>
          <w:color w:val="auto"/>
          <w:spacing w:val="0"/>
          <w:kern w:val="0"/>
          <w:sz w:val="28"/>
          <w:szCs w:val="28"/>
          <w:shd w:val="clear" w:color="auto" w:fill="FFFFFF"/>
          <w:lang w:val="en-US" w:eastAsia="zh-CN"/>
        </w:rPr>
        <w:t>邵阳市北塔区农业农村水利局、邵阳市北塔区畜牧水产事务中心</w:t>
      </w:r>
      <w:r>
        <w:rPr>
          <w:rFonts w:hint="eastAsia" w:ascii="仿宋" w:hAnsi="仿宋" w:eastAsia="仿宋" w:cs="仿宋"/>
          <w:color w:val="auto"/>
          <w:kern w:val="2"/>
          <w:sz w:val="28"/>
          <w:szCs w:val="28"/>
          <w:lang w:val="en-US" w:eastAsia="zh-CN" w:bidi="ar-SA"/>
        </w:rPr>
        <w:t>没有提供相关资金分配结果公示资料，根据“资金分配结果是否在公示，是得2分，否则不得分”，扣2分。</w:t>
      </w:r>
    </w:p>
    <w:p>
      <w:pPr>
        <w:keepNext w:val="0"/>
        <w:keepLines w:val="0"/>
        <w:pageBreakBefore w:val="0"/>
        <w:widowControl w:val="0"/>
        <w:numPr>
          <w:ilvl w:val="0"/>
          <w:numId w:val="0"/>
        </w:numPr>
        <w:kinsoku/>
        <w:wordWrap/>
        <w:overflowPunct w:val="0"/>
        <w:topLinePunct w:val="0"/>
        <w:autoSpaceDE/>
        <w:autoSpaceDN/>
        <w:bidi w:val="0"/>
        <w:snapToGrid/>
        <w:spacing w:beforeAutospacing="0" w:afterAutospacing="0" w:line="540" w:lineRule="exact"/>
        <w:ind w:leftChars="0" w:firstLine="560" w:firstLineChars="200"/>
        <w:textAlignment w:val="auto"/>
        <w:rPr>
          <w:rFonts w:hint="eastAsia" w:ascii="仿宋" w:hAnsi="仿宋" w:eastAsia="仿宋" w:cs="仿宋"/>
          <w:color w:val="auto"/>
          <w:kern w:val="2"/>
          <w:sz w:val="28"/>
          <w:szCs w:val="28"/>
          <w:lang w:val="en-US" w:eastAsia="zh-CN" w:bidi="ar-SA"/>
        </w:rPr>
      </w:pPr>
      <w:r>
        <w:rPr>
          <w:rFonts w:hint="eastAsia" w:eastAsia="仿宋_GB2312" w:cs="宋体"/>
          <w:color w:val="auto"/>
          <w:kern w:val="2"/>
          <w:sz w:val="28"/>
          <w:szCs w:val="28"/>
          <w:lang w:val="en-US" w:eastAsia="zh-CN" w:bidi="ar-SA"/>
        </w:rPr>
        <w:t>（2）</w:t>
      </w:r>
      <w:r>
        <w:rPr>
          <w:rFonts w:hint="eastAsia" w:ascii="仿宋" w:hAnsi="仿宋" w:eastAsia="仿宋" w:cs="仿宋"/>
          <w:color w:val="auto"/>
          <w:kern w:val="2"/>
          <w:sz w:val="28"/>
          <w:szCs w:val="28"/>
          <w:lang w:val="en-US" w:eastAsia="zh-CN" w:bidi="ar-SA"/>
        </w:rPr>
        <w:t>项目过程。项目未进行专项核算，根据“未进行专项核算，扣2分”，扣2分；</w:t>
      </w:r>
      <w:r>
        <w:rPr>
          <w:rFonts w:hint="eastAsia" w:ascii="仿宋" w:hAnsi="仿宋" w:eastAsia="仿宋" w:cs="仿宋"/>
          <w:i w:val="0"/>
          <w:iCs w:val="0"/>
          <w:caps w:val="0"/>
          <w:color w:val="auto"/>
          <w:spacing w:val="0"/>
          <w:kern w:val="0"/>
          <w:sz w:val="28"/>
          <w:szCs w:val="28"/>
          <w:shd w:val="clear" w:color="auto" w:fill="FFFFFF"/>
          <w:lang w:val="en-US" w:eastAsia="zh-CN"/>
        </w:rPr>
        <w:t>邵阳市北塔区农业农村水利局、邵阳市北塔区畜牧水产事务中心</w:t>
      </w:r>
      <w:r>
        <w:rPr>
          <w:rFonts w:hint="eastAsia" w:ascii="仿宋" w:hAnsi="仿宋" w:eastAsia="仿宋" w:cs="仿宋"/>
          <w:color w:val="auto"/>
          <w:kern w:val="2"/>
          <w:sz w:val="28"/>
          <w:szCs w:val="28"/>
          <w:lang w:val="en-US" w:eastAsia="zh-CN" w:bidi="ar-SA"/>
        </w:rPr>
        <w:t>未提供相应的财务管理制度和业务管理制度，根据“制定相应的财务管理制度，得1分；制定相应的业务管理制度，得1分；制定的管理制度得到有效执行，得3分。”扣4分；绩效自评报告的综合评审等级为良，根据“绩效自评报告的综合评审等级，优得1分，良得0.5分，中得0.3分，差不得分”，扣0.5分。</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0" w:firstLineChars="200"/>
        <w:textAlignment w:val="auto"/>
        <w:outlineLvl w:val="2"/>
        <w:rPr>
          <w:rFonts w:hint="eastAsia" w:ascii="仿宋" w:hAnsi="仿宋" w:eastAsia="仿宋" w:cs="仿宋"/>
          <w:i w:val="0"/>
          <w:iCs w:val="0"/>
          <w:caps w:val="0"/>
          <w:color w:val="000000"/>
          <w:spacing w:val="0"/>
          <w:kern w:val="0"/>
          <w:sz w:val="28"/>
          <w:szCs w:val="28"/>
          <w:shd w:val="clear" w:color="auto" w:fill="FFFFFF"/>
          <w:lang w:val="en-US" w:eastAsia="zh-CN"/>
        </w:rPr>
      </w:pPr>
      <w:bookmarkStart w:id="10" w:name="_Toc13736"/>
      <w:bookmarkStart w:id="11" w:name="_Toc5548"/>
      <w:bookmarkStart w:id="12" w:name="_Toc16771"/>
      <w:bookmarkStart w:id="13" w:name="_Toc11926"/>
      <w:bookmarkStart w:id="14" w:name="_Toc25454"/>
      <w:bookmarkStart w:id="15" w:name="_Toc6160"/>
      <w:bookmarkStart w:id="16" w:name="_Toc23457"/>
      <w:bookmarkStart w:id="17" w:name="_Toc22394"/>
      <w:bookmarkStart w:id="18" w:name="_Toc2100"/>
      <w:bookmarkStart w:id="19" w:name="_Toc12502"/>
      <w:r>
        <w:rPr>
          <w:rFonts w:hint="eastAsia" w:ascii="仿宋" w:hAnsi="仿宋" w:eastAsia="仿宋" w:cs="仿宋"/>
          <w:i w:val="0"/>
          <w:iCs w:val="0"/>
          <w:caps w:val="0"/>
          <w:color w:val="auto"/>
          <w:spacing w:val="0"/>
          <w:kern w:val="0"/>
          <w:sz w:val="28"/>
          <w:szCs w:val="28"/>
          <w:shd w:val="clear" w:color="auto" w:fill="FFFFFF"/>
          <w:lang w:val="en-US" w:eastAsia="zh-CN"/>
        </w:rPr>
        <w:t>2、个性</w:t>
      </w:r>
      <w:r>
        <w:rPr>
          <w:rFonts w:hint="eastAsia" w:ascii="仿宋" w:hAnsi="仿宋" w:eastAsia="仿宋" w:cs="仿宋"/>
          <w:i w:val="0"/>
          <w:iCs w:val="0"/>
          <w:caps w:val="0"/>
          <w:color w:val="000000"/>
          <w:spacing w:val="0"/>
          <w:kern w:val="0"/>
          <w:sz w:val="28"/>
          <w:szCs w:val="28"/>
          <w:shd w:val="clear" w:color="auto" w:fill="FFFFFF"/>
          <w:lang w:val="en-US" w:eastAsia="zh-CN"/>
        </w:rPr>
        <w:t>指标-预算支出产出和效益评价</w:t>
      </w:r>
      <w:bookmarkEnd w:id="10"/>
      <w:bookmarkEnd w:id="11"/>
      <w:bookmarkEnd w:id="12"/>
      <w:bookmarkEnd w:id="13"/>
      <w:bookmarkEnd w:id="14"/>
      <w:bookmarkEnd w:id="15"/>
      <w:bookmarkEnd w:id="16"/>
      <w:bookmarkEnd w:id="17"/>
      <w:bookmarkEnd w:id="18"/>
      <w:bookmarkEnd w:id="19"/>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i w:val="0"/>
          <w:iCs w:val="0"/>
          <w:caps w:val="0"/>
          <w:color w:val="000000"/>
          <w:spacing w:val="0"/>
          <w:kern w:val="0"/>
          <w:sz w:val="28"/>
          <w:szCs w:val="28"/>
          <w:shd w:val="clear" w:color="auto" w:fill="FFFFFF"/>
          <w:lang w:val="en-US" w:eastAsia="zh-CN"/>
        </w:rPr>
        <w:t>个性指标设定分值</w:t>
      </w:r>
      <w:r>
        <w:rPr>
          <w:rFonts w:hint="eastAsia" w:ascii="仿宋" w:hAnsi="仿宋" w:eastAsia="仿宋" w:cs="仿宋"/>
          <w:i w:val="0"/>
          <w:iCs w:val="0"/>
          <w:caps w:val="0"/>
          <w:color w:val="auto"/>
          <w:spacing w:val="0"/>
          <w:kern w:val="0"/>
          <w:sz w:val="28"/>
          <w:szCs w:val="28"/>
          <w:shd w:val="clear" w:color="auto" w:fill="FFFFFF"/>
          <w:lang w:val="en-US" w:eastAsia="zh-CN"/>
        </w:rPr>
        <w:t>为55分，实际得分54分，扣一分。其中产出指标30分，包括产出数量、产出质量、产出时效和产出成本，实际得分为30分，未扣分；效益指标25分，包括实施效益和满意度，实际得分为24分，扣1分。具体扣分情况如下：</w:t>
      </w:r>
    </w:p>
    <w:p>
      <w:pPr>
        <w:pStyle w:val="12"/>
        <w:keepNext w:val="0"/>
        <w:keepLines w:val="0"/>
        <w:pageBreakBefore w:val="0"/>
        <w:widowControl w:val="0"/>
        <w:numPr>
          <w:ilvl w:val="0"/>
          <w:numId w:val="0"/>
        </w:numPr>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b w:val="0"/>
          <w:bCs w:val="0"/>
          <w:i w:val="0"/>
          <w:iCs w:val="0"/>
          <w:color w:val="auto"/>
          <w:kern w:val="0"/>
          <w:sz w:val="28"/>
          <w:szCs w:val="28"/>
          <w:highlight w:val="none"/>
          <w:vertAlign w:val="baseline"/>
          <w:lang w:val="en-US" w:eastAsia="zh-CN" w:bidi="ar-SA"/>
        </w:rPr>
        <w:t>未达到水稻投保面积覆盖面指标值大于等于90%，风险保障总额指标值7628.72，扣1分。</w:t>
      </w:r>
    </w:p>
    <w:p>
      <w:pPr>
        <w:keepNext w:val="0"/>
        <w:keepLines w:val="0"/>
        <w:pageBreakBefore w:val="0"/>
        <w:widowControl w:val="0"/>
        <w:numPr>
          <w:ilvl w:val="0"/>
          <w:numId w:val="0"/>
        </w:numPr>
        <w:tabs>
          <w:tab w:val="left" w:pos="437"/>
        </w:tabs>
        <w:kinsoku/>
        <w:wordWrap/>
        <w:overflowPunct w:val="0"/>
        <w:topLinePunct w:val="0"/>
        <w:autoSpaceDE/>
        <w:autoSpaceDN/>
        <w:bidi w:val="0"/>
        <w:adjustRightInd/>
        <w:snapToGrid/>
        <w:spacing w:beforeAutospacing="0" w:afterAutospacing="0" w:line="540" w:lineRule="exact"/>
        <w:ind w:leftChars="0" w:firstLine="562" w:firstLineChars="200"/>
        <w:textAlignment w:val="auto"/>
        <w:outlineLvl w:val="1"/>
        <w:rPr>
          <w:rFonts w:hint="eastAsia" w:ascii="仿宋" w:hAnsi="仿宋" w:eastAsia="仿宋" w:cs="仿宋"/>
          <w:b/>
          <w:bCs/>
          <w:i w:val="0"/>
          <w:iCs w:val="0"/>
          <w:caps w:val="0"/>
          <w:color w:val="auto"/>
          <w:spacing w:val="0"/>
          <w:kern w:val="0"/>
          <w:sz w:val="28"/>
          <w:szCs w:val="28"/>
          <w:shd w:val="clear" w:color="auto" w:fill="FFFFFF"/>
          <w:lang w:val="en-US" w:eastAsia="zh-CN"/>
        </w:rPr>
      </w:pPr>
      <w:bookmarkStart w:id="20" w:name="_Toc7134"/>
      <w:bookmarkStart w:id="21" w:name="_Toc17430"/>
      <w:bookmarkStart w:id="22" w:name="_Toc26417"/>
      <w:bookmarkStart w:id="23" w:name="_Toc21045"/>
      <w:bookmarkStart w:id="24" w:name="_Toc27299"/>
      <w:bookmarkStart w:id="25" w:name="_Toc14463"/>
      <w:bookmarkStart w:id="26" w:name="_Toc18122"/>
      <w:bookmarkStart w:id="27" w:name="_Toc24545"/>
      <w:bookmarkStart w:id="28" w:name="_Toc27274"/>
      <w:bookmarkStart w:id="29" w:name="_Toc30040"/>
      <w:bookmarkStart w:id="30" w:name="_Toc26013"/>
      <w:bookmarkStart w:id="31" w:name="_Toc19423"/>
      <w:r>
        <w:rPr>
          <w:rFonts w:hint="eastAsia" w:ascii="仿宋" w:hAnsi="仿宋" w:eastAsia="仿宋" w:cs="仿宋"/>
          <w:b/>
          <w:bCs/>
          <w:i w:val="0"/>
          <w:iCs w:val="0"/>
          <w:caps w:val="0"/>
          <w:color w:val="auto"/>
          <w:spacing w:val="0"/>
          <w:kern w:val="0"/>
          <w:sz w:val="28"/>
          <w:szCs w:val="28"/>
          <w:shd w:val="clear" w:color="auto" w:fill="FFFFFF"/>
          <w:lang w:val="en-US" w:eastAsia="zh-CN"/>
        </w:rPr>
        <w:t>（二）</w:t>
      </w:r>
      <w:bookmarkEnd w:id="20"/>
      <w:bookmarkEnd w:id="21"/>
      <w:bookmarkEnd w:id="22"/>
      <w:bookmarkEnd w:id="23"/>
      <w:bookmarkEnd w:id="24"/>
      <w:bookmarkEnd w:id="25"/>
      <w:bookmarkEnd w:id="26"/>
      <w:bookmarkEnd w:id="27"/>
      <w:bookmarkEnd w:id="28"/>
      <w:bookmarkEnd w:id="29"/>
      <w:bookmarkEnd w:id="30"/>
      <w:bookmarkEnd w:id="31"/>
      <w:r>
        <w:rPr>
          <w:rFonts w:hint="eastAsia" w:ascii="仿宋" w:hAnsi="仿宋" w:eastAsia="仿宋" w:cs="仿宋"/>
          <w:b/>
          <w:bCs/>
          <w:i w:val="0"/>
          <w:iCs w:val="0"/>
          <w:caps w:val="0"/>
          <w:color w:val="auto"/>
          <w:spacing w:val="0"/>
          <w:kern w:val="0"/>
          <w:sz w:val="28"/>
          <w:szCs w:val="28"/>
          <w:shd w:val="clear" w:color="auto" w:fill="FFFFFF"/>
          <w:lang w:val="en-US" w:eastAsia="zh-CN"/>
        </w:rPr>
        <w:t>评价结论</w:t>
      </w:r>
    </w:p>
    <w:p>
      <w:pPr>
        <w:keepNext w:val="0"/>
        <w:keepLines w:val="0"/>
        <w:pageBreakBefore w:val="0"/>
        <w:widowControl w:val="0"/>
        <w:kinsoku/>
        <w:wordWrap/>
        <w:overflowPunct w:val="0"/>
        <w:topLinePunct w:val="0"/>
        <w:autoSpaceDE/>
        <w:autoSpaceDN/>
        <w:bidi w:val="0"/>
        <w:adjustRightInd/>
        <w:snapToGrid/>
        <w:spacing w:beforeAutospacing="0" w:afterAutospacing="0" w:line="540" w:lineRule="exact"/>
        <w:ind w:leftChars="0" w:firstLine="560" w:firstLineChars="200"/>
        <w:textAlignment w:val="auto"/>
        <w:rPr>
          <w:rFonts w:hint="eastAsia" w:ascii="仿宋" w:hAnsi="仿宋" w:eastAsia="仿宋" w:cs="仿宋"/>
          <w:i w:val="0"/>
          <w:iCs w:val="0"/>
          <w:caps w:val="0"/>
          <w:color w:val="auto"/>
          <w:spacing w:val="0"/>
          <w:kern w:val="0"/>
          <w:sz w:val="28"/>
          <w:szCs w:val="28"/>
          <w:shd w:val="clear" w:color="auto" w:fill="FFFFFF"/>
          <w:lang w:val="en-US" w:eastAsia="zh-CN"/>
        </w:rPr>
      </w:pPr>
      <w:r>
        <w:rPr>
          <w:rFonts w:hint="eastAsia" w:ascii="仿宋" w:hAnsi="仿宋" w:eastAsia="仿宋" w:cs="仿宋"/>
          <w:i w:val="0"/>
          <w:iCs w:val="0"/>
          <w:caps w:val="0"/>
          <w:color w:val="auto"/>
          <w:spacing w:val="0"/>
          <w:kern w:val="0"/>
          <w:sz w:val="28"/>
          <w:szCs w:val="28"/>
          <w:shd w:val="clear" w:color="auto" w:fill="FFFFFF"/>
          <w:lang w:val="en-US" w:eastAsia="zh-CN"/>
        </w:rPr>
        <w:t>通过对各项绩效指标的综合考核评分，北塔区2022年政策性农业保险项目评价得分为89.5分，评价档次为“良”。</w:t>
      </w:r>
    </w:p>
    <w:p>
      <w:pPr>
        <w:keepNext w:val="0"/>
        <w:keepLines w:val="0"/>
        <w:pageBreakBefore w:val="0"/>
        <w:widowControl w:val="0"/>
        <w:kinsoku/>
        <w:wordWrap/>
        <w:overflowPunct w:val="0"/>
        <w:topLinePunct w:val="0"/>
        <w:autoSpaceDE/>
        <w:autoSpaceDN/>
        <w:bidi w:val="0"/>
        <w:spacing w:beforeAutospacing="0" w:afterAutospacing="0" w:line="540" w:lineRule="exact"/>
        <w:ind w:leftChars="0"/>
        <w:textAlignment w:val="auto"/>
        <w:rPr>
          <w:rFonts w:hint="eastAsia"/>
          <w:color w:val="auto"/>
        </w:rPr>
      </w:pPr>
      <w:r>
        <w:rPr>
          <w:rFonts w:hint="eastAsia"/>
          <w:color w:val="auto"/>
        </w:rPr>
        <w:t>　</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spacing w:before="0" w:beforeAutospacing="0" w:after="0" w:afterAutospacing="0" w:line="540" w:lineRule="exact"/>
        <w:ind w:leftChars="0" w:right="0" w:firstLine="560" w:firstLineChars="200"/>
        <w:jc w:val="both"/>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i w:val="0"/>
          <w:iCs w:val="0"/>
          <w:caps w:val="0"/>
          <w:color w:val="auto"/>
          <w:spacing w:val="0"/>
          <w:kern w:val="0"/>
          <w:sz w:val="28"/>
          <w:szCs w:val="28"/>
          <w:shd w:val="clear" w:color="auto" w:fill="FFFFFF"/>
          <w:lang w:val="en-US" w:eastAsia="zh-CN"/>
        </w:rPr>
        <w:t>附件1：邵阳市北塔区2022年政策性农业保险项目</w:t>
      </w:r>
      <w:r>
        <w:rPr>
          <w:rFonts w:hint="eastAsia" w:ascii="仿宋" w:hAnsi="仿宋" w:eastAsia="仿宋" w:cs="仿宋"/>
          <w:color w:val="auto"/>
          <w:kern w:val="2"/>
          <w:sz w:val="28"/>
          <w:szCs w:val="28"/>
          <w:lang w:val="en-US" w:eastAsia="zh-CN" w:bidi="ar-SA"/>
        </w:rPr>
        <w:t>评价指标评分表</w:t>
      </w:r>
    </w:p>
    <w:p>
      <w:pPr>
        <w:pStyle w:val="8"/>
        <w:keepNext w:val="0"/>
        <w:keepLines w:val="0"/>
        <w:pageBreakBefore w:val="0"/>
        <w:widowControl w:val="0"/>
        <w:kinsoku/>
        <w:wordWrap/>
        <w:overflowPunct w:val="0"/>
        <w:topLinePunct w:val="0"/>
        <w:autoSpaceDE/>
        <w:autoSpaceDN/>
        <w:bidi w:val="0"/>
        <w:spacing w:beforeAutospacing="0" w:afterAutospacing="0" w:line="540" w:lineRule="exact"/>
        <w:textAlignment w:val="auto"/>
        <w:rPr>
          <w:rFonts w:hint="eastAsia"/>
          <w:color w:val="auto"/>
        </w:rPr>
      </w:pPr>
    </w:p>
    <w:p>
      <w:pPr>
        <w:spacing w:line="600" w:lineRule="exact"/>
        <w:jc w:val="center"/>
        <w:rPr>
          <w:rFonts w:hint="eastAsia" w:ascii="仿宋" w:hAnsi="仿宋" w:eastAsia="仿宋" w:cs="仿宋"/>
          <w:b/>
          <w:bCs/>
          <w:color w:val="auto"/>
          <w:sz w:val="32"/>
          <w:szCs w:val="32"/>
        </w:rPr>
      </w:pPr>
    </w:p>
    <w:p>
      <w:pPr>
        <w:spacing w:line="600" w:lineRule="exact"/>
        <w:jc w:val="right"/>
        <w:outlineLvl w:val="0"/>
        <w:rPr>
          <w:b/>
          <w:bCs/>
          <w:color w:val="auto"/>
        </w:rPr>
      </w:pPr>
      <w:r>
        <w:rPr>
          <w:rFonts w:hint="eastAsia" w:ascii="仿宋" w:hAnsi="仿宋" w:eastAsia="仿宋" w:cs="仿宋"/>
          <w:b/>
          <w:bCs/>
          <w:color w:val="auto"/>
          <w:spacing w:val="-20"/>
          <w:sz w:val="28"/>
          <w:szCs w:val="28"/>
        </w:rPr>
        <w:t>湖南</w:t>
      </w:r>
      <w:r>
        <w:rPr>
          <w:rFonts w:hint="eastAsia" w:ascii="仿宋" w:hAnsi="仿宋" w:eastAsia="仿宋" w:cs="仿宋"/>
          <w:b/>
          <w:bCs/>
          <w:color w:val="auto"/>
          <w:spacing w:val="-20"/>
          <w:sz w:val="28"/>
          <w:szCs w:val="28"/>
          <w:lang w:val="en-US" w:eastAsia="zh-CN"/>
        </w:rPr>
        <w:t>骏新联合会计师事务所</w:t>
      </w:r>
      <w:r>
        <w:rPr>
          <w:rFonts w:hint="eastAsia" w:ascii="仿宋" w:hAnsi="仿宋" w:eastAsia="仿宋" w:cs="仿宋"/>
          <w:b/>
          <w:bCs/>
          <w:color w:val="auto"/>
          <w:spacing w:val="-20"/>
          <w:sz w:val="28"/>
          <w:szCs w:val="28"/>
        </w:rPr>
        <w:t>（普通合伙）</w:t>
      </w:r>
    </w:p>
    <w:p>
      <w:pPr>
        <w:spacing w:line="600" w:lineRule="exact"/>
        <w:ind w:firstLine="4498" w:firstLineChars="1600"/>
        <w:jc w:val="both"/>
        <w:outlineLvl w:val="0"/>
        <w:rPr>
          <w:b/>
          <w:bCs/>
          <w:color w:val="auto"/>
        </w:rPr>
      </w:pPr>
      <w:r>
        <w:rPr>
          <w:rFonts w:hint="default" w:ascii="仿宋" w:hAnsi="仿宋" w:eastAsia="仿宋" w:cs="仿宋"/>
          <w:b/>
          <w:bCs/>
          <w:i w:val="0"/>
          <w:iCs w:val="0"/>
          <w:color w:val="auto"/>
          <w:kern w:val="2"/>
          <w:sz w:val="28"/>
          <w:szCs w:val="28"/>
          <w:highlight w:val="none"/>
          <w:vertAlign w:val="baseline"/>
          <w:lang w:val="en-US" w:eastAsia="zh-CN" w:bidi="ar-SA"/>
        </w:rPr>
        <w:t>二○二三年十一月二十</w:t>
      </w:r>
      <w:r>
        <w:rPr>
          <w:rFonts w:hint="eastAsia" w:ascii="仿宋" w:hAnsi="仿宋" w:eastAsia="仿宋" w:cs="仿宋"/>
          <w:b/>
          <w:bCs/>
          <w:i w:val="0"/>
          <w:iCs w:val="0"/>
          <w:color w:val="auto"/>
          <w:kern w:val="2"/>
          <w:sz w:val="28"/>
          <w:szCs w:val="28"/>
          <w:highlight w:val="none"/>
          <w:vertAlign w:val="baseline"/>
          <w:lang w:val="en-US" w:eastAsia="zh-CN" w:bidi="ar-SA"/>
        </w:rPr>
        <w:t>六</w:t>
      </w:r>
      <w:r>
        <w:rPr>
          <w:rFonts w:hint="default" w:ascii="仿宋" w:hAnsi="仿宋" w:eastAsia="仿宋" w:cs="仿宋"/>
          <w:b/>
          <w:bCs/>
          <w:i w:val="0"/>
          <w:iCs w:val="0"/>
          <w:color w:val="auto"/>
          <w:kern w:val="2"/>
          <w:sz w:val="28"/>
          <w:szCs w:val="28"/>
          <w:highlight w:val="none"/>
          <w:vertAlign w:val="baseline"/>
          <w:lang w:val="en-US" w:eastAsia="zh-CN" w:bidi="ar-SA"/>
        </w:rPr>
        <w:t>日</w:t>
      </w:r>
    </w:p>
    <w:p>
      <w:pPr>
        <w:spacing w:line="240" w:lineRule="auto"/>
        <w:ind w:firstLine="420" w:firstLineChars="200"/>
        <w:jc w:val="both"/>
        <w:rPr>
          <w:color w:val="auto"/>
        </w:rPr>
      </w:pPr>
    </w:p>
    <w:p>
      <w:pPr>
        <w:rPr>
          <w:color w:val="auto"/>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line="600" w:lineRule="exact"/>
        <w:jc w:val="left"/>
        <w:outlineLvl w:val="0"/>
        <w:rPr>
          <w:rFonts w:hint="eastAsia" w:eastAsia="黑体"/>
          <w:color w:val="auto"/>
          <w:kern w:val="0"/>
          <w:sz w:val="32"/>
          <w:szCs w:val="32"/>
          <w:lang w:val="en-US" w:eastAsia="zh-CN"/>
        </w:rPr>
      </w:pPr>
      <w:r>
        <w:rPr>
          <w:rFonts w:eastAsia="黑体"/>
          <w:color w:val="auto"/>
          <w:kern w:val="0"/>
          <w:sz w:val="32"/>
          <w:szCs w:val="32"/>
        </w:rPr>
        <w:t>附件</w:t>
      </w:r>
      <w:r>
        <w:rPr>
          <w:rFonts w:hint="eastAsia" w:eastAsia="黑体"/>
          <w:color w:val="auto"/>
          <w:kern w:val="0"/>
          <w:sz w:val="32"/>
          <w:szCs w:val="32"/>
          <w:lang w:val="en-US" w:eastAsia="zh-CN"/>
        </w:rPr>
        <w:t>1：</w:t>
      </w:r>
    </w:p>
    <w:p>
      <w:pPr>
        <w:jc w:val="center"/>
        <w:rPr>
          <w:rFonts w:hint="default" w:eastAsia="黑体"/>
          <w:bCs/>
          <w:color w:val="auto"/>
          <w:sz w:val="36"/>
          <w:szCs w:val="36"/>
        </w:rPr>
      </w:pPr>
      <w:bookmarkStart w:id="32" w:name="_GoBack"/>
      <w:bookmarkEnd w:id="32"/>
      <w:r>
        <w:rPr>
          <w:rFonts w:hint="eastAsia" w:eastAsia="黑体"/>
          <w:bCs/>
          <w:color w:val="auto"/>
          <w:sz w:val="36"/>
          <w:szCs w:val="36"/>
          <w:lang w:val="en-US" w:eastAsia="zh-CN"/>
        </w:rPr>
        <w:t>邵阳市北塔区2022年政策性农业保险项目评价指标评分表</w:t>
      </w:r>
    </w:p>
    <w:tbl>
      <w:tblPr>
        <w:tblStyle w:val="9"/>
        <w:tblpPr w:leftFromText="180" w:rightFromText="180" w:vertAnchor="text" w:horzAnchor="page" w:tblpX="761" w:tblpY="599"/>
        <w:tblOverlap w:val="never"/>
        <w:tblW w:w="15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1035"/>
        <w:gridCol w:w="1035"/>
        <w:gridCol w:w="2355"/>
        <w:gridCol w:w="630"/>
        <w:gridCol w:w="4335"/>
        <w:gridCol w:w="4320"/>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blHeader/>
        </w:trPr>
        <w:tc>
          <w:tcPr>
            <w:tcW w:w="106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一级指标</w:t>
            </w: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二级指标</w:t>
            </w: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三级指标</w:t>
            </w:r>
          </w:p>
        </w:tc>
        <w:tc>
          <w:tcPr>
            <w:tcW w:w="2355"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指标解释</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分数</w:t>
            </w:r>
          </w:p>
        </w:tc>
        <w:tc>
          <w:tcPr>
            <w:tcW w:w="4335"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14:textFill>
                  <w14:solidFill>
                    <w14:schemeClr w14:val="tx1"/>
                  </w14:solidFill>
                </w14:textFill>
              </w:rPr>
              <w:t>评价标准</w:t>
            </w:r>
          </w:p>
        </w:tc>
        <w:tc>
          <w:tcPr>
            <w:tcW w:w="4320"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得分依据</w:t>
            </w:r>
          </w:p>
        </w:tc>
        <w:tc>
          <w:tcPr>
            <w:tcW w:w="744" w:type="dxa"/>
            <w:shd w:val="clear" w:color="auto" w:fill="auto"/>
            <w:vAlign w:val="center"/>
          </w:tcPr>
          <w:p>
            <w:pPr>
              <w:widowControl/>
              <w:adjustRightInd w:val="0"/>
              <w:snapToGrid w:val="0"/>
              <w:jc w:val="center"/>
              <w:rPr>
                <w:rFonts w:hint="eastAsia" w:asciiTheme="minorEastAsia" w:hAnsiTheme="minorEastAsia" w:eastAsiaTheme="minorEastAsia" w:cstheme="minorEastAsia"/>
                <w:bCs/>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bCs/>
                <w:color w:val="000000" w:themeColor="text1"/>
                <w:kern w:val="0"/>
                <w:sz w:val="21"/>
                <w:szCs w:val="21"/>
                <w:lang w:val="en-US" w:eastAsia="zh-CN"/>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1060"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决策</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（20分）</w:t>
            </w:r>
          </w:p>
        </w:tc>
        <w:tc>
          <w:tcPr>
            <w:tcW w:w="1035"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项目立项</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（8分）</w:t>
            </w:r>
          </w:p>
        </w:tc>
        <w:tc>
          <w:tcPr>
            <w:tcW w:w="1035" w:type="dxa"/>
            <w:shd w:val="clear" w:color="auto" w:fill="auto"/>
            <w:vAlign w:val="center"/>
          </w:tcPr>
          <w:p>
            <w:pPr>
              <w:pStyle w:val="14"/>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项目立项充分性</w:t>
            </w:r>
          </w:p>
        </w:tc>
        <w:tc>
          <w:tcPr>
            <w:tcW w:w="2355" w:type="dxa"/>
            <w:shd w:val="clear" w:color="auto" w:fill="auto"/>
            <w:vAlign w:val="center"/>
          </w:tcPr>
          <w:p>
            <w:pPr>
              <w:pStyle w:val="14"/>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项目立项是否符合法律法规、相关政策、发展规划以及部门职责</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4335" w:type="dxa"/>
            <w:shd w:val="clear" w:color="auto" w:fill="auto"/>
            <w:vAlign w:val="center"/>
          </w:tcPr>
          <w:p>
            <w:pPr>
              <w:pStyle w:val="14"/>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①立项符合国家相关法律法规、国民经济发展规划和相关政策，得1分，否则不得分；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②立项符合行业发展规划和政策要求，得1分，否则不得分；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③立项与部门职责范围相符，属于部门履职所需，得1分，否则不得分。</w:t>
            </w:r>
          </w:p>
        </w:tc>
        <w:tc>
          <w:tcPr>
            <w:tcW w:w="4320" w:type="dxa"/>
            <w:shd w:val="clear" w:color="auto" w:fill="auto"/>
            <w:vAlign w:val="center"/>
          </w:tcPr>
          <w:p>
            <w:pPr>
              <w:widowControl/>
              <w:adjustRightInd w:val="0"/>
              <w:snapToGrid w:val="0"/>
              <w:jc w:val="left"/>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①立项符合国家相关法律法规、国民经济发展规划和相关政策，得1分；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②立项符合行业发展规划和政策要求，得1分；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③立项与部门职责范围相符，属于部门履职所需，得1分。</w:t>
            </w:r>
          </w:p>
        </w:tc>
        <w:tc>
          <w:tcPr>
            <w:tcW w:w="744" w:type="dxa"/>
            <w:shd w:val="clear" w:color="auto" w:fill="auto"/>
            <w:vAlign w:val="center"/>
          </w:tcPr>
          <w:p>
            <w:pPr>
              <w:widowControl/>
              <w:adjustRightInd w:val="0"/>
              <w:snapToGrid w:val="0"/>
              <w:jc w:val="left"/>
              <w:rPr>
                <w:rFonts w:hint="eastAsia" w:asciiTheme="minorEastAsia" w:hAnsiTheme="minorEastAsia" w:eastAsiaTheme="minorEastAsia" w:cstheme="minorEastAsia"/>
                <w:b/>
                <w:bCs/>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shd w:val="clear" w:color="auto" w:fill="auto"/>
            <w:vAlign w:val="center"/>
          </w:tcPr>
          <w:p>
            <w:pPr>
              <w:pStyle w:val="14"/>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立项程序规范性</w:t>
            </w:r>
          </w:p>
        </w:tc>
        <w:tc>
          <w:tcPr>
            <w:tcW w:w="2355" w:type="dxa"/>
            <w:shd w:val="clear" w:color="auto" w:fill="auto"/>
            <w:vAlign w:val="center"/>
          </w:tcPr>
          <w:p>
            <w:pPr>
              <w:pStyle w:val="14"/>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项目支出申请、设立过程是否符合相关要求</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4335" w:type="dxa"/>
            <w:shd w:val="clear" w:color="auto" w:fill="auto"/>
            <w:vAlign w:val="center"/>
          </w:tcPr>
          <w:p>
            <w:pPr>
              <w:pStyle w:val="14"/>
              <w:adjustRightInd w:val="0"/>
              <w:snapToGrid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①预算支出按照规定的程序申请设立，得2分，否则不得分；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②审批文件、材料符合相关要求，得1分，否则不得分；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③事前已经过必要的可行性研究、专家论证、风险评估、绩效评估、集体决策，得2分，否则不得分。</w:t>
            </w:r>
          </w:p>
        </w:tc>
        <w:tc>
          <w:tcPr>
            <w:tcW w:w="4320" w:type="dxa"/>
            <w:shd w:val="clear" w:color="auto" w:fill="auto"/>
            <w:vAlign w:val="center"/>
          </w:tcPr>
          <w:p>
            <w:pPr>
              <w:widowControl/>
              <w:adjustRightInd w:val="0"/>
              <w:snapToGrid w:val="0"/>
              <w:jc w:val="left"/>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①预算支出按照规定的程序申请设立，得2分；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②审批文件、材料符合相关要求，得1分；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③</w:t>
            </w:r>
            <w:r>
              <w:rPr>
                <w:rFonts w:hint="eastAsia" w:asciiTheme="minorEastAsia" w:hAnsiTheme="minorEastAsia" w:eastAsiaTheme="minorEastAsia" w:cstheme="minorEastAsia"/>
                <w:b w:val="0"/>
                <w:bCs w:val="0"/>
                <w:i w:val="0"/>
                <w:iCs w:val="0"/>
                <w:color w:val="000000" w:themeColor="text1"/>
                <w:kern w:val="0"/>
                <w:sz w:val="21"/>
                <w:szCs w:val="21"/>
                <w:highlight w:val="none"/>
                <w:vertAlign w:val="baseline"/>
                <w:lang w:val="en-US" w:eastAsia="zh-CN" w:bidi="ar-SA"/>
                <w14:textFill>
                  <w14:solidFill>
                    <w14:schemeClr w14:val="tx1"/>
                  </w14:solidFill>
                </w14:textFill>
              </w:rPr>
              <w:t>事前已经过必要的可行性研究、专家论证、风险评估、绩效评估、集体决策，得2分。</w:t>
            </w:r>
          </w:p>
        </w:tc>
        <w:tc>
          <w:tcPr>
            <w:tcW w:w="744" w:type="dxa"/>
            <w:shd w:val="clear" w:color="auto" w:fill="auto"/>
            <w:vAlign w:val="center"/>
          </w:tcPr>
          <w:p>
            <w:pPr>
              <w:widowControl/>
              <w:adjustRightInd w:val="0"/>
              <w:snapToGrid w:val="0"/>
              <w:jc w:val="left"/>
              <w:rPr>
                <w:rFonts w:hint="eastAsia" w:asciiTheme="minorEastAsia" w:hAnsiTheme="minorEastAsia" w:eastAsiaTheme="minorEastAsia" w:cstheme="minorEastAsia"/>
                <w:b/>
                <w:bCs/>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highlight w:val="none"/>
                <w14:textFill>
                  <w14:solidFill>
                    <w14:schemeClr w14:val="tx1"/>
                  </w14:solidFill>
                </w14:textFill>
              </w:rPr>
              <w:t>　</w:t>
            </w:r>
            <w:r>
              <w:rPr>
                <w:rFonts w:hint="eastAsia" w:asciiTheme="minorEastAsia" w:hAnsiTheme="minorEastAsia" w:eastAsiaTheme="minorEastAsia" w:cstheme="minorEastAsia"/>
                <w:b/>
                <w:bCs/>
                <w:color w:val="000000" w:themeColor="text1"/>
                <w:kern w:val="0"/>
                <w:sz w:val="21"/>
                <w:szCs w:val="21"/>
                <w:highlight w:val="none"/>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绩效目标</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（6分）</w:t>
            </w:r>
          </w:p>
        </w:tc>
        <w:tc>
          <w:tcPr>
            <w:tcW w:w="1035" w:type="dxa"/>
            <w:shd w:val="clear" w:color="auto" w:fill="auto"/>
            <w:vAlign w:val="center"/>
          </w:tcPr>
          <w:p>
            <w:pPr>
              <w:pStyle w:val="14"/>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绩效目标合理性</w:t>
            </w:r>
          </w:p>
        </w:tc>
        <w:tc>
          <w:tcPr>
            <w:tcW w:w="2355" w:type="dxa"/>
            <w:shd w:val="clear" w:color="auto" w:fill="auto"/>
            <w:vAlign w:val="center"/>
          </w:tcPr>
          <w:p>
            <w:pPr>
              <w:pStyle w:val="14"/>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项目支出所设定的绩效目标是否依据充分，是否符合客观实际</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335" w:type="dxa"/>
            <w:shd w:val="clear" w:color="auto" w:fill="auto"/>
            <w:vAlign w:val="center"/>
          </w:tcPr>
          <w:p>
            <w:pPr>
              <w:pStyle w:val="14"/>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①预算支出有绩效目标，得1分，否则不得分；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②预算支出绩效目标与实际工作内容具有相关性，得1分，否则不得分。</w:t>
            </w:r>
          </w:p>
        </w:tc>
        <w:tc>
          <w:tcPr>
            <w:tcW w:w="4320"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①预算支出有绩效目标，得1分；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②预算支出绩效目标与实际工作内容具有相关性，得1分。</w:t>
            </w:r>
          </w:p>
        </w:tc>
        <w:tc>
          <w:tcPr>
            <w:tcW w:w="744"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Merge w:val="continue"/>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pStyle w:val="14"/>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绩效指标明确性</w:t>
            </w:r>
          </w:p>
        </w:tc>
        <w:tc>
          <w:tcPr>
            <w:tcW w:w="2355" w:type="dxa"/>
            <w:shd w:val="clear" w:color="auto" w:fill="auto"/>
            <w:vAlign w:val="center"/>
          </w:tcPr>
          <w:p>
            <w:pPr>
              <w:pStyle w:val="14"/>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依据绩效目标设定的绩效指标是否清晰、细化、可衡量等</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335" w:type="dxa"/>
            <w:shd w:val="clear" w:color="auto" w:fill="auto"/>
            <w:vAlign w:val="center"/>
          </w:tcPr>
          <w:p>
            <w:pPr>
              <w:pStyle w:val="14"/>
              <w:adjustRightInd w:val="0"/>
              <w:snapToGrid w:val="0"/>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①将预算支出绩效目标细化分解为具体的绩效指标，得2分，否则不得分；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②通过清晰、可衡量的指标值体现，得2分，否则不得分。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①将预算支出绩效目标细化分解为具体的绩效指标，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得2</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②通过清晰、可衡量的指标值体现，</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得2</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744"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资金投入</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（6分）</w:t>
            </w: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预算编制科学性</w:t>
            </w:r>
          </w:p>
        </w:tc>
        <w:tc>
          <w:tcPr>
            <w:tcW w:w="235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预算编制是否经过科学论证、有明确标准，资金额度与年度目标是否相适应</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33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①预算编制是否经过科学论证，是得1分，否则不得分；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预算额度测算依据是否充分，是否按照标准编制，是得1分，否则不得分；</w:t>
            </w:r>
          </w:p>
        </w:tc>
        <w:tc>
          <w:tcPr>
            <w:tcW w:w="4320" w:type="dxa"/>
            <w:shd w:val="clear" w:color="auto" w:fill="auto"/>
            <w:vAlign w:val="bottom"/>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①预算编制是经过科学论证，是得1分；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14:textFill>
                  <w14:solidFill>
                    <w14:schemeClr w14:val="tx1"/>
                  </w14:solidFill>
                </w14:textFill>
              </w:rPr>
              <w:t>②</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预算额度测算</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不准确，不得分。</w:t>
            </w:r>
          </w:p>
        </w:tc>
        <w:tc>
          <w:tcPr>
            <w:tcW w:w="744"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资金分配合理性</w:t>
            </w:r>
          </w:p>
        </w:tc>
        <w:tc>
          <w:tcPr>
            <w:tcW w:w="235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预算资金分配补助单位或地方实际是否相适应</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4</w:t>
            </w:r>
          </w:p>
        </w:tc>
        <w:tc>
          <w:tcPr>
            <w:tcW w:w="433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①预算资金分配依据是否充分，是得2分，否则不得分；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资金分配结果是否在公示，是得2分，否则不得分；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①预算资金分配依据充分，得2分；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邵阳市北塔区农业农村水利局、邵阳市北塔区畜牧水产事务中心</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没有提供相关</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资金分配结果公示</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资料</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p>
        </w:tc>
        <w:tc>
          <w:tcPr>
            <w:tcW w:w="744"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1060" w:type="dxa"/>
            <w:vMerge w:val="restart"/>
            <w:shd w:val="clear" w:color="auto" w:fill="auto"/>
            <w:vAlign w:val="center"/>
          </w:tcPr>
          <w:p>
            <w:pPr>
              <w:widowControl/>
              <w:adjustRightInd w:val="0"/>
              <w:snapToGrid w:val="0"/>
              <w:ind w:firstLine="210" w:firstLineChars="100"/>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过程</w:t>
            </w:r>
          </w:p>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page"/>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(25分）</w:t>
            </w:r>
          </w:p>
        </w:tc>
        <w:tc>
          <w:tcPr>
            <w:tcW w:w="1035"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资金管理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page"/>
            </w:r>
          </w:p>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（15分）</w:t>
            </w:r>
          </w:p>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资金到位率</w:t>
            </w:r>
          </w:p>
        </w:tc>
        <w:tc>
          <w:tcPr>
            <w:tcW w:w="235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用以反映和考核资金落实情况对预算支出实施的总体保障程度=（实际到位数/预算数）×100%</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3</w:t>
            </w:r>
          </w:p>
        </w:tc>
        <w:tc>
          <w:tcPr>
            <w:tcW w:w="433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资金到位率90%以上，得3分；资金到位率80%以上，得2分；资金到位率70%以上，得1分；低于70%不得分。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资金到位率</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0%</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744"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auto"/>
            <w:vAlign w:val="center"/>
          </w:tcPr>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Merge w:val="continue"/>
            <w:shd w:val="clear" w:color="auto" w:fill="auto"/>
            <w:vAlign w:val="center"/>
          </w:tcPr>
          <w:p>
            <w:pPr>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预算执行率</w:t>
            </w:r>
          </w:p>
        </w:tc>
        <w:tc>
          <w:tcPr>
            <w:tcW w:w="235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用以反映项目预算执行的进度预算执行率=（实际支出数/预算数）×100%</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6</w:t>
            </w:r>
          </w:p>
        </w:tc>
        <w:tc>
          <w:tcPr>
            <w:tcW w:w="433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预算执行率100%，得6分；预算执行率90%以上，得4分；预算执行率85%以上，得3分；预算执行率80%以上，得2分；预算执行率75%以上，得1分，低于75%不得分。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预算执行率100%。</w:t>
            </w:r>
          </w:p>
        </w:tc>
        <w:tc>
          <w:tcPr>
            <w:tcW w:w="744"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资金使用合规性</w:t>
            </w:r>
          </w:p>
        </w:tc>
        <w:tc>
          <w:tcPr>
            <w:tcW w:w="235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是否存在资金挤占、挪用情况，重复申报、虚报冒领的情况</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6</w:t>
            </w:r>
          </w:p>
        </w:tc>
        <w:tc>
          <w:tcPr>
            <w:tcW w:w="433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①未进行专项核算，扣2分；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②存在截留、挤占、挪用、虚列支出等情况，扣2分；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③存在重复申报、虚报冒领的情况，扣2分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未</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进行专项核算；</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扣2分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存在截留、挤占、挪用、虚列支出等情况</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不扣分。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存在重复申报、虚报冒领的情况</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不扣分</w:t>
            </w:r>
            <w:r>
              <w:rPr>
                <w:rFonts w:hint="eastAsia" w:asciiTheme="minorEastAsia" w:hAnsiTheme="minorEastAsia" w:eastAsiaTheme="minorEastAsia" w:cstheme="minorEastAsia"/>
                <w:color w:val="000000" w:themeColor="text1"/>
                <w:kern w:val="0"/>
                <w:sz w:val="21"/>
                <w:szCs w:val="21"/>
                <w:highlight w:val="none"/>
                <w:lang w:eastAsia="zh-CN"/>
                <w14:textFill>
                  <w14:solidFill>
                    <w14:schemeClr w14:val="tx1"/>
                  </w14:solidFill>
                </w14:textFill>
              </w:rPr>
              <w:t>。</w:t>
            </w:r>
          </w:p>
        </w:tc>
        <w:tc>
          <w:tcPr>
            <w:tcW w:w="744"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vMerge w:val="restart"/>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组织实施</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（10分）</w:t>
            </w:r>
          </w:p>
        </w:tc>
        <w:tc>
          <w:tcPr>
            <w:tcW w:w="1035"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管理制度健全性</w:t>
            </w:r>
          </w:p>
        </w:tc>
        <w:tc>
          <w:tcPr>
            <w:tcW w:w="235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实施单位的财务和业务管理制度是否健全</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5</w:t>
            </w:r>
          </w:p>
        </w:tc>
        <w:tc>
          <w:tcPr>
            <w:tcW w:w="433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①制定相应的财务管理制度，得1分；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②制定相应的业务管理制度，得1分；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③制定的管理制度得到有效执行，得3分。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①</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水稻保险、育肥猪保险、能繁母猪保险未</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制定相应的财务管理制度，</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②</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水稻保险、育肥猪保险、能繁母猪保险未</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制定相应的业务管理制度，</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不得</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p>
            <w:pPr>
              <w:pStyle w:val="12"/>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③</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中国人寿关于公益林保险</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制定的管理制度得到有效执行，得</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分。</w:t>
            </w:r>
          </w:p>
        </w:tc>
        <w:tc>
          <w:tcPr>
            <w:tcW w:w="744"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pStyle w:val="14"/>
              <w:adjustRightInd w:val="0"/>
              <w:snapToGrid w:val="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制度执行有效性</w:t>
            </w:r>
          </w:p>
        </w:tc>
        <w:tc>
          <w:tcPr>
            <w:tcW w:w="2355" w:type="dxa"/>
            <w:shd w:val="clear" w:color="auto" w:fill="auto"/>
            <w:vAlign w:val="center"/>
          </w:tcPr>
          <w:p>
            <w:pPr>
              <w:pStyle w:val="14"/>
              <w:adjustRightInd w:val="0"/>
              <w:snapToGrid w:val="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预算支出实施是否符合相关业务管理规定</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w:t>
            </w:r>
          </w:p>
        </w:tc>
        <w:tc>
          <w:tcPr>
            <w:tcW w:w="4335" w:type="dxa"/>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①项目支出等资料齐全并及时归档，得1分；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②项目实施所需相关条件等落实到位，得0.5分；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③项目实施内容与申报一致，得0.5分。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①项目支出等资料齐全并及时归档，得1分；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②项目实施所需相关条件等落实到位，得0.5分；</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③项目实施内容与申报一致，得0.5分。</w:t>
            </w:r>
          </w:p>
        </w:tc>
        <w:tc>
          <w:tcPr>
            <w:tcW w:w="744"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vMerge w:val="continue"/>
            <w:shd w:val="clear" w:color="auto" w:fill="auto"/>
            <w:vAlign w:val="center"/>
          </w:tcPr>
          <w:p>
            <w:pPr>
              <w:widowControl/>
              <w:adjustRightInd w:val="0"/>
              <w:snapToGrid w:val="0"/>
              <w:jc w:val="left"/>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p>
        </w:tc>
        <w:tc>
          <w:tcPr>
            <w:tcW w:w="1035" w:type="dxa"/>
            <w:shd w:val="clear" w:color="auto" w:fill="auto"/>
            <w:vAlign w:val="center"/>
          </w:tcPr>
          <w:p>
            <w:pPr>
              <w:pStyle w:val="14"/>
              <w:adjustRightInd w:val="0"/>
              <w:snapToGrid w:val="0"/>
              <w:jc w:val="cente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绩效自评情况</w:t>
            </w:r>
          </w:p>
        </w:tc>
        <w:tc>
          <w:tcPr>
            <w:tcW w:w="2355" w:type="dxa"/>
            <w:shd w:val="clear" w:color="auto" w:fill="auto"/>
            <w:vAlign w:val="center"/>
          </w:tcPr>
          <w:p>
            <w:pPr>
              <w:pStyle w:val="14"/>
              <w:adjustRightInd w:val="0"/>
              <w:snapToGrid w:val="0"/>
              <w:jc w:val="left"/>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实施单位是否按绩效管理的要求开展项目绩效自评</w:t>
            </w:r>
          </w:p>
        </w:tc>
        <w:tc>
          <w:tcPr>
            <w:tcW w:w="630" w:type="dxa"/>
            <w:shd w:val="clear" w:color="auto" w:fill="auto"/>
            <w:vAlign w:val="center"/>
          </w:tcPr>
          <w:p>
            <w:pPr>
              <w:widowControl/>
              <w:adjustRightInd w:val="0"/>
              <w:snapToGrid w:val="0"/>
              <w:jc w:val="cente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t>3</w:t>
            </w:r>
          </w:p>
        </w:tc>
        <w:tc>
          <w:tcPr>
            <w:tcW w:w="4335" w:type="dxa"/>
            <w:shd w:val="clear" w:color="auto" w:fill="auto"/>
            <w:vAlign w:val="center"/>
          </w:tcPr>
          <w:p>
            <w:pPr>
              <w:pStyle w:val="14"/>
              <w:adjustRightInd w:val="0"/>
              <w:snapToGrid w:val="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①按要求开展绩效自评工作，得0.5分，否则不得分；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②绩效自评报告报送及时，得0.5分，否则不得分；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③绩效自评报告的综合评审等级，优得1分，良得0.5分，中得0.3分，差不得分；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④绩效自评报告是否完整，数据是否全面、真实、准确，绩效指标是否细化量化和科学合理，绩效自评反映的问题是否具体，意见是否可行，是得1分，否则不得分。</w:t>
            </w:r>
          </w:p>
        </w:tc>
        <w:tc>
          <w:tcPr>
            <w:tcW w:w="4320"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①按要求开展绩效自评工作，得0.5分；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②绩效自评报告报送及时，得0.5分；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③绩效自评报告的综合评审等级</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良得0.5分；</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br w:type="textWrapping"/>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④绩效自评报告是否完整，数据是否全面、真实、准确，绩效指标是否细化量化和科学合理，绩效自评反映的问题是否具体，意见是否可行，是得1分。</w:t>
            </w:r>
          </w:p>
        </w:tc>
        <w:tc>
          <w:tcPr>
            <w:tcW w:w="744" w:type="dxa"/>
            <w:shd w:val="clear" w:color="auto" w:fill="auto"/>
            <w:vAlign w:val="center"/>
          </w:tcPr>
          <w:p>
            <w:pPr>
              <w:widowControl/>
              <w:adjustRightInd w:val="0"/>
              <w:snapToGrid w:val="0"/>
              <w:jc w:val="both"/>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highlight w:val="none"/>
                <w:lang w:val="en-US" w:eastAsia="zh-CN"/>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1060" w:type="dxa"/>
            <w:vMerge w:val="restart"/>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产出</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30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产出数量</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（15分）</w:t>
            </w: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绩效目标</w:t>
            </w:r>
          </w:p>
          <w:p>
            <w:pPr>
              <w:widowControl/>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实际完成率</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项目实施的实际产出数量与计划产出数量的比率，用以反映和考核项目产出数量目标的实现程度</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15</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实际完成率=（实际产出数量/计划产出数量）×100%。</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实际产出数量：一定时期（本年度或项目期）内项目实际产出的产品或提供的服务数量。</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计划产出数量：项目绩效目标确定的在一定时期（本年度或项目期）内计划产出的产品或提供的服务数量。</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实际完成率*权重分</w:t>
            </w:r>
          </w:p>
        </w:tc>
        <w:tc>
          <w:tcPr>
            <w:tcW w:w="4320" w:type="dxa"/>
            <w:shd w:val="clear" w:color="auto" w:fill="auto"/>
            <w:vAlign w:val="center"/>
          </w:tcPr>
          <w:p>
            <w:pPr>
              <w:widowControl/>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实际完成率100%</w:t>
            </w:r>
          </w:p>
        </w:tc>
        <w:tc>
          <w:tcPr>
            <w:tcW w:w="744"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0" w:type="dxa"/>
            <w:vMerge w:val="continue"/>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产出质量</w:t>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（6分）</w:t>
            </w: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质量达标率</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t>项目完成的质量达标产出数与实际产出数的比率，用以反映和考核项目产出的质量状况</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质量达标率=（质量达标产出数量/计划完成产出数量）×100%。质量达标产出数：一定时期（本年度或项目期）内实际达到既定质量标准的产品或服务数量。</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既定质量标准是指项目实施单位设立绩效目标时依据计划标准、行业标准、历史标准或其他标准而设定的绩效指标值。</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质量达标率*权重分</w:t>
            </w:r>
          </w:p>
        </w:tc>
        <w:tc>
          <w:tcPr>
            <w:tcW w:w="4320" w:type="dxa"/>
            <w:shd w:val="clear" w:color="auto" w:fill="auto"/>
            <w:vAlign w:val="center"/>
          </w:tcPr>
          <w:p>
            <w:pPr>
              <w:widowControl/>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质量达标率96%</w:t>
            </w:r>
          </w:p>
        </w:tc>
        <w:tc>
          <w:tcPr>
            <w:tcW w:w="744"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vMerge w:val="continue"/>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产出时效</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textWrapping"/>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（4分）</w:t>
            </w: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完成及时率</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按计划时限完成的项目个数与项目总数的比率，用以反映项目完成的及时程度</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4</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完成及时率=计划时限内实际完成的项目数量/计划时限内应完成的项目数量×100%。</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完成及时率*权重分</w:t>
            </w:r>
          </w:p>
        </w:tc>
        <w:tc>
          <w:tcPr>
            <w:tcW w:w="4320" w:type="dxa"/>
            <w:shd w:val="clear" w:color="auto" w:fill="auto"/>
            <w:vAlign w:val="center"/>
          </w:tcPr>
          <w:p>
            <w:pPr>
              <w:widowControl/>
              <w:jc w:val="both"/>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完成及时率100%</w:t>
            </w:r>
          </w:p>
        </w:tc>
        <w:tc>
          <w:tcPr>
            <w:tcW w:w="744"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060" w:type="dxa"/>
            <w:vMerge w:val="continue"/>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产出成本</w:t>
            </w:r>
          </w:p>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（5分）</w:t>
            </w:r>
          </w:p>
        </w:tc>
        <w:tc>
          <w:tcPr>
            <w:tcW w:w="10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政策性农业</w:t>
            </w:r>
          </w:p>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保险成本</w:t>
            </w:r>
          </w:p>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控制措施</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完成预算支出计划工作目标的实际节约成本与计划成本的比率，用以反映和考核预算支出的成本节约程度。</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成本节约率（A）=[（计划成本-实际成本）/计划成本]×100%。（项目完成前提下，A大于等于0得满分，小于-5%的扣1分，小于-10%的扣2分，小于-15%的扣3分，小于-20%的扣4分，小于-20%以上或项目未完成得0分）</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实际成本：预算支出实施单位如期、保质、保量完成既定工作目标实际所耗费的支出。</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计划成本：预算支出实施单位为完成工作目标计划安排的支出，一般以预算支出预算为参考。</w:t>
            </w:r>
          </w:p>
        </w:tc>
        <w:tc>
          <w:tcPr>
            <w:tcW w:w="4320"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成本节约率（A）大于等于0得满分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实际成本：预算支出实施单位如期、保质、保量完成既定工作目标实际所耗费的支出。</w:t>
            </w:r>
          </w:p>
          <w:p>
            <w:pPr>
              <w:widowControl/>
              <w:jc w:val="left"/>
              <w:rPr>
                <w:rFonts w:hint="eastAsia" w:asciiTheme="minorEastAsia" w:hAnsiTheme="minorEastAsia" w:eastAsiaTheme="minorEastAsia" w:cstheme="minorEastAsia"/>
                <w:color w:val="000000" w:themeColor="text1"/>
                <w:kern w:val="0"/>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计划成本：预算支出实施单位为完成工作目标计划安排的支出，一般以预算支出预算为参考。</w:t>
            </w:r>
          </w:p>
        </w:tc>
        <w:tc>
          <w:tcPr>
            <w:tcW w:w="744"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1060" w:type="dxa"/>
            <w:vMerge w:val="restart"/>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效益</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br w:type="page"/>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25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tc>
        <w:tc>
          <w:tcPr>
            <w:tcW w:w="1035" w:type="dxa"/>
            <w:vMerge w:val="restart"/>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实施效益</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经济效益</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考察项目运行在促进农业生态发展方面的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经济效益</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预算支出实施所产生的社会效益、经济效益、生态效益、可持续影响等。可根据预算支出实际情况有选择地设置和细化。(有相关文件、资料、数据支撑或证明所设效益指标达成的，计5分，不对应产出设置相应效益指标及无对应证明材料等，相应扣分至0为止)</w:t>
            </w:r>
          </w:p>
        </w:tc>
        <w:tc>
          <w:tcPr>
            <w:tcW w:w="4320"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未达到水稻投保面积覆盖面指标值大于等于</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90%</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，风险保障总额指标值</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7628.72，</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扣</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1分。</w:t>
            </w:r>
          </w:p>
        </w:tc>
        <w:tc>
          <w:tcPr>
            <w:tcW w:w="744" w:type="dxa"/>
            <w:shd w:val="clear" w:color="auto" w:fill="auto"/>
            <w:vAlign w:val="center"/>
          </w:tcPr>
          <w:p>
            <w:pPr>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vMerge w:val="continue"/>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Merge w:val="continue"/>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社会效益</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考察项目运行在促进农业生态发展方面的</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社会效益</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对社会发展的影响，影响明显计5-4分，较明显计3-2分，有影响不明显计酌情给分</w:t>
            </w:r>
          </w:p>
        </w:tc>
        <w:tc>
          <w:tcPr>
            <w:tcW w:w="4320" w:type="dxa"/>
            <w:shd w:val="clear" w:color="auto" w:fill="auto"/>
            <w:vAlign w:val="bottom"/>
          </w:tcPr>
          <w:p>
            <w:pPr>
              <w:widowControl/>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对社会发展的影响，影响明显计</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744" w:type="dxa"/>
            <w:shd w:val="clear" w:color="auto" w:fill="auto"/>
            <w:vAlign w:val="center"/>
          </w:tcPr>
          <w:p>
            <w:pPr>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060" w:type="dxa"/>
            <w:vMerge w:val="continue"/>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vMerge w:val="continue"/>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可持续影响</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考察项目运行在促进农业生态发展方面的可持续影响情况</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项目具有可持续性影响，影响明显计5-4分，较明显计3-2分，有影响不明显计酌情给分</w:t>
            </w:r>
          </w:p>
        </w:tc>
        <w:tc>
          <w:tcPr>
            <w:tcW w:w="4320" w:type="dxa"/>
            <w:shd w:val="clear" w:color="auto" w:fill="auto"/>
            <w:vAlign w:val="bottom"/>
          </w:tcPr>
          <w:p>
            <w:pPr>
              <w:widowControl/>
              <w:jc w:val="left"/>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项目具有可持续性影响，影响明显计</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lang w:eastAsia="zh-CN"/>
                <w14:textFill>
                  <w14:solidFill>
                    <w14:schemeClr w14:val="tx1"/>
                  </w14:solidFill>
                </w14:textFill>
              </w:rPr>
              <w:t>。</w:t>
            </w:r>
          </w:p>
        </w:tc>
        <w:tc>
          <w:tcPr>
            <w:tcW w:w="744" w:type="dxa"/>
            <w:shd w:val="clear" w:color="auto" w:fill="auto"/>
            <w:vAlign w:val="center"/>
          </w:tcPr>
          <w:p>
            <w:pPr>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vMerge w:val="continue"/>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满意度</w:t>
            </w:r>
          </w:p>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p>
        </w:tc>
        <w:tc>
          <w:tcPr>
            <w:tcW w:w="1035"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参保主体满意度</w:t>
            </w:r>
          </w:p>
        </w:tc>
        <w:tc>
          <w:tcPr>
            <w:tcW w:w="235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 xml:space="preserve">项目资源有效利用，社会公众或服务对象对项目实施效策的满意程度 </w:t>
            </w:r>
          </w:p>
        </w:tc>
        <w:tc>
          <w:tcPr>
            <w:tcW w:w="630"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p>
        </w:tc>
        <w:tc>
          <w:tcPr>
            <w:tcW w:w="4335" w:type="dxa"/>
            <w:shd w:val="clear" w:color="auto" w:fill="auto"/>
            <w:vAlign w:val="center"/>
          </w:tcPr>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满意度</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95</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及以上</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，计1</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每下降一个百分点，扣一分，扣完为止</w:t>
            </w:r>
          </w:p>
        </w:tc>
        <w:tc>
          <w:tcPr>
            <w:tcW w:w="4320" w:type="dxa"/>
            <w:shd w:val="clear" w:color="auto" w:fill="auto"/>
            <w:vAlign w:val="bottom"/>
          </w:tcPr>
          <w:p>
            <w:pPr>
              <w:widowControl/>
              <w:jc w:val="left"/>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满意度95%以上。</w:t>
            </w:r>
          </w:p>
        </w:tc>
        <w:tc>
          <w:tcPr>
            <w:tcW w:w="744" w:type="dxa"/>
            <w:shd w:val="clear" w:color="auto" w:fill="auto"/>
            <w:vAlign w:val="center"/>
          </w:tcPr>
          <w:p>
            <w:pPr>
              <w:widowControl/>
              <w:jc w:val="cente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060"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总计</w:t>
            </w:r>
          </w:p>
        </w:tc>
        <w:tc>
          <w:tcPr>
            <w:tcW w:w="1035"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w:t>
            </w:r>
          </w:p>
        </w:tc>
        <w:tc>
          <w:tcPr>
            <w:tcW w:w="1035"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w:t>
            </w:r>
          </w:p>
        </w:tc>
        <w:tc>
          <w:tcPr>
            <w:tcW w:w="2355"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w:t>
            </w:r>
          </w:p>
        </w:tc>
        <w:tc>
          <w:tcPr>
            <w:tcW w:w="630"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100</w:t>
            </w:r>
          </w:p>
        </w:tc>
        <w:tc>
          <w:tcPr>
            <w:tcW w:w="4335"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w:t>
            </w:r>
          </w:p>
        </w:tc>
        <w:tc>
          <w:tcPr>
            <w:tcW w:w="4320"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w:t>
            </w:r>
          </w:p>
        </w:tc>
        <w:tc>
          <w:tcPr>
            <w:tcW w:w="744" w:type="dxa"/>
            <w:shd w:val="clear" w:color="auto" w:fill="auto"/>
            <w:vAlign w:val="center"/>
          </w:tcPr>
          <w:p>
            <w:pPr>
              <w:widowControl/>
              <w:jc w:val="cente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0"/>
                <w:sz w:val="21"/>
                <w:szCs w:val="21"/>
                <w:lang w:val="en-US"/>
                <w14:textFill>
                  <w14:solidFill>
                    <w14:schemeClr w14:val="tx1"/>
                  </w14:solidFill>
                </w14:textFill>
              </w:rPr>
              <w:t>89.5</w:t>
            </w:r>
            <w:r>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t>　</w:t>
            </w:r>
          </w:p>
        </w:tc>
      </w:tr>
    </w:tbl>
    <w:p>
      <w:pPr>
        <w:pStyle w:val="8"/>
        <w:jc w:val="center"/>
        <w:rPr>
          <w:rFonts w:hint="eastAsia" w:eastAsia="宋体"/>
          <w:color w:val="auto"/>
          <w:lang w:eastAsia="zh-CN"/>
        </w:rPr>
      </w:pPr>
    </w:p>
    <w:p>
      <w:pPr>
        <w:pStyle w:val="8"/>
        <w:jc w:val="center"/>
        <w:rPr>
          <w:rFonts w:hint="eastAsia" w:eastAsia="宋体"/>
          <w:color w:val="auto"/>
          <w:lang w:eastAsia="zh-CN"/>
        </w:rPr>
      </w:pPr>
    </w:p>
    <w:p>
      <w:pPr>
        <w:pStyle w:val="8"/>
        <w:jc w:val="center"/>
        <w:rPr>
          <w:rFonts w:hint="eastAsia" w:eastAsia="宋体"/>
          <w:color w:val="auto"/>
          <w:lang w:eastAsia="zh-CN"/>
        </w:rPr>
      </w:pPr>
    </w:p>
    <w:p>
      <w:pPr>
        <w:pStyle w:val="8"/>
        <w:jc w:val="center"/>
        <w:rPr>
          <w:rFonts w:hint="eastAsia" w:eastAsia="宋体"/>
          <w:color w:val="auto"/>
          <w:lang w:eastAsia="zh-CN"/>
        </w:rPr>
      </w:pPr>
    </w:p>
    <w:p>
      <w:pPr>
        <w:pStyle w:val="8"/>
        <w:jc w:val="center"/>
        <w:rPr>
          <w:rFonts w:hint="eastAsia" w:eastAsia="宋体"/>
          <w:color w:val="auto"/>
          <w:lang w:eastAsia="zh-CN"/>
        </w:rPr>
      </w:pPr>
    </w:p>
    <w:p>
      <w:pPr>
        <w:pStyle w:val="8"/>
        <w:jc w:val="center"/>
        <w:rPr>
          <w:rFonts w:hint="eastAsia" w:eastAsia="宋体"/>
          <w:color w:val="auto"/>
          <w:lang w:eastAsia="zh-CN"/>
        </w:rPr>
      </w:pPr>
    </w:p>
    <w:p>
      <w:pPr>
        <w:pStyle w:val="8"/>
        <w:jc w:val="center"/>
        <w:rPr>
          <w:rFonts w:hint="eastAsia" w:eastAsia="宋体"/>
          <w:color w:val="auto"/>
          <w:lang w:eastAsia="zh-CN"/>
        </w:rPr>
      </w:pPr>
    </w:p>
    <w:p>
      <w:pPr>
        <w:pStyle w:val="8"/>
        <w:jc w:val="center"/>
        <w:rPr>
          <w:rFonts w:hint="eastAsia" w:eastAsia="宋体"/>
          <w:color w:val="auto"/>
          <w:lang w:eastAsia="zh-CN"/>
        </w:rPr>
      </w:pPr>
    </w:p>
    <w:p>
      <w:pPr>
        <w:pStyle w:val="8"/>
        <w:ind w:left="0" w:leftChars="0" w:firstLine="0" w:firstLineChars="0"/>
        <w:jc w:val="both"/>
        <w:rPr>
          <w:rFonts w:hint="eastAsia" w:eastAsia="宋体"/>
          <w:color w:val="auto"/>
          <w:lang w:eastAsia="zh-CN"/>
        </w:rPr>
      </w:pPr>
    </w:p>
    <w:sectPr>
      <w:headerReference r:id="rId4"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3F11EDD-8C69-4A6A-993E-21DC3761C99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C6336ACF-BFF6-4B19-B5E7-DAC628AF2AE1}"/>
  </w:font>
  <w:font w:name="方正小标宋简体">
    <w:panose1 w:val="03000509000000000000"/>
    <w:charset w:val="86"/>
    <w:family w:val="script"/>
    <w:pitch w:val="default"/>
    <w:sig w:usb0="00000001" w:usb1="080E0000" w:usb2="00000000" w:usb3="00000000" w:csb0="00040000" w:csb1="00000000"/>
    <w:embedRegular r:id="rId3" w:fontKey="{263B80B1-0372-4978-A625-DC38E6EF9373}"/>
  </w:font>
  <w:font w:name="Arial Narrow">
    <w:panose1 w:val="020B0606020202030204"/>
    <w:charset w:val="00"/>
    <w:family w:val="swiss"/>
    <w:pitch w:val="default"/>
    <w:sig w:usb0="00000287" w:usb1="00000800" w:usb2="00000000" w:usb3="00000000" w:csb0="2000009F" w:csb1="DFD70000"/>
    <w:embedRegular r:id="rId4" w:fontKey="{A2149E30-9415-425C-B1C3-4E03BEA8CB06}"/>
  </w:font>
  <w:font w:name="仿宋">
    <w:panose1 w:val="02010609060101010101"/>
    <w:charset w:val="86"/>
    <w:family w:val="auto"/>
    <w:pitch w:val="default"/>
    <w:sig w:usb0="800002BF" w:usb1="38CF7CFA" w:usb2="00000016" w:usb3="00000000" w:csb0="00040001" w:csb1="00000000"/>
    <w:embedRegular r:id="rId5" w:fontKey="{E4B29625-46AB-4D0E-9A9D-D1979AADE82B}"/>
  </w:font>
  <w:font w:name="微软雅黑">
    <w:panose1 w:val="020B0503020204020204"/>
    <w:charset w:val="86"/>
    <w:family w:val="auto"/>
    <w:pitch w:val="default"/>
    <w:sig w:usb0="80000287" w:usb1="2ACF3C50" w:usb2="00000016" w:usb3="00000000" w:csb0="0004001F" w:csb1="00000000"/>
    <w:embedRegular r:id="rId6" w:fontKey="{941641A0-95C5-4A07-B54A-A21B18EF74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2"/>
      <w:numFmt w:val="decimal"/>
      <w:lvlText w:val="%1"/>
      <w:lvlJc w:val="left"/>
      <w:pPr>
        <w:tabs>
          <w:tab w:val="left" w:pos="432"/>
        </w:tabs>
        <w:ind w:left="432" w:hanging="432"/>
      </w:pPr>
      <w:rPr>
        <w:rFonts w:hint="eastAsia"/>
      </w:rPr>
    </w:lvl>
    <w:lvl w:ilvl="1" w:tentative="0">
      <w:start w:val="1"/>
      <w:numFmt w:val="decimal"/>
      <w:pStyle w:val="2"/>
      <w:lvlText w:val="%2"/>
      <w:lvlJc w:val="left"/>
      <w:pPr>
        <w:tabs>
          <w:tab w:val="left" w:pos="576"/>
        </w:tabs>
        <w:ind w:left="576" w:hanging="576"/>
      </w:pPr>
      <w:rPr>
        <w:rFonts w:ascii="Times New Roman" w:hAnsi="Times New Roman" w:eastAsia="Times New Roman" w:cs="Times New Roman"/>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isLg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YjljZGQ0MTVhMjkwZDViNDNlMzY2NTFjMWYyNTkifQ=="/>
  </w:docVars>
  <w:rsids>
    <w:rsidRoot w:val="00000000"/>
    <w:rsid w:val="114415F3"/>
    <w:rsid w:val="196B1CF7"/>
    <w:rsid w:val="2D937EFD"/>
    <w:rsid w:val="309F019C"/>
    <w:rsid w:val="33354DE7"/>
    <w:rsid w:val="345D720B"/>
    <w:rsid w:val="3D9737D4"/>
    <w:rsid w:val="443A5A50"/>
    <w:rsid w:val="52502CCA"/>
    <w:rsid w:val="5AFA409D"/>
    <w:rsid w:val="62C21944"/>
    <w:rsid w:val="73C12E22"/>
    <w:rsid w:val="7A664E53"/>
    <w:rsid w:val="7D44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3">
    <w:name w:val="heading 3"/>
    <w:basedOn w:val="1"/>
    <w:next w:val="1"/>
    <w:autoRedefine/>
    <w:qFormat/>
    <w:uiPriority w:val="0"/>
    <w:pPr>
      <w:keepNext/>
      <w:keepLines/>
      <w:spacing w:before="260" w:beforeAutospacing="0" w:after="260" w:afterAutospacing="0" w:line="413" w:lineRule="auto"/>
      <w:outlineLvl w:val="2"/>
    </w:pPr>
    <w:rPr>
      <w:b/>
      <w:sz w:val="32"/>
    </w:rPr>
  </w:style>
  <w:style w:type="character" w:default="1" w:styleId="11">
    <w:name w:val="Default Paragraph Font"/>
    <w:autoRedefine/>
    <w:qFormat/>
    <w:uiPriority w:val="0"/>
  </w:style>
  <w:style w:type="table" w:default="1" w:styleId="9">
    <w:name w:val="Normal Table"/>
    <w:qFormat/>
    <w:uiPriority w:val="0"/>
    <w:tblPr>
      <w:tblCellMar>
        <w:top w:w="0" w:type="dxa"/>
        <w:left w:w="108" w:type="dxa"/>
        <w:bottom w:w="0" w:type="dxa"/>
        <w:right w:w="108" w:type="dxa"/>
      </w:tblCellMar>
    </w:tblPr>
  </w:style>
  <w:style w:type="paragraph" w:styleId="4">
    <w:name w:val="Body Text"/>
    <w:basedOn w:val="1"/>
    <w:autoRedefine/>
    <w:qFormat/>
    <w:uiPriority w:val="0"/>
    <w:pPr>
      <w:widowControl/>
      <w:spacing w:before="100" w:beforeAutospacing="1" w:after="100" w:afterAutospacing="1"/>
      <w:jc w:val="left"/>
    </w:pPr>
    <w:rPr>
      <w:rFonts w:ascii="宋体" w:hAnsi="宋体" w:cs="宋体"/>
      <w:kern w:val="0"/>
      <w:sz w:val="24"/>
    </w:rPr>
  </w:style>
  <w:style w:type="paragraph" w:styleId="5">
    <w:name w:val="footer"/>
    <w:basedOn w:val="1"/>
    <w:autoRedefine/>
    <w:qFormat/>
    <w:uiPriority w:val="99"/>
    <w:pPr>
      <w:tabs>
        <w:tab w:val="center" w:pos="4153"/>
        <w:tab w:val="right" w:pos="8306"/>
      </w:tabs>
      <w:snapToGrid w:val="0"/>
      <w:jc w:val="left"/>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styleId="8">
    <w:name w:val="Body Text First Indent"/>
    <w:basedOn w:val="4"/>
    <w:autoRedefine/>
    <w:qFormat/>
    <w:uiPriority w:val="0"/>
    <w:pPr>
      <w:ind w:firstLine="664"/>
    </w:p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1"/>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样式5"/>
    <w:basedOn w:val="1"/>
    <w:autoRedefine/>
    <w:qFormat/>
    <w:uiPriority w:val="0"/>
    <w:pPr>
      <w:spacing w:line="600" w:lineRule="exact"/>
      <w:ind w:firstLine="880" w:firstLineChars="200"/>
    </w:pPr>
    <w:rPr>
      <w:rFonts w:ascii="仿宋_GB2312" w:hAnsi="仿宋_GB2312" w:eastAsia="仿宋_GB2312" w:cs="仿宋_GB2312"/>
      <w:sz w:val="32"/>
      <w:szCs w:val="22"/>
    </w:rPr>
  </w:style>
  <w:style w:type="paragraph" w:customStyle="1" w:styleId="14">
    <w:name w:val="p0"/>
    <w:basedOn w:val="1"/>
    <w:autoRedefine/>
    <w:qFormat/>
    <w:uiPriority w:val="0"/>
    <w:pPr>
      <w:widowControl/>
    </w:pPr>
    <w:rPr>
      <w:rFonts w:hint="default"/>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7524</Words>
  <Characters>8039</Characters>
  <Paragraphs>368</Paragraphs>
  <TotalTime>0</TotalTime>
  <ScaleCrop>false</ScaleCrop>
  <LinksUpToDate>false</LinksUpToDate>
  <CharactersWithSpaces>8212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2023-12-01T00:48:00Z</dcterms:created>
  <dc:creator>wyt</dc:creator>
  <cp:lastModifiedBy>小鲸怡</cp:lastModifiedBy>
  <dcterms:modified xsi:type="dcterms:W3CDTF">2023-12-18T07:27:01Z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8317DD5974D1408CB8C2CC7FED326EDB_13</vt:lpwstr>
  </property>
</Properties>
</file>