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64EC4">
      <w:pPr>
        <w:pStyle w:val="4"/>
      </w:pPr>
    </w:p>
    <w:p w14:paraId="25A81A00">
      <w:pPr>
        <w:pStyle w:val="4"/>
        <w:spacing w:line="241" w:lineRule="auto"/>
      </w:pPr>
    </w:p>
    <w:p w14:paraId="06726DCD">
      <w:pPr>
        <w:pStyle w:val="4"/>
        <w:spacing w:line="241" w:lineRule="auto"/>
      </w:pPr>
    </w:p>
    <w:p w14:paraId="5BAF9E32">
      <w:pPr>
        <w:pStyle w:val="4"/>
        <w:spacing w:line="241" w:lineRule="auto"/>
      </w:pPr>
    </w:p>
    <w:p w14:paraId="75775581">
      <w:pPr>
        <w:spacing w:before="107" w:line="224" w:lineRule="auto"/>
        <w:ind w:left="236"/>
        <w:rPr>
          <w:rFonts w:ascii="黑体" w:hAnsi="黑体" w:eastAsia="黑体" w:cs="黑体"/>
          <w:sz w:val="33"/>
          <w:szCs w:val="33"/>
        </w:rPr>
      </w:pPr>
      <w:r>
        <w:rPr>
          <w:rFonts w:ascii="黑体" w:hAnsi="黑体" w:eastAsia="黑体" w:cs="黑体"/>
          <w:b/>
          <w:bCs/>
          <w:spacing w:val="34"/>
          <w:sz w:val="33"/>
          <w:szCs w:val="33"/>
        </w:rPr>
        <w:t>附件1</w:t>
      </w:r>
    </w:p>
    <w:p w14:paraId="1B523217">
      <w:pPr>
        <w:pStyle w:val="4"/>
        <w:spacing w:line="308" w:lineRule="auto"/>
      </w:pPr>
    </w:p>
    <w:p w14:paraId="0017854C">
      <w:pPr>
        <w:spacing w:line="240" w:lineRule="auto"/>
        <w:ind w:left="544" w:right="0" w:hanging="544" w:hangingChars="100"/>
        <w:rPr>
          <w:rFonts w:ascii="宋体" w:hAnsi="宋体" w:eastAsia="宋体" w:cs="宋体"/>
          <w:b/>
          <w:bCs/>
          <w:spacing w:val="11"/>
          <w:sz w:val="52"/>
          <w:szCs w:val="52"/>
        </w:rPr>
      </w:pPr>
    </w:p>
    <w:p w14:paraId="3E863A6F">
      <w:pPr>
        <w:spacing w:line="240" w:lineRule="auto"/>
        <w:ind w:right="0"/>
        <w:jc w:val="center"/>
        <w:rPr>
          <w:rFonts w:ascii="宋体" w:hAnsi="宋体" w:eastAsia="宋体" w:cs="宋体"/>
          <w:sz w:val="52"/>
          <w:szCs w:val="52"/>
        </w:rPr>
      </w:pPr>
      <w:r>
        <w:rPr>
          <w:rFonts w:hint="eastAsia" w:asciiTheme="majorEastAsia" w:hAnsiTheme="majorEastAsia" w:eastAsiaTheme="majorEastAsia" w:cstheme="majorEastAsia"/>
          <w:b/>
          <w:bCs/>
          <w:spacing w:val="11"/>
          <w:sz w:val="52"/>
          <w:szCs w:val="52"/>
        </w:rPr>
        <w:t>2023年度邵阳市</w:t>
      </w:r>
      <w:r>
        <w:rPr>
          <w:rFonts w:hint="eastAsia" w:asciiTheme="majorEastAsia" w:hAnsiTheme="majorEastAsia" w:eastAsiaTheme="majorEastAsia" w:cstheme="majorEastAsia"/>
          <w:b/>
          <w:bCs/>
          <w:spacing w:val="11"/>
          <w:sz w:val="52"/>
          <w:szCs w:val="52"/>
          <w:lang w:eastAsia="zh-CN"/>
        </w:rPr>
        <w:t>北塔区</w:t>
      </w:r>
      <w:r>
        <w:rPr>
          <w:rFonts w:hint="eastAsia" w:asciiTheme="majorEastAsia" w:hAnsiTheme="majorEastAsia" w:eastAsiaTheme="majorEastAsia" w:cstheme="majorEastAsia"/>
          <w:b/>
          <w:bCs/>
          <w:spacing w:val="11"/>
          <w:sz w:val="52"/>
          <w:szCs w:val="52"/>
        </w:rPr>
        <w:t>城市管理</w:t>
      </w:r>
      <w:r>
        <w:rPr>
          <w:rFonts w:hint="eastAsia" w:asciiTheme="majorEastAsia" w:hAnsiTheme="majorEastAsia" w:eastAsiaTheme="majorEastAsia" w:cstheme="majorEastAsia"/>
          <w:b/>
          <w:bCs/>
          <w:spacing w:val="11"/>
          <w:sz w:val="52"/>
          <w:szCs w:val="52"/>
          <w:lang w:val="en-US" w:eastAsia="zh-CN"/>
        </w:rPr>
        <w:t>和</w:t>
      </w:r>
      <w:r>
        <w:rPr>
          <w:rFonts w:hint="eastAsia" w:asciiTheme="majorEastAsia" w:hAnsiTheme="majorEastAsia" w:eastAsiaTheme="majorEastAsia" w:cstheme="majorEastAsia"/>
          <w:b/>
          <w:bCs/>
          <w:spacing w:val="11"/>
          <w:sz w:val="52"/>
          <w:szCs w:val="52"/>
          <w:lang w:eastAsia="zh-CN"/>
        </w:rPr>
        <w:t>综合执法</w:t>
      </w:r>
      <w:r>
        <w:rPr>
          <w:rFonts w:hint="eastAsia" w:asciiTheme="majorEastAsia" w:hAnsiTheme="majorEastAsia" w:eastAsiaTheme="majorEastAsia" w:cstheme="majorEastAsia"/>
          <w:b/>
          <w:bCs/>
          <w:spacing w:val="11"/>
          <w:sz w:val="52"/>
          <w:szCs w:val="52"/>
        </w:rPr>
        <w:t>局</w:t>
      </w:r>
      <w:r>
        <w:rPr>
          <w:rFonts w:hint="eastAsia" w:asciiTheme="majorEastAsia" w:hAnsiTheme="majorEastAsia" w:eastAsiaTheme="majorEastAsia" w:cstheme="majorEastAsia"/>
          <w:b/>
          <w:bCs/>
          <w:spacing w:val="-8"/>
          <w:sz w:val="52"/>
          <w:szCs w:val="52"/>
        </w:rPr>
        <w:t>整体支出绩效自评报告</w:t>
      </w:r>
    </w:p>
    <w:p w14:paraId="69E20D32">
      <w:pPr>
        <w:pStyle w:val="4"/>
        <w:spacing w:line="246" w:lineRule="auto"/>
      </w:pPr>
    </w:p>
    <w:p w14:paraId="3CB2EDCB">
      <w:pPr>
        <w:pStyle w:val="4"/>
        <w:spacing w:line="246" w:lineRule="auto"/>
      </w:pPr>
    </w:p>
    <w:p w14:paraId="267468CE">
      <w:pPr>
        <w:pStyle w:val="4"/>
        <w:spacing w:line="246" w:lineRule="auto"/>
      </w:pPr>
    </w:p>
    <w:p w14:paraId="2882AB40">
      <w:pPr>
        <w:pStyle w:val="4"/>
        <w:spacing w:line="246" w:lineRule="auto"/>
      </w:pPr>
    </w:p>
    <w:p w14:paraId="5367DF77">
      <w:pPr>
        <w:pStyle w:val="4"/>
        <w:spacing w:line="246" w:lineRule="auto"/>
      </w:pPr>
    </w:p>
    <w:p w14:paraId="1C5B9F12">
      <w:pPr>
        <w:pStyle w:val="4"/>
        <w:spacing w:line="246" w:lineRule="auto"/>
      </w:pPr>
    </w:p>
    <w:p w14:paraId="2E8AA3C2">
      <w:pPr>
        <w:pStyle w:val="4"/>
        <w:spacing w:line="246" w:lineRule="auto"/>
      </w:pPr>
    </w:p>
    <w:p w14:paraId="6B3CCF34">
      <w:pPr>
        <w:pStyle w:val="4"/>
        <w:spacing w:line="246" w:lineRule="auto"/>
      </w:pPr>
    </w:p>
    <w:p w14:paraId="209C535A">
      <w:pPr>
        <w:pStyle w:val="4"/>
        <w:spacing w:line="246" w:lineRule="auto"/>
      </w:pPr>
    </w:p>
    <w:p w14:paraId="7F2A38BC">
      <w:pPr>
        <w:pStyle w:val="4"/>
        <w:spacing w:line="246" w:lineRule="auto"/>
      </w:pPr>
    </w:p>
    <w:p w14:paraId="6F0597E4">
      <w:pPr>
        <w:pStyle w:val="4"/>
        <w:spacing w:line="246" w:lineRule="auto"/>
      </w:pPr>
    </w:p>
    <w:p w14:paraId="47C17159">
      <w:pPr>
        <w:pStyle w:val="4"/>
        <w:spacing w:line="246" w:lineRule="auto"/>
      </w:pPr>
    </w:p>
    <w:p w14:paraId="6971DE37">
      <w:pPr>
        <w:pStyle w:val="4"/>
        <w:spacing w:line="247" w:lineRule="auto"/>
      </w:pPr>
    </w:p>
    <w:p w14:paraId="6FC85BA2">
      <w:pPr>
        <w:pStyle w:val="4"/>
        <w:spacing w:line="247" w:lineRule="auto"/>
      </w:pPr>
    </w:p>
    <w:p w14:paraId="78780390">
      <w:pPr>
        <w:pStyle w:val="4"/>
        <w:spacing w:line="247" w:lineRule="auto"/>
      </w:pPr>
    </w:p>
    <w:p w14:paraId="3619DA73">
      <w:pPr>
        <w:pStyle w:val="4"/>
        <w:spacing w:line="247" w:lineRule="auto"/>
      </w:pPr>
    </w:p>
    <w:p w14:paraId="2B74D3D4">
      <w:pPr>
        <w:pStyle w:val="4"/>
        <w:spacing w:line="247" w:lineRule="auto"/>
      </w:pPr>
    </w:p>
    <w:p w14:paraId="53335ADF">
      <w:pPr>
        <w:pStyle w:val="4"/>
        <w:spacing w:line="247" w:lineRule="auto"/>
      </w:pPr>
    </w:p>
    <w:p w14:paraId="21F8384E">
      <w:pPr>
        <w:spacing w:before="130" w:line="254" w:lineRule="auto"/>
        <w:ind w:right="1500"/>
        <w:jc w:val="center"/>
        <w:rPr>
          <w:rFonts w:hint="eastAsia" w:ascii="仿宋" w:hAnsi="仿宋" w:eastAsia="仿宋" w:cs="仿宋"/>
          <w:b/>
          <w:bCs/>
          <w:spacing w:val="-7"/>
          <w:sz w:val="32"/>
          <w:szCs w:val="32"/>
        </w:rPr>
      </w:pPr>
      <w:r>
        <w:rPr>
          <w:rFonts w:hint="eastAsia" w:ascii="仿宋" w:hAnsi="仿宋" w:eastAsia="仿宋" w:cs="仿宋"/>
          <w:b/>
          <w:bCs/>
          <w:spacing w:val="-7"/>
          <w:sz w:val="32"/>
          <w:szCs w:val="32"/>
          <w:lang w:val="en-US" w:eastAsia="zh-CN"/>
        </w:rPr>
        <w:t xml:space="preserve">   </w:t>
      </w:r>
      <w:r>
        <w:rPr>
          <w:rFonts w:ascii="仿宋" w:hAnsi="仿宋" w:eastAsia="仿宋" w:cs="仿宋"/>
          <w:b/>
          <w:bCs/>
          <w:spacing w:val="-7"/>
          <w:sz w:val="32"/>
          <w:szCs w:val="32"/>
        </w:rPr>
        <w:t>单位名称：</w:t>
      </w:r>
      <w:r>
        <w:rPr>
          <w:rFonts w:hint="eastAsia" w:ascii="仿宋" w:hAnsi="仿宋" w:eastAsia="仿宋" w:cs="仿宋"/>
          <w:b/>
          <w:bCs/>
          <w:spacing w:val="-7"/>
          <w:sz w:val="32"/>
          <w:szCs w:val="32"/>
        </w:rPr>
        <w:t>邵阳市北塔区城市管理</w:t>
      </w:r>
      <w:r>
        <w:rPr>
          <w:rFonts w:hint="eastAsia" w:ascii="仿宋" w:hAnsi="仿宋" w:eastAsia="仿宋" w:cs="仿宋"/>
          <w:b/>
          <w:bCs/>
          <w:spacing w:val="-7"/>
          <w:sz w:val="32"/>
          <w:szCs w:val="32"/>
          <w:lang w:val="en-US" w:eastAsia="zh-CN"/>
        </w:rPr>
        <w:t>和</w:t>
      </w:r>
      <w:r>
        <w:rPr>
          <w:rFonts w:hint="eastAsia" w:ascii="仿宋" w:hAnsi="仿宋" w:eastAsia="仿宋" w:cs="仿宋"/>
          <w:b/>
          <w:bCs/>
          <w:spacing w:val="-7"/>
          <w:sz w:val="32"/>
          <w:szCs w:val="32"/>
        </w:rPr>
        <w:t>综合执局</w:t>
      </w:r>
    </w:p>
    <w:p w14:paraId="632E5507">
      <w:pPr>
        <w:spacing w:before="130" w:line="254" w:lineRule="auto"/>
        <w:ind w:right="1500" w:firstLine="3682" w:firstLineChars="800"/>
        <w:rPr>
          <w:rFonts w:ascii="仿宋" w:hAnsi="仿宋" w:eastAsia="仿宋" w:cs="仿宋"/>
          <w:sz w:val="32"/>
          <w:szCs w:val="32"/>
        </w:rPr>
      </w:pPr>
      <w:r>
        <w:rPr>
          <w:rFonts w:ascii="仿宋" w:hAnsi="仿宋" w:eastAsia="仿宋" w:cs="仿宋"/>
          <w:b/>
          <w:bCs/>
          <w:spacing w:val="60"/>
          <w:w w:val="106"/>
          <w:sz w:val="32"/>
          <w:szCs w:val="32"/>
        </w:rPr>
        <w:t>2024年</w:t>
      </w:r>
      <w:r>
        <w:rPr>
          <w:rFonts w:hint="eastAsia" w:ascii="仿宋" w:hAnsi="仿宋" w:eastAsia="仿宋" w:cs="仿宋"/>
          <w:b/>
          <w:bCs/>
          <w:spacing w:val="60"/>
          <w:w w:val="106"/>
          <w:sz w:val="32"/>
          <w:szCs w:val="32"/>
          <w:lang w:val="en-US" w:eastAsia="zh-CN"/>
        </w:rPr>
        <w:t>8</w:t>
      </w:r>
      <w:r>
        <w:rPr>
          <w:rFonts w:ascii="仿宋" w:hAnsi="仿宋" w:eastAsia="仿宋" w:cs="仿宋"/>
          <w:b/>
          <w:bCs/>
          <w:spacing w:val="60"/>
          <w:w w:val="106"/>
          <w:sz w:val="32"/>
          <w:szCs w:val="32"/>
        </w:rPr>
        <w:t>月</w:t>
      </w:r>
      <w:r>
        <w:rPr>
          <w:rFonts w:hint="eastAsia" w:ascii="仿宋" w:hAnsi="仿宋" w:eastAsia="仿宋" w:cs="仿宋"/>
          <w:b/>
          <w:bCs/>
          <w:spacing w:val="60"/>
          <w:w w:val="106"/>
          <w:sz w:val="32"/>
          <w:szCs w:val="32"/>
          <w:lang w:val="en-US" w:eastAsia="zh-CN"/>
        </w:rPr>
        <w:t>1</w:t>
      </w:r>
      <w:r>
        <w:rPr>
          <w:rFonts w:ascii="仿宋" w:hAnsi="仿宋" w:eastAsia="仿宋" w:cs="仿宋"/>
          <w:b/>
          <w:bCs/>
          <w:spacing w:val="60"/>
          <w:w w:val="106"/>
          <w:sz w:val="32"/>
          <w:szCs w:val="32"/>
        </w:rPr>
        <w:t>日</w:t>
      </w:r>
    </w:p>
    <w:p w14:paraId="02162FB5">
      <w:pPr>
        <w:spacing w:line="254" w:lineRule="auto"/>
        <w:rPr>
          <w:rFonts w:hint="eastAsia" w:ascii="仿宋" w:hAnsi="仿宋" w:eastAsia="仿宋" w:cs="仿宋"/>
          <w:sz w:val="32"/>
          <w:szCs w:val="32"/>
        </w:rPr>
        <w:sectPr>
          <w:pgSz w:w="11920" w:h="16900"/>
          <w:pgMar w:top="1434" w:right="1788" w:bottom="1434" w:left="1788" w:header="0" w:footer="0" w:gutter="0"/>
          <w:cols w:space="0" w:num="1"/>
          <w:rtlGutter w:val="0"/>
          <w:docGrid w:linePitch="0" w:charSpace="0"/>
        </w:sectPr>
      </w:pPr>
    </w:p>
    <w:p w14:paraId="62DF12B3">
      <w:pPr>
        <w:pStyle w:val="4"/>
        <w:spacing w:line="252" w:lineRule="auto"/>
        <w:rPr>
          <w:rFonts w:hint="eastAsia" w:ascii="仿宋" w:hAnsi="仿宋" w:eastAsia="仿宋" w:cs="仿宋"/>
        </w:rPr>
      </w:pPr>
    </w:p>
    <w:p w14:paraId="1DCE0C57">
      <w:pPr>
        <w:pStyle w:val="4"/>
        <w:spacing w:line="252" w:lineRule="auto"/>
        <w:rPr>
          <w:rFonts w:hint="eastAsia" w:ascii="仿宋" w:hAnsi="仿宋" w:eastAsia="仿宋" w:cs="仿宋"/>
        </w:rPr>
      </w:pPr>
    </w:p>
    <w:p w14:paraId="1E9A725C">
      <w:pPr>
        <w:pStyle w:val="4"/>
        <w:spacing w:line="253" w:lineRule="auto"/>
        <w:rPr>
          <w:rFonts w:hint="eastAsia" w:ascii="仿宋" w:hAnsi="仿宋" w:eastAsia="仿宋" w:cs="仿宋"/>
        </w:rPr>
      </w:pPr>
    </w:p>
    <w:p w14:paraId="2E623ADF">
      <w:pPr>
        <w:spacing w:line="240" w:lineRule="auto"/>
        <w:ind w:left="0" w:right="0" w:firstLine="0"/>
        <w:jc w:val="center"/>
        <w:rPr>
          <w:rFonts w:hint="eastAsia" w:ascii="仿宋" w:hAnsi="仿宋" w:eastAsia="仿宋" w:cs="仿宋"/>
          <w:sz w:val="44"/>
          <w:szCs w:val="44"/>
        </w:rPr>
      </w:pPr>
      <w:r>
        <w:rPr>
          <w:rFonts w:hint="eastAsia" w:ascii="仿宋" w:hAnsi="仿宋" w:eastAsia="仿宋" w:cs="仿宋"/>
          <w:b/>
          <w:bCs/>
          <w:spacing w:val="3"/>
          <w:sz w:val="44"/>
          <w:szCs w:val="44"/>
        </w:rPr>
        <w:t>2023年度</w:t>
      </w:r>
      <w:r>
        <w:rPr>
          <w:rFonts w:hint="eastAsia" w:ascii="仿宋" w:hAnsi="仿宋" w:eastAsia="仿宋" w:cs="仿宋"/>
          <w:b/>
          <w:bCs/>
          <w:spacing w:val="3"/>
          <w:sz w:val="44"/>
          <w:szCs w:val="44"/>
          <w:lang w:eastAsia="zh-CN"/>
        </w:rPr>
        <w:t>邵阳市北塔区城市管理综合执法局</w:t>
      </w:r>
      <w:r>
        <w:rPr>
          <w:rFonts w:hint="eastAsia" w:ascii="仿宋" w:hAnsi="仿宋" w:eastAsia="仿宋" w:cs="仿宋"/>
          <w:b/>
          <w:bCs/>
          <w:spacing w:val="3"/>
          <w:sz w:val="44"/>
          <w:szCs w:val="44"/>
        </w:rPr>
        <w:t>整体支出绩效自</w:t>
      </w:r>
      <w:r>
        <w:rPr>
          <w:rFonts w:hint="eastAsia" w:ascii="仿宋" w:hAnsi="仿宋" w:eastAsia="仿宋" w:cs="仿宋"/>
          <w:b/>
          <w:bCs/>
          <w:spacing w:val="1"/>
          <w:sz w:val="44"/>
          <w:szCs w:val="44"/>
        </w:rPr>
        <w:t>评报告</w:t>
      </w:r>
    </w:p>
    <w:p w14:paraId="10CAA238">
      <w:pPr>
        <w:pStyle w:val="4"/>
        <w:spacing w:line="336" w:lineRule="auto"/>
        <w:rPr>
          <w:rFonts w:hint="eastAsia" w:ascii="仿宋" w:hAnsi="仿宋" w:eastAsia="仿宋" w:cs="仿宋"/>
        </w:rPr>
      </w:pPr>
    </w:p>
    <w:p w14:paraId="163DA32C">
      <w:pPr>
        <w:pStyle w:val="4"/>
        <w:keepNext w:val="0"/>
        <w:keepLines w:val="0"/>
        <w:pageBreakBefore w:val="0"/>
        <w:wordWrap/>
        <w:overflowPunct/>
        <w:topLinePunct w:val="0"/>
        <w:bidi w:val="0"/>
        <w:spacing w:line="240" w:lineRule="auto"/>
        <w:rPr>
          <w:rFonts w:hint="eastAsia" w:ascii="仿宋" w:hAnsi="仿宋" w:eastAsia="仿宋" w:cs="仿宋"/>
        </w:rPr>
      </w:pPr>
    </w:p>
    <w:p w14:paraId="6B8D2634">
      <w:pPr>
        <w:keepNext w:val="0"/>
        <w:keepLines w:val="0"/>
        <w:pageBreakBefore w:val="0"/>
        <w:numPr>
          <w:ilvl w:val="0"/>
          <w:numId w:val="1"/>
        </w:numPr>
        <w:wordWrap/>
        <w:overflowPunct/>
        <w:topLinePunct w:val="0"/>
        <w:bidi w:val="0"/>
        <w:spacing w:before="104" w:line="240" w:lineRule="auto"/>
        <w:ind w:left="4"/>
        <w:outlineLvl w:val="0"/>
        <w:rPr>
          <w:rFonts w:hint="eastAsia" w:ascii="仿宋" w:hAnsi="仿宋" w:eastAsia="仿宋" w:cs="仿宋"/>
          <w:b/>
          <w:bCs/>
          <w:spacing w:val="21"/>
          <w:sz w:val="32"/>
          <w:szCs w:val="32"/>
        </w:rPr>
      </w:pPr>
      <w:r>
        <w:rPr>
          <w:rFonts w:hint="eastAsia" w:ascii="仿宋" w:hAnsi="仿宋" w:eastAsia="仿宋" w:cs="仿宋"/>
          <w:b/>
          <w:bCs/>
          <w:spacing w:val="21"/>
          <w:sz w:val="32"/>
          <w:szCs w:val="32"/>
        </w:rPr>
        <w:t>部门(单位)基本情况</w:t>
      </w:r>
    </w:p>
    <w:p w14:paraId="44C9994E">
      <w:pPr>
        <w:keepNext w:val="0"/>
        <w:keepLines w:val="0"/>
        <w:pageBreakBefore w:val="0"/>
        <w:numPr>
          <w:ilvl w:val="0"/>
          <w:numId w:val="0"/>
        </w:numPr>
        <w:wordWrap/>
        <w:overflowPunct/>
        <w:topLinePunct w:val="0"/>
        <w:bidi w:val="0"/>
        <w:spacing w:before="104" w:line="240" w:lineRule="auto"/>
        <w:outlineLvl w:val="0"/>
        <w:rPr>
          <w:rFonts w:hint="eastAsia" w:ascii="仿宋" w:hAnsi="仿宋" w:eastAsia="仿宋" w:cs="仿宋"/>
          <w:sz w:val="32"/>
          <w:szCs w:val="32"/>
        </w:rPr>
      </w:pPr>
      <w:r>
        <w:rPr>
          <w:rFonts w:hint="eastAsia" w:ascii="仿宋" w:hAnsi="仿宋" w:eastAsia="仿宋" w:cs="仿宋"/>
          <w:spacing w:val="17"/>
          <w:sz w:val="32"/>
          <w:szCs w:val="32"/>
        </w:rPr>
        <w:t>(一)机构、人员构成</w:t>
      </w:r>
    </w:p>
    <w:p w14:paraId="49F64B12">
      <w:pPr>
        <w:keepNext w:val="0"/>
        <w:keepLines w:val="0"/>
        <w:pageBreakBefore w:val="0"/>
        <w:wordWrap/>
        <w:overflowPunct/>
        <w:topLinePunct w:val="0"/>
        <w:bidi w:val="0"/>
        <w:spacing w:before="148" w:line="240" w:lineRule="auto"/>
        <w:ind w:right="173" w:firstLine="629"/>
        <w:jc w:val="both"/>
        <w:rPr>
          <w:rFonts w:hint="eastAsia" w:ascii="仿宋" w:hAnsi="仿宋" w:eastAsia="仿宋" w:cs="仿宋"/>
          <w:spacing w:val="20"/>
          <w:sz w:val="32"/>
          <w:szCs w:val="32"/>
        </w:rPr>
      </w:pPr>
      <w:r>
        <w:rPr>
          <w:rFonts w:hint="eastAsia" w:ascii="仿宋" w:hAnsi="仿宋" w:eastAsia="仿宋" w:cs="仿宋"/>
          <w:spacing w:val="-7"/>
          <w:sz w:val="32"/>
          <w:szCs w:val="32"/>
          <w:lang w:eastAsia="zh-CN"/>
        </w:rPr>
        <w:t>邵阳市北塔区城市管理和综合执法局为一级预算单位，单位性质为行政单位，下设内设机构6个（含办公室、政工股、政策法规股、财务装备股、市容管理股(加挂行政审批服务股牌子)、数字化信息股）。所属事业单位3个，分别为:北塔区城市管理综合行政执法大队、北塔区环境卫生服务中心、北塔区城镇绿化站。</w:t>
      </w:r>
      <w:r>
        <w:rPr>
          <w:rFonts w:hint="eastAsia" w:ascii="仿宋" w:hAnsi="仿宋" w:eastAsia="仿宋" w:cs="仿宋"/>
          <w:spacing w:val="31"/>
          <w:sz w:val="32"/>
          <w:szCs w:val="32"/>
          <w:lang w:eastAsia="zh-CN"/>
        </w:rPr>
        <w:t>邵阳市北塔区城市管理综合执法局</w:t>
      </w:r>
      <w:r>
        <w:rPr>
          <w:rFonts w:hint="eastAsia" w:ascii="仿宋" w:hAnsi="仿宋" w:eastAsia="仿宋" w:cs="仿宋"/>
          <w:spacing w:val="31"/>
          <w:sz w:val="32"/>
          <w:szCs w:val="32"/>
        </w:rPr>
        <w:t>编制为</w:t>
      </w:r>
      <w:r>
        <w:rPr>
          <w:rFonts w:hint="eastAsia" w:ascii="仿宋" w:hAnsi="仿宋" w:eastAsia="仿宋" w:cs="仿宋"/>
          <w:spacing w:val="31"/>
          <w:sz w:val="32"/>
          <w:szCs w:val="32"/>
          <w:lang w:val="en-US" w:eastAsia="zh-CN"/>
        </w:rPr>
        <w:t>49</w:t>
      </w:r>
      <w:r>
        <w:rPr>
          <w:rFonts w:hint="eastAsia" w:ascii="仿宋" w:hAnsi="仿宋" w:eastAsia="仿宋" w:cs="仿宋"/>
          <w:spacing w:val="31"/>
          <w:sz w:val="32"/>
          <w:szCs w:val="32"/>
        </w:rPr>
        <w:t>名，截至20</w:t>
      </w:r>
      <w:r>
        <w:rPr>
          <w:rFonts w:hint="eastAsia" w:ascii="仿宋" w:hAnsi="仿宋" w:eastAsia="仿宋" w:cs="仿宋"/>
          <w:spacing w:val="30"/>
          <w:sz w:val="32"/>
          <w:szCs w:val="32"/>
        </w:rPr>
        <w:t>23年12月</w:t>
      </w:r>
      <w:r>
        <w:rPr>
          <w:rFonts w:hint="eastAsia" w:ascii="仿宋" w:hAnsi="仿宋" w:eastAsia="仿宋" w:cs="仿宋"/>
          <w:spacing w:val="20"/>
          <w:sz w:val="32"/>
          <w:szCs w:val="32"/>
        </w:rPr>
        <w:t>31日，实有在职</w:t>
      </w:r>
      <w:r>
        <w:rPr>
          <w:rFonts w:hint="eastAsia" w:ascii="仿宋" w:hAnsi="仿宋" w:eastAsia="仿宋" w:cs="仿宋"/>
          <w:spacing w:val="20"/>
          <w:sz w:val="32"/>
          <w:szCs w:val="32"/>
          <w:lang w:val="en-US" w:eastAsia="zh-CN"/>
        </w:rPr>
        <w:t>75</w:t>
      </w:r>
      <w:r>
        <w:rPr>
          <w:rFonts w:hint="eastAsia" w:ascii="仿宋" w:hAnsi="仿宋" w:eastAsia="仿宋" w:cs="仿宋"/>
          <w:spacing w:val="20"/>
          <w:sz w:val="32"/>
          <w:szCs w:val="32"/>
        </w:rPr>
        <w:t>人，退休</w:t>
      </w:r>
      <w:r>
        <w:rPr>
          <w:rFonts w:hint="eastAsia" w:ascii="仿宋" w:hAnsi="仿宋" w:eastAsia="仿宋" w:cs="仿宋"/>
          <w:spacing w:val="20"/>
          <w:sz w:val="32"/>
          <w:szCs w:val="32"/>
          <w:lang w:val="en-US" w:eastAsia="zh-CN"/>
        </w:rPr>
        <w:t>17</w:t>
      </w:r>
      <w:r>
        <w:rPr>
          <w:rFonts w:hint="eastAsia" w:ascii="仿宋" w:hAnsi="仿宋" w:eastAsia="仿宋" w:cs="仿宋"/>
          <w:spacing w:val="20"/>
          <w:sz w:val="32"/>
          <w:szCs w:val="32"/>
        </w:rPr>
        <w:t>人。</w:t>
      </w:r>
    </w:p>
    <w:p w14:paraId="3DB2DEAD">
      <w:pPr>
        <w:keepNext w:val="0"/>
        <w:keepLines w:val="0"/>
        <w:pageBreakBefore w:val="0"/>
        <w:wordWrap/>
        <w:overflowPunct/>
        <w:topLinePunct w:val="0"/>
        <w:bidi w:val="0"/>
        <w:spacing w:before="148" w:line="240" w:lineRule="auto"/>
        <w:ind w:right="173"/>
        <w:jc w:val="both"/>
        <w:rPr>
          <w:rFonts w:hint="eastAsia" w:ascii="仿宋" w:hAnsi="仿宋" w:eastAsia="仿宋" w:cs="仿宋"/>
          <w:sz w:val="32"/>
          <w:szCs w:val="32"/>
        </w:rPr>
      </w:pPr>
      <w:r>
        <w:rPr>
          <w:rFonts w:hint="eastAsia" w:ascii="仿宋" w:hAnsi="仿宋" w:eastAsia="仿宋" w:cs="仿宋"/>
          <w:spacing w:val="18"/>
          <w:sz w:val="32"/>
          <w:szCs w:val="32"/>
        </w:rPr>
        <w:t>(二)单位主要职责</w:t>
      </w:r>
    </w:p>
    <w:p w14:paraId="14B35E05">
      <w:pPr>
        <w:keepNext w:val="0"/>
        <w:keepLines w:val="0"/>
        <w:pageBreakBefore w:val="0"/>
        <w:wordWrap/>
        <w:overflowPunct/>
        <w:topLinePunct w:val="0"/>
        <w:bidi w:val="0"/>
        <w:spacing w:before="148" w:line="240" w:lineRule="auto"/>
        <w:ind w:right="173" w:firstLine="629"/>
        <w:jc w:val="both"/>
        <w:rPr>
          <w:rFonts w:hint="eastAsia" w:ascii="仿宋" w:hAnsi="仿宋" w:eastAsia="仿宋" w:cs="仿宋"/>
          <w:spacing w:val="-7"/>
          <w:sz w:val="32"/>
          <w:szCs w:val="32"/>
          <w:lang w:eastAsia="zh-CN"/>
        </w:rPr>
      </w:pPr>
      <w:r>
        <w:rPr>
          <w:rFonts w:hint="eastAsia" w:ascii="仿宋" w:hAnsi="仿宋" w:eastAsia="仿宋" w:cs="仿宋"/>
          <w:spacing w:val="-7"/>
          <w:sz w:val="32"/>
          <w:szCs w:val="32"/>
          <w:lang w:eastAsia="zh-CN"/>
        </w:rPr>
        <w:t>⑴、行使市容环境卫生管理方面法律、法规、规章规定的行政处罚权，强制拆除不符合城市容貌标准、环境卫生标准的违法建筑或者设施。</w:t>
      </w:r>
    </w:p>
    <w:p w14:paraId="0D69FEAF">
      <w:pPr>
        <w:keepNext w:val="0"/>
        <w:keepLines w:val="0"/>
        <w:pageBreakBefore w:val="0"/>
        <w:wordWrap/>
        <w:overflowPunct/>
        <w:topLinePunct w:val="0"/>
        <w:bidi w:val="0"/>
        <w:spacing w:before="148" w:line="240" w:lineRule="auto"/>
        <w:ind w:right="173" w:firstLine="629"/>
        <w:jc w:val="both"/>
        <w:rPr>
          <w:rFonts w:hint="eastAsia" w:ascii="仿宋" w:hAnsi="仿宋" w:eastAsia="仿宋" w:cs="仿宋"/>
          <w:spacing w:val="-7"/>
          <w:sz w:val="32"/>
          <w:szCs w:val="32"/>
          <w:lang w:eastAsia="zh-CN"/>
        </w:rPr>
      </w:pPr>
      <w:r>
        <w:rPr>
          <w:rFonts w:hint="eastAsia" w:ascii="仿宋" w:hAnsi="仿宋" w:eastAsia="仿宋" w:cs="仿宋"/>
          <w:spacing w:val="-7"/>
          <w:sz w:val="32"/>
          <w:szCs w:val="32"/>
          <w:lang w:eastAsia="zh-CN"/>
        </w:rPr>
        <w:t>⑵、行使工商行政管理方面法律、法规规定的对无照商贩，以及有照但不按执法规定场地经营而进行店外经营、店外作业的商贩的行政处罚权，行使对违规设置户外广告行为以及对影响市容的破损、残缺广告的所有者或经营者的行政处罚权。</w:t>
      </w:r>
    </w:p>
    <w:p w14:paraId="06246A42">
      <w:pPr>
        <w:keepNext w:val="0"/>
        <w:keepLines w:val="0"/>
        <w:pageBreakBefore w:val="0"/>
        <w:wordWrap/>
        <w:overflowPunct/>
        <w:topLinePunct w:val="0"/>
        <w:bidi w:val="0"/>
        <w:spacing w:before="148" w:line="240" w:lineRule="auto"/>
        <w:ind w:right="173" w:firstLine="629"/>
        <w:jc w:val="both"/>
        <w:rPr>
          <w:rFonts w:hint="eastAsia" w:ascii="仿宋" w:hAnsi="仿宋" w:eastAsia="仿宋" w:cs="仿宋"/>
          <w:spacing w:val="-7"/>
          <w:sz w:val="32"/>
          <w:szCs w:val="32"/>
          <w:lang w:eastAsia="zh-CN"/>
        </w:rPr>
      </w:pPr>
      <w:r>
        <w:rPr>
          <w:rFonts w:hint="eastAsia" w:ascii="仿宋" w:hAnsi="仿宋" w:eastAsia="仿宋" w:cs="仿宋"/>
          <w:spacing w:val="-7"/>
          <w:sz w:val="32"/>
          <w:szCs w:val="32"/>
          <w:lang w:eastAsia="zh-CN"/>
        </w:rPr>
        <w:t>⑶、行使城市公安管理方面法律、法规、规章规定的，对乱停乱放车辆、当路摆摊设点、堆物及占道作业等侵占城市道路和公共场地行为的行政处罚权；行使城区内违反烟花爆竹管理规定行为的行政处罚权。</w:t>
      </w:r>
    </w:p>
    <w:p w14:paraId="7720BFE0">
      <w:pPr>
        <w:keepNext w:val="0"/>
        <w:keepLines w:val="0"/>
        <w:pageBreakBefore w:val="0"/>
        <w:wordWrap/>
        <w:overflowPunct/>
        <w:topLinePunct w:val="0"/>
        <w:bidi w:val="0"/>
        <w:spacing w:before="148" w:line="240" w:lineRule="auto"/>
        <w:ind w:right="173" w:firstLine="629"/>
        <w:jc w:val="both"/>
        <w:rPr>
          <w:rFonts w:hint="eastAsia" w:ascii="仿宋" w:hAnsi="仿宋" w:eastAsia="仿宋" w:cs="仿宋"/>
          <w:spacing w:val="-7"/>
          <w:sz w:val="32"/>
          <w:szCs w:val="32"/>
          <w:lang w:eastAsia="zh-CN"/>
        </w:rPr>
      </w:pPr>
      <w:r>
        <w:rPr>
          <w:rFonts w:hint="eastAsia" w:ascii="仿宋" w:hAnsi="仿宋" w:eastAsia="仿宋" w:cs="仿宋"/>
          <w:spacing w:val="-7"/>
          <w:sz w:val="32"/>
          <w:szCs w:val="32"/>
          <w:lang w:eastAsia="zh-CN"/>
        </w:rPr>
        <w:t>⑷、行使市政管理方面法律、法规、规章规定的行政处罚权（不含城市燃气、城市用水、城市路灯、渣土、大型户外广告的行政处罚权）。</w:t>
      </w:r>
    </w:p>
    <w:p w14:paraId="05937BD0">
      <w:pPr>
        <w:keepNext w:val="0"/>
        <w:keepLines w:val="0"/>
        <w:pageBreakBefore w:val="0"/>
        <w:wordWrap/>
        <w:overflowPunct/>
        <w:topLinePunct w:val="0"/>
        <w:bidi w:val="0"/>
        <w:spacing w:before="148" w:line="240" w:lineRule="auto"/>
        <w:ind w:right="173" w:firstLine="629"/>
        <w:jc w:val="both"/>
        <w:rPr>
          <w:rFonts w:hint="eastAsia" w:ascii="仿宋" w:hAnsi="仿宋" w:eastAsia="仿宋" w:cs="仿宋"/>
          <w:spacing w:val="-7"/>
          <w:sz w:val="32"/>
          <w:szCs w:val="32"/>
          <w:lang w:eastAsia="zh-CN"/>
        </w:rPr>
      </w:pPr>
      <w:r>
        <w:rPr>
          <w:rFonts w:hint="eastAsia" w:ascii="仿宋" w:hAnsi="仿宋" w:eastAsia="仿宋" w:cs="仿宋"/>
          <w:spacing w:val="-7"/>
          <w:sz w:val="32"/>
          <w:szCs w:val="32"/>
          <w:lang w:eastAsia="zh-CN"/>
        </w:rPr>
        <w:t>⑸、行使水务管理方面法律、法规、规章规定的，向城市河道和水域倾倒废弃物和垃圾及违规取土、城市河道违法建筑物拆除等的行政处罚权。</w:t>
      </w:r>
    </w:p>
    <w:p w14:paraId="61C75167">
      <w:pPr>
        <w:keepNext w:val="0"/>
        <w:keepLines w:val="0"/>
        <w:pageBreakBefore w:val="0"/>
        <w:wordWrap/>
        <w:overflowPunct/>
        <w:topLinePunct w:val="0"/>
        <w:bidi w:val="0"/>
        <w:spacing w:line="240" w:lineRule="auto"/>
        <w:ind w:right="0" w:firstLine="0"/>
        <w:jc w:val="left"/>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lang w:eastAsia="zh-CN"/>
        </w:rPr>
        <w:t>⑹、行使殡葬管理方面法律、法规、规章规定的行政处罚权。</w:t>
      </w:r>
      <w:r>
        <w:rPr>
          <w:rFonts w:hint="eastAsia" w:ascii="仿宋" w:hAnsi="仿宋" w:eastAsia="仿宋" w:cs="仿宋"/>
          <w:spacing w:val="-7"/>
          <w:sz w:val="32"/>
          <w:szCs w:val="32"/>
          <w:lang w:val="en-US" w:eastAsia="zh-CN"/>
        </w:rPr>
        <w:t xml:space="preserve"> </w:t>
      </w:r>
    </w:p>
    <w:p w14:paraId="69186BEB">
      <w:pPr>
        <w:keepNext w:val="0"/>
        <w:keepLines w:val="0"/>
        <w:pageBreakBefore w:val="0"/>
        <w:wordWrap/>
        <w:overflowPunct/>
        <w:topLinePunct w:val="0"/>
        <w:bidi w:val="0"/>
        <w:spacing w:line="240" w:lineRule="auto"/>
        <w:ind w:right="0" w:firstLine="572"/>
        <w:jc w:val="both"/>
        <w:rPr>
          <w:rFonts w:hint="eastAsia" w:ascii="仿宋" w:hAnsi="仿宋" w:eastAsia="仿宋" w:cs="仿宋"/>
          <w:spacing w:val="-7"/>
          <w:sz w:val="32"/>
          <w:szCs w:val="32"/>
          <w:lang w:eastAsia="zh-CN"/>
        </w:rPr>
      </w:pPr>
      <w:r>
        <w:rPr>
          <w:rFonts w:hint="eastAsia" w:ascii="仿宋" w:hAnsi="仿宋" w:eastAsia="仿宋" w:cs="仿宋"/>
          <w:spacing w:val="-7"/>
          <w:sz w:val="32"/>
          <w:szCs w:val="32"/>
          <w:lang w:eastAsia="zh-CN"/>
        </w:rPr>
        <w:t>⑺、行使城市园林绿化管理方面法律、法规、规章规定的行政处罚权。</w:t>
      </w:r>
      <w:r>
        <w:rPr>
          <w:rFonts w:hint="eastAsia" w:ascii="仿宋" w:hAnsi="仿宋" w:eastAsia="仿宋" w:cs="仿宋"/>
          <w:spacing w:val="-7"/>
          <w:sz w:val="32"/>
          <w:szCs w:val="32"/>
          <w:lang w:val="en-US" w:eastAsia="zh-CN"/>
        </w:rPr>
        <w:t xml:space="preserve"> </w:t>
      </w:r>
    </w:p>
    <w:p w14:paraId="05AB89E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572" w:firstLineChars="0"/>
        <w:jc w:val="both"/>
        <w:textAlignment w:val="baseline"/>
        <w:outlineLvl w:val="9"/>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eastAsia="zh-CN"/>
        </w:rPr>
        <w:t>⑻、行使环境保护管理方面法律、法规、规章规定的，在市区经营、作业产生超标噪音的行政处罚权；在城市人口集中区因焚烧、运输和经营餐饮等行为而产生的有毒、有害气体或烟尘的行政处罚权。</w:t>
      </w:r>
      <w:r>
        <w:rPr>
          <w:rFonts w:hint="eastAsia" w:ascii="仿宋" w:hAnsi="仿宋" w:eastAsia="仿宋" w:cs="仿宋"/>
          <w:spacing w:val="-7"/>
          <w:sz w:val="32"/>
          <w:szCs w:val="32"/>
          <w:lang w:val="en-US" w:eastAsia="zh-CN"/>
        </w:rPr>
        <w:t xml:space="preserve">   </w:t>
      </w:r>
    </w:p>
    <w:p w14:paraId="6C34E33D">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572"/>
        <w:jc w:val="both"/>
        <w:textAlignment w:val="baseline"/>
        <w:outlineLvl w:val="9"/>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eastAsia="zh-CN"/>
        </w:rPr>
        <w:t>⑼</w:t>
      </w:r>
      <w:r>
        <w:rPr>
          <w:rFonts w:hint="eastAsia" w:ascii="仿宋" w:hAnsi="仿宋" w:eastAsia="仿宋" w:cs="仿宋"/>
          <w:spacing w:val="-7"/>
          <w:sz w:val="32"/>
          <w:szCs w:val="32"/>
          <w:lang w:val="en-US" w:eastAsia="zh-CN"/>
        </w:rPr>
        <w:t xml:space="preserve"> 、行使城市规划管理方面法律、法规、规章规定的在城市规划区内未取得建设工程规划许可证和违反许可证规定进行建设的行政处罚权。 </w:t>
      </w:r>
    </w:p>
    <w:p w14:paraId="0AC38589">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firstLine="572"/>
        <w:jc w:val="both"/>
        <w:textAlignment w:val="baseline"/>
        <w:outlineLvl w:val="9"/>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⑽、行使住房城乡建设领域法律、法规、规章规定的全部行政处罚权。</w:t>
      </w:r>
    </w:p>
    <w:p w14:paraId="476B9522">
      <w:pPr>
        <w:keepNext w:val="0"/>
        <w:keepLines w:val="0"/>
        <w:pageBreakBefore w:val="0"/>
        <w:wordWrap/>
        <w:overflowPunct/>
        <w:topLinePunct w:val="0"/>
        <w:bidi w:val="0"/>
        <w:spacing w:line="240" w:lineRule="auto"/>
        <w:ind w:left="0"/>
        <w:jc w:val="left"/>
        <w:outlineLvl w:val="0"/>
        <w:rPr>
          <w:rFonts w:hint="eastAsia" w:ascii="仿宋" w:hAnsi="仿宋" w:eastAsia="仿宋" w:cs="仿宋"/>
          <w:b/>
          <w:bCs/>
          <w:spacing w:val="-12"/>
          <w:sz w:val="32"/>
          <w:szCs w:val="32"/>
        </w:rPr>
      </w:pPr>
    </w:p>
    <w:p w14:paraId="678B9C04">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outlineLvl w:val="0"/>
        <w:rPr>
          <w:rFonts w:hint="eastAsia" w:ascii="仿宋" w:hAnsi="仿宋" w:eastAsia="仿宋" w:cs="仿宋"/>
          <w:spacing w:val="12"/>
          <w:sz w:val="32"/>
          <w:szCs w:val="32"/>
          <w:lang w:val="en-US" w:eastAsia="zh-CN"/>
        </w:rPr>
      </w:pPr>
      <w:r>
        <w:rPr>
          <w:rFonts w:hint="eastAsia" w:ascii="仿宋" w:hAnsi="仿宋" w:eastAsia="仿宋" w:cs="仿宋"/>
          <w:b/>
          <w:bCs/>
          <w:spacing w:val="-12"/>
          <w:sz w:val="32"/>
          <w:szCs w:val="32"/>
        </w:rPr>
        <w:t>二、部门整体支出管理及使用情况</w:t>
      </w:r>
    </w:p>
    <w:p w14:paraId="7D09EFC6">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textAlignment w:val="baseline"/>
        <w:rPr>
          <w:rFonts w:hint="eastAsia" w:ascii="仿宋" w:hAnsi="仿宋" w:eastAsia="仿宋" w:cs="仿宋"/>
          <w:sz w:val="32"/>
          <w:szCs w:val="32"/>
        </w:rPr>
      </w:pPr>
      <w:r>
        <w:rPr>
          <w:rFonts w:hint="eastAsia" w:ascii="仿宋" w:hAnsi="仿宋" w:eastAsia="仿宋" w:cs="仿宋"/>
          <w:spacing w:val="12"/>
          <w:sz w:val="32"/>
          <w:szCs w:val="32"/>
          <w:lang w:val="en-US" w:eastAsia="zh-CN"/>
        </w:rPr>
        <w:t xml:space="preserve">   </w:t>
      </w:r>
      <w:r>
        <w:rPr>
          <w:rFonts w:hint="eastAsia" w:ascii="仿宋" w:hAnsi="仿宋" w:eastAsia="仿宋" w:cs="仿宋"/>
          <w:spacing w:val="12"/>
          <w:sz w:val="32"/>
          <w:szCs w:val="32"/>
          <w:lang w:eastAsia="zh-CN"/>
        </w:rPr>
        <w:t>邵阳市北塔区城市管理综合执法局</w:t>
      </w:r>
      <w:r>
        <w:rPr>
          <w:rFonts w:hint="eastAsia" w:ascii="仿宋" w:hAnsi="仿宋" w:eastAsia="仿宋" w:cs="仿宋"/>
          <w:spacing w:val="12"/>
          <w:sz w:val="32"/>
          <w:szCs w:val="32"/>
        </w:rPr>
        <w:t>2023年度财政拨款年初结转和结余0</w:t>
      </w:r>
      <w:r>
        <w:rPr>
          <w:rFonts w:hint="eastAsia" w:ascii="仿宋" w:hAnsi="仿宋" w:eastAsia="仿宋" w:cs="仿宋"/>
          <w:spacing w:val="9"/>
          <w:sz w:val="32"/>
          <w:szCs w:val="32"/>
        </w:rPr>
        <w:t>万元，本年收入</w:t>
      </w:r>
      <w:r>
        <w:rPr>
          <w:rFonts w:hint="eastAsia" w:ascii="仿宋" w:hAnsi="仿宋" w:eastAsia="仿宋" w:cs="仿宋"/>
          <w:spacing w:val="9"/>
          <w:sz w:val="32"/>
          <w:szCs w:val="32"/>
          <w:lang w:val="en-US" w:eastAsia="zh-CN"/>
        </w:rPr>
        <w:t>4248.09</w:t>
      </w:r>
      <w:r>
        <w:rPr>
          <w:rFonts w:hint="eastAsia" w:ascii="仿宋" w:hAnsi="仿宋" w:eastAsia="仿宋" w:cs="仿宋"/>
          <w:spacing w:val="9"/>
          <w:sz w:val="32"/>
          <w:szCs w:val="32"/>
        </w:rPr>
        <w:t>万元，本年支出</w:t>
      </w:r>
      <w:r>
        <w:rPr>
          <w:rFonts w:hint="eastAsia" w:ascii="仿宋" w:hAnsi="仿宋" w:eastAsia="仿宋" w:cs="仿宋"/>
          <w:b w:val="0"/>
          <w:bCs w:val="0"/>
          <w:spacing w:val="9"/>
          <w:sz w:val="32"/>
          <w:szCs w:val="32"/>
          <w:lang w:val="en-US" w:eastAsia="zh-CN"/>
        </w:rPr>
        <w:t>4248.09</w:t>
      </w:r>
      <w:r>
        <w:rPr>
          <w:rFonts w:hint="eastAsia" w:ascii="仿宋" w:hAnsi="仿宋" w:eastAsia="仿宋" w:cs="仿宋"/>
          <w:spacing w:val="8"/>
          <w:sz w:val="32"/>
          <w:szCs w:val="32"/>
        </w:rPr>
        <w:t>万元，年末</w:t>
      </w:r>
      <w:r>
        <w:rPr>
          <w:rFonts w:hint="eastAsia" w:ascii="仿宋" w:hAnsi="仿宋" w:eastAsia="仿宋" w:cs="仿宋"/>
          <w:spacing w:val="3"/>
          <w:sz w:val="32"/>
          <w:szCs w:val="32"/>
        </w:rPr>
        <w:t>结转和结余0万元。</w:t>
      </w:r>
    </w:p>
    <w:p w14:paraId="7925C836">
      <w:pPr>
        <w:pStyle w:val="4"/>
        <w:keepNext w:val="0"/>
        <w:keepLines w:val="0"/>
        <w:pageBreakBefore w:val="0"/>
        <w:wordWrap/>
        <w:overflowPunct/>
        <w:topLinePunct w:val="0"/>
        <w:bidi w:val="0"/>
        <w:spacing w:line="240" w:lineRule="auto"/>
        <w:ind w:right="0" w:firstLine="0"/>
        <w:rPr>
          <w:rFonts w:hint="eastAsia" w:ascii="仿宋" w:hAnsi="仿宋" w:eastAsia="仿宋" w:cs="仿宋"/>
          <w:sz w:val="32"/>
          <w:szCs w:val="32"/>
        </w:rPr>
      </w:pPr>
      <w:r>
        <w:rPr>
          <w:rFonts w:hint="eastAsia" w:ascii="仿宋" w:hAnsi="仿宋" w:eastAsia="仿宋" w:cs="仿宋"/>
          <w:spacing w:val="13"/>
          <w:sz w:val="32"/>
          <w:szCs w:val="32"/>
          <w:lang w:val="en-US" w:eastAsia="zh-CN"/>
        </w:rPr>
        <w:t xml:space="preserve">   </w:t>
      </w:r>
      <w:r>
        <w:rPr>
          <w:rFonts w:hint="eastAsia" w:ascii="仿宋" w:hAnsi="仿宋" w:eastAsia="仿宋" w:cs="仿宋"/>
          <w:spacing w:val="13"/>
          <w:sz w:val="32"/>
          <w:szCs w:val="32"/>
        </w:rPr>
        <w:t>(一)基本支出情况</w:t>
      </w:r>
    </w:p>
    <w:p w14:paraId="617FEC82">
      <w:pPr>
        <w:pStyle w:val="4"/>
        <w:keepNext w:val="0"/>
        <w:keepLines w:val="0"/>
        <w:pageBreakBefore w:val="0"/>
        <w:wordWrap/>
        <w:overflowPunct/>
        <w:topLinePunct w:val="0"/>
        <w:bidi w:val="0"/>
        <w:spacing w:before="155" w:line="240" w:lineRule="auto"/>
        <w:ind w:right="90" w:firstLine="630"/>
        <w:rPr>
          <w:rFonts w:hint="eastAsia" w:ascii="仿宋" w:hAnsi="仿宋" w:eastAsia="仿宋" w:cs="仿宋"/>
          <w:sz w:val="32"/>
          <w:szCs w:val="32"/>
        </w:rPr>
      </w:pPr>
      <w:r>
        <w:rPr>
          <w:rFonts w:hint="eastAsia" w:ascii="仿宋" w:hAnsi="仿宋" w:eastAsia="仿宋" w:cs="仿宋"/>
          <w:spacing w:val="-2"/>
          <w:sz w:val="32"/>
          <w:szCs w:val="32"/>
          <w:lang w:eastAsia="zh-CN"/>
        </w:rPr>
        <w:t>邵阳市北塔区城市管理综合执法局</w:t>
      </w:r>
      <w:r>
        <w:rPr>
          <w:rFonts w:hint="eastAsia" w:ascii="仿宋" w:hAnsi="仿宋" w:eastAsia="仿宋" w:cs="仿宋"/>
          <w:spacing w:val="-2"/>
          <w:sz w:val="32"/>
          <w:szCs w:val="32"/>
        </w:rPr>
        <w:t>2023年度一般公共预算财政拨款</w:t>
      </w:r>
      <w:r>
        <w:rPr>
          <w:rFonts w:hint="eastAsia" w:ascii="仿宋" w:hAnsi="仿宋" w:eastAsia="仿宋" w:cs="仿宋"/>
          <w:spacing w:val="-3"/>
          <w:sz w:val="32"/>
          <w:szCs w:val="32"/>
        </w:rPr>
        <w:t>基本支</w:t>
      </w:r>
      <w:r>
        <w:rPr>
          <w:rFonts w:hint="eastAsia" w:ascii="仿宋" w:hAnsi="仿宋" w:eastAsia="仿宋" w:cs="仿宋"/>
          <w:spacing w:val="1"/>
          <w:sz w:val="32"/>
          <w:szCs w:val="32"/>
        </w:rPr>
        <w:t>出年初结转和结余0万元，本年收入</w:t>
      </w:r>
      <w:r>
        <w:rPr>
          <w:rFonts w:hint="eastAsia" w:ascii="仿宋" w:hAnsi="仿宋" w:eastAsia="仿宋" w:cs="仿宋"/>
          <w:b w:val="0"/>
          <w:bCs w:val="0"/>
          <w:spacing w:val="1"/>
          <w:sz w:val="32"/>
          <w:szCs w:val="32"/>
          <w:lang w:val="en-US" w:eastAsia="zh-CN"/>
        </w:rPr>
        <w:t>1309.25</w:t>
      </w:r>
      <w:r>
        <w:rPr>
          <w:rFonts w:hint="eastAsia" w:ascii="仿宋" w:hAnsi="仿宋" w:eastAsia="仿宋" w:cs="仿宋"/>
          <w:spacing w:val="1"/>
          <w:sz w:val="32"/>
          <w:szCs w:val="32"/>
        </w:rPr>
        <w:t>万元，本年支出</w:t>
      </w:r>
      <w:r>
        <w:rPr>
          <w:rFonts w:hint="eastAsia" w:ascii="仿宋" w:hAnsi="仿宋" w:eastAsia="仿宋" w:cs="仿宋"/>
          <w:b w:val="0"/>
          <w:bCs w:val="0"/>
          <w:spacing w:val="1"/>
          <w:sz w:val="32"/>
          <w:szCs w:val="32"/>
          <w:lang w:val="en-US" w:eastAsia="zh-CN"/>
        </w:rPr>
        <w:t>1309.25</w:t>
      </w:r>
      <w:r>
        <w:rPr>
          <w:rFonts w:hint="eastAsia" w:ascii="仿宋" w:hAnsi="仿宋" w:eastAsia="仿宋" w:cs="仿宋"/>
          <w:b w:val="0"/>
          <w:bCs w:val="0"/>
          <w:spacing w:val="1"/>
          <w:sz w:val="32"/>
          <w:szCs w:val="32"/>
        </w:rPr>
        <w:t>万</w:t>
      </w:r>
      <w:r>
        <w:rPr>
          <w:rFonts w:hint="eastAsia" w:ascii="仿宋" w:hAnsi="仿宋" w:eastAsia="仿宋" w:cs="仿宋"/>
          <w:spacing w:val="1"/>
          <w:sz w:val="32"/>
          <w:szCs w:val="32"/>
        </w:rPr>
        <w:t>元，年末结转和结余0万</w:t>
      </w:r>
      <w:r>
        <w:rPr>
          <w:rFonts w:hint="eastAsia" w:ascii="仿宋" w:hAnsi="仿宋" w:eastAsia="仿宋" w:cs="仿宋"/>
          <w:sz w:val="32"/>
          <w:szCs w:val="32"/>
        </w:rPr>
        <w:t>元。</w:t>
      </w:r>
    </w:p>
    <w:p w14:paraId="19E1A0D2">
      <w:pPr>
        <w:pStyle w:val="4"/>
        <w:keepNext w:val="0"/>
        <w:keepLines w:val="0"/>
        <w:pageBreakBefore w:val="0"/>
        <w:wordWrap/>
        <w:overflowPunct/>
        <w:topLinePunct w:val="0"/>
        <w:bidi w:val="0"/>
        <w:spacing w:before="155" w:line="240" w:lineRule="auto"/>
        <w:ind w:right="90" w:firstLine="630"/>
        <w:rPr>
          <w:rFonts w:hint="eastAsia" w:ascii="仿宋" w:hAnsi="仿宋" w:eastAsia="仿宋" w:cs="仿宋"/>
          <w:b w:val="0"/>
          <w:bCs w:val="0"/>
          <w:sz w:val="32"/>
          <w:szCs w:val="32"/>
        </w:rPr>
      </w:pPr>
      <w:r>
        <w:rPr>
          <w:rFonts w:hint="eastAsia" w:ascii="仿宋" w:hAnsi="仿宋" w:eastAsia="仿宋" w:cs="仿宋"/>
          <w:b w:val="0"/>
          <w:bCs w:val="0"/>
          <w:spacing w:val="5"/>
          <w:sz w:val="32"/>
          <w:szCs w:val="32"/>
        </w:rPr>
        <w:t>(二)项目支出情况</w:t>
      </w:r>
    </w:p>
    <w:p w14:paraId="04DF28FE">
      <w:pPr>
        <w:pStyle w:val="4"/>
        <w:keepNext w:val="0"/>
        <w:keepLines w:val="0"/>
        <w:pageBreakBefore w:val="0"/>
        <w:wordWrap/>
        <w:overflowPunct/>
        <w:topLinePunct w:val="0"/>
        <w:bidi w:val="0"/>
        <w:spacing w:before="144" w:line="240" w:lineRule="auto"/>
        <w:ind w:right="90" w:firstLine="630"/>
        <w:jc w:val="both"/>
        <w:rPr>
          <w:rFonts w:hint="eastAsia" w:ascii="仿宋" w:hAnsi="仿宋" w:eastAsia="仿宋" w:cs="仿宋"/>
          <w:sz w:val="32"/>
          <w:szCs w:val="32"/>
        </w:rPr>
      </w:pPr>
      <w:r>
        <w:rPr>
          <w:rFonts w:hint="eastAsia" w:ascii="仿宋" w:hAnsi="仿宋" w:eastAsia="仿宋" w:cs="仿宋"/>
          <w:spacing w:val="-2"/>
          <w:sz w:val="32"/>
          <w:szCs w:val="32"/>
          <w:lang w:eastAsia="zh-CN"/>
        </w:rPr>
        <w:t>邵阳市北塔区城市管理综合执法局</w:t>
      </w:r>
      <w:r>
        <w:rPr>
          <w:rFonts w:hint="eastAsia" w:ascii="仿宋" w:hAnsi="仿宋" w:eastAsia="仿宋" w:cs="仿宋"/>
          <w:spacing w:val="-2"/>
          <w:sz w:val="32"/>
          <w:szCs w:val="32"/>
        </w:rPr>
        <w:t>2023年度一般公共预算财政拨款</w:t>
      </w:r>
      <w:r>
        <w:rPr>
          <w:rFonts w:hint="eastAsia" w:ascii="仿宋" w:hAnsi="仿宋" w:eastAsia="仿宋" w:cs="仿宋"/>
          <w:spacing w:val="-3"/>
          <w:sz w:val="32"/>
          <w:szCs w:val="32"/>
        </w:rPr>
        <w:t>项目支</w:t>
      </w:r>
      <w:r>
        <w:rPr>
          <w:rFonts w:hint="eastAsia" w:ascii="仿宋" w:hAnsi="仿宋" w:eastAsia="仿宋" w:cs="仿宋"/>
          <w:spacing w:val="3"/>
          <w:sz w:val="32"/>
          <w:szCs w:val="32"/>
        </w:rPr>
        <w:t>出年初结转和结余0万元，本年收入</w:t>
      </w:r>
      <w:r>
        <w:rPr>
          <w:rFonts w:hint="eastAsia" w:ascii="仿宋" w:hAnsi="仿宋" w:eastAsia="仿宋" w:cs="仿宋"/>
          <w:b w:val="0"/>
          <w:bCs w:val="0"/>
          <w:spacing w:val="3"/>
          <w:sz w:val="32"/>
          <w:szCs w:val="32"/>
          <w:lang w:val="en-US" w:eastAsia="zh-CN"/>
        </w:rPr>
        <w:t>2938.84</w:t>
      </w:r>
      <w:r>
        <w:rPr>
          <w:rFonts w:hint="eastAsia" w:ascii="仿宋" w:hAnsi="仿宋" w:eastAsia="仿宋" w:cs="仿宋"/>
          <w:spacing w:val="2"/>
          <w:sz w:val="32"/>
          <w:szCs w:val="32"/>
        </w:rPr>
        <w:t>万元，本年支出</w:t>
      </w:r>
      <w:r>
        <w:rPr>
          <w:rFonts w:hint="eastAsia" w:ascii="仿宋" w:hAnsi="仿宋" w:eastAsia="仿宋" w:cs="仿宋"/>
          <w:b w:val="0"/>
          <w:bCs w:val="0"/>
          <w:spacing w:val="1"/>
          <w:sz w:val="32"/>
          <w:szCs w:val="32"/>
          <w:lang w:val="en-US" w:eastAsia="zh-CN"/>
        </w:rPr>
        <w:t>2938.84</w:t>
      </w:r>
      <w:r>
        <w:rPr>
          <w:rFonts w:hint="eastAsia" w:ascii="仿宋" w:hAnsi="仿宋" w:eastAsia="仿宋" w:cs="仿宋"/>
          <w:spacing w:val="1"/>
          <w:sz w:val="32"/>
          <w:szCs w:val="32"/>
        </w:rPr>
        <w:t>万元，年末结转和结余0万</w:t>
      </w:r>
      <w:r>
        <w:rPr>
          <w:rFonts w:hint="eastAsia" w:ascii="仿宋" w:hAnsi="仿宋" w:eastAsia="仿宋" w:cs="仿宋"/>
          <w:sz w:val="32"/>
          <w:szCs w:val="32"/>
        </w:rPr>
        <w:t>元。</w:t>
      </w:r>
    </w:p>
    <w:p w14:paraId="57C8AB8D">
      <w:pPr>
        <w:pStyle w:val="4"/>
        <w:keepNext w:val="0"/>
        <w:keepLines w:val="0"/>
        <w:pageBreakBefore w:val="0"/>
        <w:wordWrap/>
        <w:overflowPunct/>
        <w:topLinePunct w:val="0"/>
        <w:bidi w:val="0"/>
        <w:spacing w:before="144" w:line="240" w:lineRule="auto"/>
        <w:ind w:right="90" w:firstLine="630"/>
        <w:jc w:val="both"/>
        <w:rPr>
          <w:rFonts w:hint="eastAsia" w:ascii="仿宋" w:hAnsi="仿宋" w:eastAsia="仿宋" w:cs="仿宋"/>
          <w:sz w:val="32"/>
          <w:szCs w:val="32"/>
        </w:rPr>
      </w:pPr>
      <w:r>
        <w:rPr>
          <w:rFonts w:hint="eastAsia" w:ascii="仿宋" w:hAnsi="仿宋" w:eastAsia="仿宋" w:cs="仿宋"/>
          <w:spacing w:val="-12"/>
          <w:sz w:val="32"/>
          <w:szCs w:val="32"/>
        </w:rPr>
        <w:t>(三)"三公"经费使用和管理情况</w:t>
      </w:r>
    </w:p>
    <w:p w14:paraId="395983E1">
      <w:pPr>
        <w:keepNext w:val="0"/>
        <w:keepLines w:val="0"/>
        <w:pageBreakBefore w:val="0"/>
        <w:wordWrap/>
        <w:overflowPunct/>
        <w:topLinePunct w:val="0"/>
        <w:bidi w:val="0"/>
        <w:spacing w:before="146" w:line="240" w:lineRule="auto"/>
        <w:ind w:right="144" w:firstLine="760"/>
        <w:rPr>
          <w:rFonts w:hint="eastAsia" w:ascii="仿宋" w:hAnsi="仿宋" w:eastAsia="仿宋" w:cs="仿宋"/>
          <w:spacing w:val="-5"/>
          <w:sz w:val="32"/>
          <w:szCs w:val="32"/>
        </w:rPr>
      </w:pPr>
      <w:r>
        <w:rPr>
          <w:rFonts w:hint="eastAsia" w:ascii="仿宋" w:hAnsi="仿宋" w:eastAsia="仿宋" w:cs="仿宋"/>
          <w:spacing w:val="-3"/>
          <w:sz w:val="32"/>
          <w:szCs w:val="32"/>
          <w:lang w:eastAsia="zh-CN"/>
        </w:rPr>
        <w:t>邵阳市北塔区城市管理综合执法局</w:t>
      </w:r>
      <w:r>
        <w:rPr>
          <w:rFonts w:hint="eastAsia" w:ascii="仿宋" w:hAnsi="仿宋" w:eastAsia="仿宋" w:cs="仿宋"/>
          <w:spacing w:val="-3"/>
          <w:sz w:val="32"/>
          <w:szCs w:val="32"/>
        </w:rPr>
        <w:t>2023年度"三公"经费合计</w:t>
      </w:r>
      <w:r>
        <w:rPr>
          <w:rFonts w:hint="eastAsia" w:ascii="仿宋" w:hAnsi="仿宋" w:eastAsia="仿宋" w:cs="仿宋"/>
          <w:spacing w:val="-3"/>
          <w:sz w:val="32"/>
          <w:szCs w:val="32"/>
          <w:lang w:val="en-US" w:eastAsia="zh-CN"/>
        </w:rPr>
        <w:t>31.52</w:t>
      </w:r>
      <w:r>
        <w:rPr>
          <w:rFonts w:hint="eastAsia" w:ascii="仿宋" w:hAnsi="仿宋" w:eastAsia="仿宋" w:cs="仿宋"/>
          <w:spacing w:val="-3"/>
          <w:sz w:val="32"/>
          <w:szCs w:val="32"/>
        </w:rPr>
        <w:t>万元</w:t>
      </w:r>
      <w:r>
        <w:rPr>
          <w:rFonts w:hint="eastAsia" w:ascii="仿宋" w:hAnsi="仿宋" w:eastAsia="仿宋" w:cs="仿宋"/>
          <w:spacing w:val="-3"/>
          <w:sz w:val="32"/>
          <w:szCs w:val="32"/>
          <w:lang w:val="en-US" w:eastAsia="zh-CN"/>
        </w:rPr>
        <w:t>,</w:t>
      </w:r>
      <w:r>
        <w:rPr>
          <w:rFonts w:hint="eastAsia" w:ascii="仿宋" w:hAnsi="仿宋" w:eastAsia="仿宋" w:cs="仿宋"/>
          <w:spacing w:val="-4"/>
          <w:sz w:val="32"/>
          <w:szCs w:val="32"/>
        </w:rPr>
        <w:t>其中公车运行维护费</w:t>
      </w:r>
      <w:r>
        <w:rPr>
          <w:rFonts w:hint="eastAsia" w:ascii="仿宋" w:hAnsi="仿宋" w:eastAsia="仿宋" w:cs="仿宋"/>
          <w:spacing w:val="-4"/>
          <w:sz w:val="32"/>
          <w:szCs w:val="32"/>
          <w:lang w:val="en-US" w:eastAsia="zh-CN"/>
        </w:rPr>
        <w:t>31.52</w:t>
      </w:r>
      <w:r>
        <w:rPr>
          <w:rFonts w:hint="eastAsia" w:ascii="仿宋" w:hAnsi="仿宋" w:eastAsia="仿宋" w:cs="仿宋"/>
          <w:spacing w:val="-4"/>
          <w:sz w:val="32"/>
          <w:szCs w:val="32"/>
        </w:rPr>
        <w:t>万元，公务接</w:t>
      </w:r>
      <w:r>
        <w:rPr>
          <w:rFonts w:hint="eastAsia" w:ascii="仿宋" w:hAnsi="仿宋" w:eastAsia="仿宋" w:cs="仿宋"/>
          <w:spacing w:val="-5"/>
          <w:sz w:val="32"/>
          <w:szCs w:val="32"/>
        </w:rPr>
        <w:t>待费</w:t>
      </w:r>
      <w:r>
        <w:rPr>
          <w:rFonts w:hint="eastAsia" w:ascii="仿宋" w:hAnsi="仿宋" w:eastAsia="仿宋" w:cs="仿宋"/>
          <w:spacing w:val="-5"/>
          <w:sz w:val="32"/>
          <w:szCs w:val="32"/>
          <w:lang w:val="en-US" w:eastAsia="zh-CN"/>
        </w:rPr>
        <w:t>0</w:t>
      </w:r>
      <w:r>
        <w:rPr>
          <w:rFonts w:hint="eastAsia" w:ascii="仿宋" w:hAnsi="仿宋" w:eastAsia="仿宋" w:cs="仿宋"/>
          <w:spacing w:val="-5"/>
          <w:sz w:val="32"/>
          <w:szCs w:val="32"/>
        </w:rPr>
        <w:t>万元。</w:t>
      </w:r>
    </w:p>
    <w:p w14:paraId="0B6626F7">
      <w:pPr>
        <w:keepNext w:val="0"/>
        <w:keepLines w:val="0"/>
        <w:pageBreakBefore w:val="0"/>
        <w:wordWrap/>
        <w:overflowPunct/>
        <w:topLinePunct w:val="0"/>
        <w:bidi w:val="0"/>
        <w:spacing w:before="146" w:line="240" w:lineRule="auto"/>
        <w:ind w:right="144"/>
        <w:rPr>
          <w:rFonts w:hint="eastAsia" w:ascii="仿宋" w:hAnsi="仿宋" w:eastAsia="仿宋" w:cs="仿宋"/>
          <w:sz w:val="32"/>
          <w:szCs w:val="32"/>
        </w:rPr>
      </w:pPr>
      <w:r>
        <w:rPr>
          <w:rFonts w:hint="eastAsia" w:ascii="仿宋" w:hAnsi="仿宋" w:eastAsia="仿宋" w:cs="仿宋"/>
          <w:b/>
          <w:bCs/>
          <w:spacing w:val="-14"/>
          <w:sz w:val="32"/>
          <w:szCs w:val="32"/>
        </w:rPr>
        <w:t>三、政府性基金预算支出情况</w:t>
      </w:r>
    </w:p>
    <w:p w14:paraId="2C1B8ED5">
      <w:pPr>
        <w:keepNext w:val="0"/>
        <w:keepLines w:val="0"/>
        <w:pageBreakBefore w:val="0"/>
        <w:wordWrap/>
        <w:overflowPunct/>
        <w:topLinePunct w:val="0"/>
        <w:bidi w:val="0"/>
        <w:spacing w:before="164" w:line="240" w:lineRule="auto"/>
        <w:ind w:firstLine="630"/>
        <w:jc w:val="both"/>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t>邵阳市北塔区城市管理综合执法局</w:t>
      </w:r>
      <w:r>
        <w:rPr>
          <w:rFonts w:hint="eastAsia" w:ascii="仿宋" w:hAnsi="仿宋" w:eastAsia="仿宋" w:cs="仿宋"/>
          <w:spacing w:val="-2"/>
          <w:sz w:val="32"/>
          <w:szCs w:val="32"/>
        </w:rPr>
        <w:t>2023年</w:t>
      </w:r>
      <w:r>
        <w:rPr>
          <w:rFonts w:hint="eastAsia" w:ascii="仿宋" w:hAnsi="仿宋" w:eastAsia="仿宋" w:cs="仿宋"/>
          <w:spacing w:val="-2"/>
          <w:sz w:val="32"/>
          <w:szCs w:val="32"/>
          <w:lang w:eastAsia="zh-CN"/>
        </w:rPr>
        <w:t>无</w:t>
      </w:r>
      <w:r>
        <w:rPr>
          <w:rFonts w:hint="eastAsia" w:ascii="仿宋" w:hAnsi="仿宋" w:eastAsia="仿宋" w:cs="仿宋"/>
          <w:spacing w:val="-2"/>
          <w:sz w:val="32"/>
          <w:szCs w:val="32"/>
        </w:rPr>
        <w:t>政府性基金拨款项目支出</w:t>
      </w:r>
      <w:r>
        <w:rPr>
          <w:rFonts w:hint="eastAsia" w:ascii="仿宋" w:hAnsi="仿宋" w:eastAsia="仿宋" w:cs="仿宋"/>
          <w:spacing w:val="-2"/>
          <w:sz w:val="32"/>
          <w:szCs w:val="32"/>
          <w:lang w:eastAsia="zh-CN"/>
        </w:rPr>
        <w:t>。</w:t>
      </w:r>
    </w:p>
    <w:p w14:paraId="5A9D8A34">
      <w:pPr>
        <w:keepNext w:val="0"/>
        <w:keepLines w:val="0"/>
        <w:pageBreakBefore w:val="0"/>
        <w:wordWrap/>
        <w:overflowPunct/>
        <w:topLinePunct w:val="0"/>
        <w:bidi w:val="0"/>
        <w:spacing w:before="164" w:line="240" w:lineRule="auto"/>
        <w:jc w:val="both"/>
        <w:rPr>
          <w:rFonts w:hint="eastAsia" w:ascii="仿宋" w:hAnsi="仿宋" w:eastAsia="仿宋" w:cs="仿宋"/>
          <w:sz w:val="32"/>
          <w:szCs w:val="32"/>
        </w:rPr>
      </w:pPr>
      <w:r>
        <w:rPr>
          <w:rFonts w:hint="eastAsia" w:ascii="仿宋" w:hAnsi="仿宋" w:eastAsia="仿宋" w:cs="仿宋"/>
          <w:b/>
          <w:bCs/>
          <w:spacing w:val="-10"/>
          <w:sz w:val="32"/>
          <w:szCs w:val="32"/>
        </w:rPr>
        <w:t>四、国有资本经营预算支出情况</w:t>
      </w:r>
    </w:p>
    <w:p w14:paraId="3FE1A4A8">
      <w:pPr>
        <w:keepNext w:val="0"/>
        <w:keepLines w:val="0"/>
        <w:pageBreakBefore w:val="0"/>
        <w:wordWrap/>
        <w:overflowPunct/>
        <w:topLinePunct w:val="0"/>
        <w:bidi w:val="0"/>
        <w:spacing w:line="240" w:lineRule="auto"/>
        <w:ind w:left="0"/>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 xml:space="preserve">   </w:t>
      </w:r>
      <w:r>
        <w:rPr>
          <w:rFonts w:hint="eastAsia" w:ascii="仿宋" w:hAnsi="仿宋" w:eastAsia="仿宋" w:cs="仿宋"/>
          <w:snapToGrid w:val="0"/>
          <w:color w:val="000000"/>
          <w:spacing w:val="-2"/>
          <w:kern w:val="0"/>
          <w:sz w:val="32"/>
          <w:szCs w:val="32"/>
          <w:lang w:val="en-US" w:eastAsia="zh-CN" w:bidi="ar-SA"/>
        </w:rPr>
        <w:t>邵阳市北塔区城市管理综合执法局2023年无国有资本经营预算支出情况。</w:t>
      </w:r>
    </w:p>
    <w:p w14:paraId="23D42537">
      <w:pPr>
        <w:keepNext w:val="0"/>
        <w:keepLines w:val="0"/>
        <w:pageBreakBefore w:val="0"/>
        <w:wordWrap/>
        <w:overflowPunct/>
        <w:topLinePunct w:val="0"/>
        <w:bidi w:val="0"/>
        <w:spacing w:line="240" w:lineRule="auto"/>
        <w:ind w:left="0"/>
        <w:rPr>
          <w:rFonts w:hint="eastAsia" w:ascii="仿宋" w:hAnsi="仿宋" w:eastAsia="仿宋" w:cs="仿宋"/>
          <w:sz w:val="32"/>
          <w:szCs w:val="32"/>
        </w:rPr>
      </w:pPr>
      <w:r>
        <w:rPr>
          <w:rFonts w:hint="eastAsia" w:ascii="仿宋" w:hAnsi="仿宋" w:eastAsia="仿宋" w:cs="仿宋"/>
          <w:b/>
          <w:bCs/>
          <w:spacing w:val="-15"/>
          <w:sz w:val="32"/>
          <w:szCs w:val="32"/>
        </w:rPr>
        <w:t>五、社会保险基金预算支出情况</w:t>
      </w:r>
    </w:p>
    <w:p w14:paraId="06E32B49">
      <w:pPr>
        <w:keepNext w:val="0"/>
        <w:keepLines w:val="0"/>
        <w:pageBreakBefore w:val="0"/>
        <w:wordWrap/>
        <w:overflowPunct/>
        <w:topLinePunct w:val="0"/>
        <w:bidi w:val="0"/>
        <w:spacing w:before="107" w:line="240" w:lineRule="auto"/>
        <w:rPr>
          <w:rFonts w:hint="eastAsia" w:ascii="仿宋" w:hAnsi="仿宋" w:eastAsia="仿宋" w:cs="仿宋"/>
          <w:sz w:val="32"/>
          <w:szCs w:val="32"/>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lang w:eastAsia="zh-CN"/>
        </w:rPr>
        <w:t>邵阳市北塔区城市管理综合执法局</w:t>
      </w:r>
      <w:r>
        <w:rPr>
          <w:rFonts w:hint="eastAsia" w:ascii="仿宋" w:hAnsi="仿宋" w:eastAsia="仿宋" w:cs="仿宋"/>
          <w:spacing w:val="-6"/>
          <w:sz w:val="32"/>
          <w:szCs w:val="32"/>
        </w:rPr>
        <w:t>2023年无社会保险基金</w:t>
      </w:r>
      <w:r>
        <w:rPr>
          <w:rFonts w:hint="eastAsia" w:ascii="仿宋" w:hAnsi="仿宋" w:eastAsia="仿宋" w:cs="仿宋"/>
          <w:spacing w:val="-7"/>
          <w:sz w:val="32"/>
          <w:szCs w:val="32"/>
        </w:rPr>
        <w:t>预算支出情况。</w:t>
      </w:r>
    </w:p>
    <w:p w14:paraId="6F134D97">
      <w:pPr>
        <w:keepNext w:val="0"/>
        <w:keepLines w:val="0"/>
        <w:pageBreakBefore w:val="0"/>
        <w:numPr>
          <w:ilvl w:val="0"/>
          <w:numId w:val="2"/>
        </w:numPr>
        <w:wordWrap/>
        <w:overflowPunct/>
        <w:topLinePunct w:val="0"/>
        <w:bidi w:val="0"/>
        <w:spacing w:before="197" w:line="240" w:lineRule="auto"/>
        <w:ind w:left="4"/>
        <w:outlineLvl w:val="0"/>
        <w:rPr>
          <w:rFonts w:hint="eastAsia" w:ascii="仿宋" w:hAnsi="仿宋" w:eastAsia="仿宋" w:cs="仿宋"/>
          <w:spacing w:val="12"/>
          <w:sz w:val="32"/>
          <w:szCs w:val="32"/>
          <w:lang w:val="en-US" w:eastAsia="zh-CN"/>
        </w:rPr>
      </w:pPr>
      <w:r>
        <w:rPr>
          <w:rFonts w:hint="eastAsia" w:ascii="仿宋" w:hAnsi="仿宋" w:eastAsia="仿宋" w:cs="仿宋"/>
          <w:b/>
          <w:bCs/>
          <w:spacing w:val="-15"/>
          <w:sz w:val="32"/>
          <w:szCs w:val="32"/>
        </w:rPr>
        <w:t>部门整体支出绩效情况</w:t>
      </w:r>
    </w:p>
    <w:p w14:paraId="4BA865E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7" w:line="240" w:lineRule="auto"/>
        <w:ind w:firstLine="583" w:firstLineChars="200"/>
        <w:textAlignment w:val="baseline"/>
        <w:outlineLvl w:val="0"/>
        <w:rPr>
          <w:rFonts w:hint="eastAsia" w:ascii="仿宋" w:hAnsi="仿宋" w:eastAsia="仿宋" w:cs="仿宋"/>
          <w:spacing w:val="12"/>
          <w:sz w:val="32"/>
          <w:szCs w:val="32"/>
          <w:lang w:val="en-US" w:eastAsia="zh-CN"/>
        </w:rPr>
      </w:pPr>
      <w:r>
        <w:rPr>
          <w:rFonts w:hint="eastAsia" w:ascii="仿宋" w:hAnsi="仿宋" w:eastAsia="仿宋" w:cs="仿宋"/>
          <w:b/>
          <w:bCs/>
          <w:spacing w:val="-15"/>
          <w:sz w:val="32"/>
          <w:szCs w:val="32"/>
          <w:lang w:val="en-US" w:eastAsia="zh-CN"/>
        </w:rPr>
        <w:t>1.</w:t>
      </w:r>
      <w:r>
        <w:rPr>
          <w:rFonts w:hint="eastAsia" w:ascii="仿宋" w:hAnsi="仿宋" w:eastAsia="仿宋" w:cs="仿宋"/>
          <w:b/>
          <w:bCs/>
          <w:spacing w:val="12"/>
          <w:sz w:val="32"/>
          <w:szCs w:val="32"/>
          <w:lang w:val="en-US" w:eastAsia="zh-CN"/>
        </w:rPr>
        <w:t>加大市容整治，提升城市管理水平。</w:t>
      </w:r>
      <w:r>
        <w:rPr>
          <w:rFonts w:hint="eastAsia" w:ascii="仿宋" w:hAnsi="仿宋" w:eastAsia="仿宋" w:cs="仿宋"/>
          <w:spacing w:val="12"/>
          <w:sz w:val="32"/>
          <w:szCs w:val="32"/>
          <w:lang w:val="en-US" w:eastAsia="zh-CN"/>
        </w:rPr>
        <w:t>一是开展市容集中整治行动。签订“门前三包”责任书5000余份，拆除破损布幔广告牌84处，劝导归店经营870户，清理杂物69卡车，取缔流动摊贩910起，清理门前堆放物447起，清理乱吊乱挂、乱堆乱放390起；二是对户外广告开展机动整治，联合区公路局、交警大队等部门对新320国道、236省道存在安全隐患的户外大型广告牌进行拆除，拆除违规广告牌377处，开展《邵阳市户外广告和招牌设施设置管理办法》集中宣传，发放宣传资料3500余份；共查处58起“牛皮癣”小广告案件，处罚金额3700元，其中移交给公安机关6起。三是加强学校周围环境整治。学校门前周边无环境脏乱、落实三包责任制、落实四定责任制（定人、定任务、定地段、定时间）。取缔校园周边流动摊贩976起，暂扣三轮车5辆，灶具、桌椅等经营物件110余件，均责令整改到位。四是常抓不懈砂石场集中整治，排查摸底北塔区砂石场22家，无证经营6家，对无防尘防漏沙措施企业发出《责令改正通知书》17份，责令立即整改。</w:t>
      </w:r>
    </w:p>
    <w:p w14:paraId="5A8E3E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88"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 xml:space="preserve"> </w:t>
      </w:r>
      <w:r>
        <w:rPr>
          <w:rFonts w:hint="eastAsia" w:ascii="仿宋" w:hAnsi="仿宋" w:eastAsia="仿宋" w:cs="仿宋"/>
          <w:b/>
          <w:bCs/>
          <w:spacing w:val="12"/>
          <w:sz w:val="32"/>
          <w:szCs w:val="32"/>
          <w:lang w:val="en-US" w:eastAsia="zh-CN"/>
        </w:rPr>
        <w:t>2.</w:t>
      </w:r>
      <w:r>
        <w:rPr>
          <w:rFonts w:hint="eastAsia" w:ascii="仿宋" w:hAnsi="仿宋" w:eastAsia="仿宋" w:cs="仿宋"/>
          <w:b/>
          <w:bCs/>
          <w:color w:val="auto"/>
          <w:kern w:val="2"/>
          <w:sz w:val="32"/>
          <w:szCs w:val="32"/>
          <w:lang w:val="en-US" w:eastAsia="zh-CN" w:bidi="ar-SA"/>
        </w:rPr>
        <w:t>精益求精，倾力提升环境卫生面貌。</w:t>
      </w:r>
      <w:r>
        <w:rPr>
          <w:rFonts w:hint="eastAsia" w:ascii="仿宋" w:hAnsi="仿宋" w:eastAsia="仿宋" w:cs="仿宋"/>
          <w:b w:val="0"/>
          <w:bCs w:val="0"/>
          <w:color w:val="auto"/>
          <w:kern w:val="2"/>
          <w:sz w:val="32"/>
          <w:szCs w:val="32"/>
          <w:lang w:val="en-US" w:eastAsia="zh-CN" w:bidi="ar-SA"/>
        </w:rPr>
        <w:t>一是</w:t>
      </w:r>
      <w:r>
        <w:rPr>
          <w:rFonts w:hint="eastAsia" w:ascii="仿宋" w:hAnsi="仿宋" w:eastAsia="仿宋" w:cs="仿宋"/>
          <w:b w:val="0"/>
          <w:bCs w:val="0"/>
          <w:sz w:val="32"/>
          <w:szCs w:val="32"/>
          <w:lang w:val="en-US" w:eastAsia="zh-CN"/>
        </w:rPr>
        <w:t>依托“智慧环卫一体化平台”，优化业务模块，实现资源共享，全程管控清扫保洁作业，提升办案、清扫保洁作业效率。主要是突出对环卫服务公司的日常监管和考核，实行月评比月通报；加强主城区28个社区卫生的督查、督办。2023年度，</w:t>
      </w:r>
      <w:r>
        <w:rPr>
          <w:rFonts w:hint="eastAsia" w:ascii="仿宋" w:hAnsi="仿宋" w:eastAsia="仿宋" w:cs="仿宋"/>
          <w:spacing w:val="12"/>
          <w:sz w:val="32"/>
          <w:szCs w:val="32"/>
          <w:lang w:val="en-US" w:eastAsia="zh-CN"/>
        </w:rPr>
        <w:t>处置市民投诉案件42起，结案率100%。对3家保洁服务公严格督查考核，及时兑现奖惩325000元（其中罚款212500元，奖励112500元）。</w:t>
      </w:r>
      <w:r>
        <w:rPr>
          <w:rFonts w:hint="eastAsia" w:ascii="仿宋" w:hAnsi="仿宋" w:eastAsia="仿宋" w:cs="仿宋"/>
          <w:b w:val="0"/>
          <w:bCs w:val="0"/>
          <w:sz w:val="32"/>
          <w:szCs w:val="32"/>
          <w:lang w:val="en-US" w:eastAsia="zh-CN"/>
        </w:rPr>
        <w:t>获城市管理工作先进单位，市容环境卫生考核年度综合排名第一、月考核获5个第一。</w:t>
      </w:r>
      <w:r>
        <w:rPr>
          <w:rFonts w:hint="eastAsia" w:ascii="仿宋" w:hAnsi="仿宋" w:eastAsia="仿宋" w:cs="仿宋"/>
          <w:spacing w:val="12"/>
          <w:sz w:val="32"/>
          <w:szCs w:val="32"/>
          <w:lang w:val="en-US" w:eastAsia="zh-CN"/>
        </w:rPr>
        <w:t>二是加强设施设备的建设。定期对中转站进行了检查和维修，新建公厕2座，更换19座中转站的制度牌并拆除3座已停止使用的中转站，对杨家垅公厕整体加固装修。要求所有环卫车辆必须上牌作业和购买保险，无牌车辆停止使用，目前73辆环卫作业车辆已全部上牌。三是加强环境卫生综合整治。加大对主次干道、小区院落、楼道的清理，至今清理卫生死角495处，268车次。</w:t>
      </w:r>
    </w:p>
    <w:p w14:paraId="6E191F87">
      <w:pPr>
        <w:keepNext w:val="0"/>
        <w:keepLines w:val="0"/>
        <w:pageBreakBefore w:val="0"/>
        <w:wordWrap/>
        <w:overflowPunct/>
        <w:topLinePunct w:val="0"/>
        <w:bidi w:val="0"/>
        <w:spacing w:line="240" w:lineRule="auto"/>
        <w:ind w:right="0" w:firstLine="691" w:firstLineChars="200"/>
        <w:rPr>
          <w:rFonts w:hint="eastAsia" w:ascii="仿宋" w:hAnsi="仿宋" w:eastAsia="仿宋" w:cs="仿宋"/>
          <w:spacing w:val="12"/>
          <w:sz w:val="32"/>
          <w:szCs w:val="32"/>
          <w:lang w:val="en-US" w:eastAsia="zh-CN"/>
        </w:rPr>
      </w:pPr>
      <w:r>
        <w:rPr>
          <w:rFonts w:hint="eastAsia" w:ascii="仿宋" w:hAnsi="仿宋" w:eastAsia="仿宋" w:cs="仿宋"/>
          <w:b/>
          <w:bCs/>
          <w:spacing w:val="12"/>
          <w:sz w:val="32"/>
          <w:szCs w:val="32"/>
          <w:lang w:val="en-US" w:eastAsia="zh-CN"/>
        </w:rPr>
        <w:t>3、勇于开拓创新，垃圾分类工作推进见实效。</w:t>
      </w:r>
      <w:r>
        <w:rPr>
          <w:rFonts w:hint="eastAsia" w:ascii="仿宋" w:hAnsi="仿宋" w:eastAsia="仿宋" w:cs="仿宋"/>
          <w:spacing w:val="12"/>
          <w:sz w:val="32"/>
          <w:szCs w:val="32"/>
          <w:lang w:val="en-US" w:eastAsia="zh-CN"/>
        </w:rPr>
        <w:t>一是出台《北塔区城区生活垃圾分类工作实施方案》、《北塔区城区生活垃圾分类工作宣传方案》、《北塔区城区生活垃圾分类工作考核办法》等系列制度，进一步明确要求、细化措施、压实责任，并将考核结果与单位绩效挂钩。二是通过“线上+线下”齐发力，“宣传+培训”两手抓，全面普及生活垃圾分类相关知识，在全区形成了人人知晓、人人参与的浓厚氛围。建立“街道+社区+小区”的三级联动协调机制网格化管理模式，组建志愿者队伍开展生活垃圾知识分类宣传，开展各类培训会30次，发放《垃圾分类投放指南》4万份,发放小礼品9500余份，发表新闻报道98篇，其中国家级媒体上稿2篇。三是加强设施设备投入，提高中末端处置能力。已建成垃圾分类亭（箱）303个，垃圾分类亭（箱）覆盖率87.69%；公共机构93个、公共场所125个、经营区域数量662个，各项覆盖率均达100%。引导君志达保温材料厂等企业资源化利用处理大件垃圾、园林垃圾2613吨，共资源化利用处理建筑、装修垃圾6000余吨。四是开拓创新，打造北塔特色。在社区开展“美好环境与幸福生活共同缔造”试点；在市场监督管理局安装了智能感应垃圾分类亭；在广厦名都酷贝拉开展了垃圾分类体验馆，实现寓教于乐。</w:t>
      </w:r>
      <w:r>
        <w:rPr>
          <w:rFonts w:hint="eastAsia" w:ascii="仿宋" w:hAnsi="仿宋" w:eastAsia="仿宋" w:cs="仿宋"/>
          <w:b w:val="0"/>
          <w:bCs w:val="0"/>
          <w:spacing w:val="12"/>
          <w:sz w:val="32"/>
          <w:szCs w:val="32"/>
          <w:lang w:val="en-US" w:eastAsia="zh-CN"/>
        </w:rPr>
        <w:t>2023年</w:t>
      </w:r>
      <w:r>
        <w:rPr>
          <w:rFonts w:hint="eastAsia" w:ascii="仿宋" w:hAnsi="仿宋" w:eastAsia="仿宋" w:cs="仿宋"/>
          <w:spacing w:val="12"/>
          <w:sz w:val="32"/>
          <w:szCs w:val="32"/>
          <w:lang w:val="en-US" w:eastAsia="zh-CN"/>
        </w:rPr>
        <w:t>7月份代表全市圆满完成省对市的生活垃圾分类工作中期督导评估检查，取得了阶段性成果，获得省、市级领导肯定及好评。</w:t>
      </w:r>
    </w:p>
    <w:p w14:paraId="551BE2B9">
      <w:pPr>
        <w:keepNext w:val="0"/>
        <w:keepLines w:val="0"/>
        <w:pageBreakBefore w:val="0"/>
        <w:wordWrap/>
        <w:overflowPunct/>
        <w:topLinePunct w:val="0"/>
        <w:bidi w:val="0"/>
        <w:spacing w:line="240" w:lineRule="auto"/>
        <w:ind w:right="0" w:firstLine="691" w:firstLineChars="200"/>
        <w:rPr>
          <w:rFonts w:hint="eastAsia" w:ascii="仿宋" w:hAnsi="仿宋" w:eastAsia="仿宋" w:cs="仿宋"/>
          <w:spacing w:val="12"/>
          <w:sz w:val="32"/>
          <w:szCs w:val="32"/>
          <w:lang w:val="en-US" w:eastAsia="zh-CN"/>
        </w:rPr>
      </w:pPr>
      <w:r>
        <w:rPr>
          <w:rFonts w:hint="eastAsia" w:ascii="仿宋" w:hAnsi="仿宋" w:eastAsia="仿宋" w:cs="仿宋"/>
          <w:b/>
          <w:bCs/>
          <w:spacing w:val="12"/>
          <w:sz w:val="32"/>
          <w:szCs w:val="32"/>
          <w:lang w:val="en-US" w:eastAsia="zh-CN"/>
        </w:rPr>
        <w:t xml:space="preserve"> 4.开展车辆违停执法，市容秩序有效改善。</w:t>
      </w:r>
      <w:r>
        <w:rPr>
          <w:rFonts w:hint="eastAsia" w:ascii="仿宋" w:hAnsi="仿宋" w:eastAsia="仿宋" w:cs="仿宋"/>
          <w:spacing w:val="12"/>
          <w:sz w:val="32"/>
          <w:szCs w:val="32"/>
          <w:lang w:val="en-US" w:eastAsia="zh-CN"/>
        </w:rPr>
        <w:t>根据职能职责移交，2月13日以来，联合交警和属地社区，先在资园社区开展了为期半个月的执法试点。联合交警大队组织专业培训后，创文迎检期间开展专项执法。至今劝导机动车辆违停16381台次，处罚728台次，劝导非机动车违停25865台次。扎实落实重点民生实事工作要求，在资园、西湖桥、资枣、丰江、新滩等社区，龙山路、江北建材城等重要路段施划车位1847个，其中机动车位471个，电动车位1376个，设置消防通道标识70余处，着力解决居民“乱停车、停车难”的问题。</w:t>
      </w:r>
    </w:p>
    <w:p w14:paraId="31860560">
      <w:pPr>
        <w:keepNext w:val="0"/>
        <w:keepLines w:val="0"/>
        <w:pageBreakBefore w:val="0"/>
        <w:wordWrap/>
        <w:overflowPunct/>
        <w:topLinePunct w:val="0"/>
        <w:bidi w:val="0"/>
        <w:spacing w:line="240" w:lineRule="auto"/>
        <w:ind w:right="0" w:firstLine="691" w:firstLineChars="200"/>
        <w:rPr>
          <w:rFonts w:hint="eastAsia" w:ascii="仿宋" w:hAnsi="仿宋" w:eastAsia="仿宋" w:cs="仿宋"/>
          <w:spacing w:val="12"/>
          <w:sz w:val="32"/>
          <w:szCs w:val="32"/>
          <w:lang w:val="en-US" w:eastAsia="zh-CN"/>
        </w:rPr>
      </w:pPr>
      <w:r>
        <w:rPr>
          <w:rFonts w:hint="eastAsia" w:ascii="仿宋" w:hAnsi="仿宋" w:eastAsia="仿宋" w:cs="仿宋"/>
          <w:b/>
          <w:bCs/>
          <w:spacing w:val="12"/>
          <w:sz w:val="32"/>
          <w:szCs w:val="32"/>
          <w:lang w:val="en-US" w:eastAsia="zh-CN"/>
        </w:rPr>
        <w:t>5.积极响应雷霆行动，努力提升空气质量。</w:t>
      </w:r>
      <w:r>
        <w:rPr>
          <w:rFonts w:hint="eastAsia" w:ascii="仿宋" w:hAnsi="仿宋" w:eastAsia="仿宋" w:cs="仿宋"/>
          <w:spacing w:val="12"/>
          <w:sz w:val="32"/>
          <w:szCs w:val="32"/>
          <w:lang w:val="en-US" w:eastAsia="zh-CN"/>
        </w:rPr>
        <w:t>一是加强对主次干道降尘路线作业计划，每日出动洒水车辆8台，对路面不间断的降尘，时刻保持路面湿润。二是对主要路段及土石方工程项目和房地产建筑项目、环境大气污染进行“白+黑”巡查，至今巡查1426次，查处案件15起，行政罚款106600元。三是对我区餐饮店摸排，促使油烟净化器安装率与清洗率达到100%，并按“蓝天保卫战”指挥部的要求报送工作情况和工作进度，制定北塔区餐饮油烟污染专项集中整治行动方案。发放材料170余份，出动执法检查1495人次，处理信访投诉案件385起，餐饮油烟、环境噪音都已限期整改到位，并及时销号。四是协助管控“宝庆夜市”，协调物业处理周边噪音和油烟投诉，安排专人巡查管控，确保夜市规范、整洁有序。</w:t>
      </w:r>
    </w:p>
    <w:p w14:paraId="5749D9B0">
      <w:pPr>
        <w:keepNext w:val="0"/>
        <w:keepLines w:val="0"/>
        <w:pageBreakBefore w:val="0"/>
        <w:wordWrap/>
        <w:overflowPunct/>
        <w:topLinePunct w:val="0"/>
        <w:bidi w:val="0"/>
        <w:spacing w:line="240" w:lineRule="auto"/>
        <w:ind w:right="0" w:firstLine="691" w:firstLineChars="200"/>
        <w:rPr>
          <w:rFonts w:hint="eastAsia" w:ascii="仿宋" w:hAnsi="仿宋" w:eastAsia="仿宋" w:cs="仿宋"/>
          <w:spacing w:val="12"/>
          <w:sz w:val="32"/>
          <w:szCs w:val="32"/>
          <w:lang w:val="en-US" w:eastAsia="zh-CN"/>
        </w:rPr>
      </w:pPr>
      <w:r>
        <w:rPr>
          <w:rFonts w:hint="eastAsia" w:ascii="仿宋" w:hAnsi="仿宋" w:eastAsia="仿宋" w:cs="仿宋"/>
          <w:b/>
          <w:bCs/>
          <w:spacing w:val="12"/>
          <w:sz w:val="32"/>
          <w:szCs w:val="32"/>
          <w:lang w:val="en-US" w:eastAsia="zh-CN"/>
        </w:rPr>
        <w:t>6.</w:t>
      </w:r>
      <w:r>
        <w:rPr>
          <w:rFonts w:hint="eastAsia" w:ascii="仿宋" w:hAnsi="仿宋" w:eastAsia="仿宋" w:cs="仿宋"/>
          <w:b/>
          <w:bCs/>
          <w:sz w:val="32"/>
          <w:szCs w:val="32"/>
          <w:lang w:val="en-US" w:eastAsia="zh-CN"/>
        </w:rPr>
        <w:t>严格管控违法建设，控新增、消存量。</w:t>
      </w:r>
      <w:r>
        <w:rPr>
          <w:rFonts w:hint="eastAsia" w:ascii="仿宋" w:hAnsi="仿宋" w:eastAsia="仿宋" w:cs="仿宋"/>
          <w:spacing w:val="12"/>
          <w:sz w:val="32"/>
          <w:szCs w:val="32"/>
          <w:lang w:val="en-US" w:eastAsia="zh-CN"/>
        </w:rPr>
        <w:t>一是2023年1月，对未取得建设工程施工许可的违法建设中国电信邵阳分公司建设的江北通讯基地建设基地建设项目EPC工程，罚款57377.6元。二是对全区违法建设实施发现、交办、考核。2023年，共开展日常巡查720余次，下发区督办函107件，组织各镇（街道）拆除新增违法建设35处约1606平方米，拆除存量违法建设40571平方米；组织对镇（街道）2023年控拆违工作进行了考核并下发考核通报；在全区开展的“强街道（镇）、村（社区）为主”基层治理“十无”工作法中承担了“无违建”考核职责，已圆满完成2023年考核任务。</w:t>
      </w:r>
    </w:p>
    <w:p w14:paraId="682998D9">
      <w:pPr>
        <w:keepNext w:val="0"/>
        <w:keepLines w:val="0"/>
        <w:pageBreakBefore w:val="0"/>
        <w:wordWrap/>
        <w:overflowPunct/>
        <w:topLinePunct w:val="0"/>
        <w:bidi w:val="0"/>
        <w:spacing w:line="240" w:lineRule="auto"/>
        <w:ind w:right="0" w:firstLine="0"/>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 xml:space="preserve">    </w:t>
      </w:r>
      <w:r>
        <w:rPr>
          <w:rFonts w:hint="eastAsia" w:ascii="仿宋" w:hAnsi="仿宋" w:eastAsia="仿宋" w:cs="仿宋"/>
          <w:b/>
          <w:bCs/>
          <w:spacing w:val="12"/>
          <w:sz w:val="32"/>
          <w:szCs w:val="32"/>
          <w:lang w:val="en-US" w:eastAsia="zh-CN"/>
        </w:rPr>
        <w:t>7.推动森林城市建设，提升城市绿化面貌。</w:t>
      </w:r>
      <w:r>
        <w:rPr>
          <w:rFonts w:hint="eastAsia" w:ascii="仿宋" w:hAnsi="仿宋" w:eastAsia="仿宋" w:cs="仿宋"/>
          <w:spacing w:val="12"/>
          <w:sz w:val="32"/>
          <w:szCs w:val="32"/>
          <w:lang w:val="en-US" w:eastAsia="zh-CN"/>
        </w:rPr>
        <w:t>一是营造祥和的节日气氛，春节期间在二广高速连接线路口、区政府门口等重点场所摆放鲜花，为北塔增彩，增添节日氛围。二是积极组织广大干部职工赴陈家桥镇柑子塘社区廖嘎山参加义务植树活动，在茅草山上种下桂花、栾树、银杏、红叶石楠4500多棵。三是坚持精细管护，对区管16个小游园的绿植进行了全面修剪、杂草清除，完善游玩设旋，促使小游园面貌焕然一新。制止毁绿、损绿等不文明行为50多起，实施杀虫灭鼠3次、白化防病和白蚁防治各1次，补植辖区内部分游园乔木、植桂花树80余棵，组织专业施工队修剪灌木4000株，清除道路两边杂草96000平方米，装运绿色垃圾82车。并将西湖路与蔡锷路花坛围栏缺口处实施补齐。配合市园林处对崀山路全线300余棵梧桐树进行全面修剪。</w:t>
      </w:r>
    </w:p>
    <w:p w14:paraId="1914CC89">
      <w:pPr>
        <w:keepNext w:val="0"/>
        <w:keepLines w:val="0"/>
        <w:pageBreakBefore w:val="0"/>
        <w:numPr>
          <w:ilvl w:val="0"/>
          <w:numId w:val="0"/>
        </w:numPr>
        <w:wordWrap/>
        <w:overflowPunct/>
        <w:topLinePunct w:val="0"/>
        <w:bidi w:val="0"/>
        <w:spacing w:before="197" w:line="240" w:lineRule="auto"/>
        <w:outlineLvl w:val="0"/>
        <w:rPr>
          <w:rFonts w:hint="eastAsia" w:ascii="仿宋" w:hAnsi="仿宋" w:eastAsia="仿宋" w:cs="仿宋"/>
          <w:b/>
          <w:bCs/>
          <w:spacing w:val="-22"/>
          <w:sz w:val="32"/>
          <w:szCs w:val="32"/>
        </w:rPr>
      </w:pPr>
      <w:r>
        <w:rPr>
          <w:rFonts w:hint="eastAsia" w:ascii="仿宋" w:hAnsi="仿宋" w:eastAsia="仿宋" w:cs="仿宋"/>
          <w:b/>
          <w:bCs/>
          <w:spacing w:val="-22"/>
          <w:sz w:val="32"/>
          <w:szCs w:val="32"/>
        </w:rPr>
        <w:t>七、存在的问题及原因分析</w:t>
      </w:r>
    </w:p>
    <w:p w14:paraId="68A75891">
      <w:pPr>
        <w:keepNext w:val="0"/>
        <w:keepLines w:val="0"/>
        <w:pageBreakBefore w:val="0"/>
        <w:numPr>
          <w:ilvl w:val="0"/>
          <w:numId w:val="0"/>
        </w:numPr>
        <w:wordWrap/>
        <w:overflowPunct/>
        <w:topLinePunct w:val="0"/>
        <w:bidi w:val="0"/>
        <w:spacing w:before="197" w:line="240" w:lineRule="auto"/>
        <w:outlineLvl w:val="0"/>
        <w:rPr>
          <w:rFonts w:hint="eastAsia" w:ascii="仿宋" w:hAnsi="仿宋" w:eastAsia="仿宋" w:cs="仿宋"/>
          <w:sz w:val="32"/>
          <w:szCs w:val="32"/>
        </w:rPr>
      </w:pPr>
      <w:r>
        <w:rPr>
          <w:rFonts w:hint="eastAsia" w:ascii="仿宋" w:hAnsi="仿宋" w:eastAsia="仿宋" w:cs="仿宋"/>
          <w:spacing w:val="-3"/>
          <w:sz w:val="32"/>
          <w:szCs w:val="32"/>
        </w:rPr>
        <w:t>(一)年初预算编制不准确</w:t>
      </w:r>
    </w:p>
    <w:p w14:paraId="4BDB2DA5">
      <w:pPr>
        <w:keepNext w:val="0"/>
        <w:keepLines w:val="0"/>
        <w:pageBreakBefore w:val="0"/>
        <w:wordWrap/>
        <w:overflowPunct/>
        <w:topLinePunct w:val="0"/>
        <w:bidi w:val="0"/>
        <w:spacing w:before="148" w:line="240" w:lineRule="auto"/>
        <w:ind w:firstLine="490"/>
        <w:rPr>
          <w:rFonts w:hint="eastAsia" w:ascii="仿宋" w:hAnsi="仿宋" w:eastAsia="仿宋" w:cs="仿宋"/>
          <w:spacing w:val="-23"/>
          <w:sz w:val="32"/>
          <w:szCs w:val="32"/>
        </w:rPr>
      </w:pPr>
      <w:r>
        <w:rPr>
          <w:rFonts w:hint="eastAsia" w:ascii="仿宋" w:hAnsi="仿宋" w:eastAsia="仿宋" w:cs="仿宋"/>
          <w:spacing w:val="-10"/>
          <w:sz w:val="32"/>
          <w:szCs w:val="32"/>
        </w:rPr>
        <w:t>2023年年初，部门预算总支出</w:t>
      </w:r>
      <w:r>
        <w:rPr>
          <w:rFonts w:hint="eastAsia" w:ascii="仿宋" w:hAnsi="仿宋" w:eastAsia="仿宋" w:cs="仿宋"/>
          <w:spacing w:val="-10"/>
          <w:sz w:val="32"/>
          <w:szCs w:val="32"/>
          <w:lang w:val="en-US" w:eastAsia="zh-CN"/>
        </w:rPr>
        <w:t>2916.17</w:t>
      </w:r>
      <w:r>
        <w:rPr>
          <w:rFonts w:hint="eastAsia" w:ascii="仿宋" w:hAnsi="仿宋" w:eastAsia="仿宋" w:cs="仿宋"/>
          <w:spacing w:val="-10"/>
          <w:sz w:val="32"/>
          <w:szCs w:val="32"/>
        </w:rPr>
        <w:t>万</w:t>
      </w:r>
      <w:r>
        <w:rPr>
          <w:rFonts w:hint="eastAsia" w:ascii="仿宋" w:hAnsi="仿宋" w:eastAsia="仿宋" w:cs="仿宋"/>
          <w:spacing w:val="-11"/>
          <w:sz w:val="32"/>
          <w:szCs w:val="32"/>
        </w:rPr>
        <w:t>元，其中：基本支</w:t>
      </w:r>
      <w:r>
        <w:rPr>
          <w:rFonts w:hint="eastAsia" w:ascii="仿宋" w:hAnsi="仿宋" w:eastAsia="仿宋" w:cs="仿宋"/>
          <w:sz w:val="32"/>
          <w:szCs w:val="32"/>
        </w:rPr>
        <w:t>出</w:t>
      </w:r>
      <w:r>
        <w:rPr>
          <w:rFonts w:hint="eastAsia" w:ascii="仿宋" w:hAnsi="仿宋" w:eastAsia="仿宋" w:cs="仿宋"/>
          <w:sz w:val="32"/>
          <w:szCs w:val="32"/>
          <w:lang w:val="en-US" w:eastAsia="zh-CN"/>
        </w:rPr>
        <w:t>945.37</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1970.8</w:t>
      </w:r>
      <w:r>
        <w:rPr>
          <w:rFonts w:hint="eastAsia" w:ascii="仿宋" w:hAnsi="仿宋" w:eastAsia="仿宋" w:cs="仿宋"/>
          <w:sz w:val="32"/>
          <w:szCs w:val="32"/>
        </w:rPr>
        <w:t>万元。部门决算总支出</w:t>
      </w:r>
      <w:r>
        <w:rPr>
          <w:rFonts w:hint="eastAsia" w:ascii="仿宋" w:hAnsi="仿宋" w:eastAsia="仿宋" w:cs="仿宋"/>
          <w:sz w:val="32"/>
          <w:szCs w:val="32"/>
          <w:lang w:val="en-US" w:eastAsia="zh-CN"/>
        </w:rPr>
        <w:t>4248.09</w:t>
      </w:r>
      <w:r>
        <w:rPr>
          <w:rFonts w:hint="eastAsia" w:ascii="仿宋" w:hAnsi="仿宋" w:eastAsia="仿宋" w:cs="仿宋"/>
          <w:spacing w:val="-8"/>
          <w:sz w:val="32"/>
          <w:szCs w:val="32"/>
        </w:rPr>
        <w:t>万元，其中：基本支出</w:t>
      </w:r>
      <w:r>
        <w:rPr>
          <w:rFonts w:hint="eastAsia" w:ascii="仿宋" w:hAnsi="仿宋" w:eastAsia="仿宋" w:cs="仿宋"/>
          <w:spacing w:val="-8"/>
          <w:sz w:val="32"/>
          <w:szCs w:val="32"/>
          <w:lang w:val="en-US" w:eastAsia="zh-CN"/>
        </w:rPr>
        <w:t>1309.25</w:t>
      </w:r>
      <w:r>
        <w:rPr>
          <w:rFonts w:hint="eastAsia" w:ascii="仿宋" w:hAnsi="仿宋" w:eastAsia="仿宋" w:cs="仿宋"/>
          <w:spacing w:val="-8"/>
          <w:sz w:val="32"/>
          <w:szCs w:val="32"/>
        </w:rPr>
        <w:t>万元、项目支出</w:t>
      </w:r>
      <w:r>
        <w:rPr>
          <w:rFonts w:hint="eastAsia" w:ascii="仿宋" w:hAnsi="仿宋" w:eastAsia="仿宋" w:cs="仿宋"/>
          <w:spacing w:val="-9"/>
          <w:sz w:val="32"/>
          <w:szCs w:val="32"/>
          <w:lang w:val="en-US" w:eastAsia="zh-CN"/>
        </w:rPr>
        <w:t>2938.84</w:t>
      </w:r>
      <w:r>
        <w:rPr>
          <w:rFonts w:hint="eastAsia" w:ascii="仿宋" w:hAnsi="仿宋" w:eastAsia="仿宋" w:cs="仿宋"/>
          <w:spacing w:val="-9"/>
          <w:sz w:val="32"/>
          <w:szCs w:val="32"/>
        </w:rPr>
        <w:t>万元。</w:t>
      </w:r>
      <w:r>
        <w:rPr>
          <w:rFonts w:hint="eastAsia" w:ascii="仿宋" w:hAnsi="仿宋" w:eastAsia="仿宋" w:cs="仿宋"/>
          <w:spacing w:val="-14"/>
          <w:sz w:val="32"/>
          <w:szCs w:val="32"/>
        </w:rPr>
        <w:t>出现较大差异的主要因素是多个项目支出没有纳入</w:t>
      </w:r>
      <w:r>
        <w:rPr>
          <w:rFonts w:hint="eastAsia" w:ascii="仿宋" w:hAnsi="仿宋" w:eastAsia="仿宋" w:cs="仿宋"/>
          <w:spacing w:val="-14"/>
          <w:sz w:val="32"/>
          <w:szCs w:val="32"/>
          <w:lang w:eastAsia="zh-CN"/>
        </w:rPr>
        <w:t>年初</w:t>
      </w:r>
      <w:r>
        <w:rPr>
          <w:rFonts w:hint="eastAsia" w:ascii="仿宋" w:hAnsi="仿宋" w:eastAsia="仿宋" w:cs="仿宋"/>
          <w:spacing w:val="-14"/>
          <w:sz w:val="32"/>
          <w:szCs w:val="32"/>
        </w:rPr>
        <w:t>预</w:t>
      </w:r>
      <w:r>
        <w:rPr>
          <w:rFonts w:hint="eastAsia" w:ascii="仿宋" w:hAnsi="仿宋" w:eastAsia="仿宋" w:cs="仿宋"/>
          <w:spacing w:val="-23"/>
          <w:sz w:val="32"/>
          <w:szCs w:val="32"/>
        </w:rPr>
        <w:t>算。</w:t>
      </w:r>
    </w:p>
    <w:p w14:paraId="5E18A4C7">
      <w:pPr>
        <w:keepNext w:val="0"/>
        <w:keepLines w:val="0"/>
        <w:pageBreakBefore w:val="0"/>
        <w:wordWrap/>
        <w:overflowPunct/>
        <w:topLinePunct w:val="0"/>
        <w:bidi w:val="0"/>
        <w:spacing w:before="148" w:line="240" w:lineRule="auto"/>
        <w:rPr>
          <w:rFonts w:hint="eastAsia" w:ascii="仿宋" w:hAnsi="仿宋" w:eastAsia="仿宋" w:cs="仿宋"/>
          <w:sz w:val="32"/>
          <w:szCs w:val="32"/>
        </w:rPr>
      </w:pPr>
      <w:r>
        <w:rPr>
          <w:rFonts w:hint="eastAsia" w:ascii="仿宋" w:hAnsi="仿宋" w:eastAsia="仿宋" w:cs="仿宋"/>
          <w:spacing w:val="-5"/>
          <w:sz w:val="32"/>
          <w:szCs w:val="32"/>
        </w:rPr>
        <w:t>(二)政府采购预算编制不够细化</w:t>
      </w:r>
    </w:p>
    <w:p w14:paraId="21EA6D81">
      <w:pPr>
        <w:keepNext w:val="0"/>
        <w:keepLines w:val="0"/>
        <w:pageBreakBefore w:val="0"/>
        <w:widowControl/>
        <w:kinsoku w:val="0"/>
        <w:wordWrap/>
        <w:overflowPunct/>
        <w:topLinePunct w:val="0"/>
        <w:autoSpaceDE w:val="0"/>
        <w:autoSpaceDN w:val="0"/>
        <w:bidi w:val="0"/>
        <w:adjustRightInd w:val="0"/>
        <w:snapToGrid w:val="0"/>
        <w:spacing w:before="136" w:line="240" w:lineRule="auto"/>
        <w:ind w:right="51" w:firstLine="669"/>
        <w:textAlignment w:val="baseline"/>
        <w:rPr>
          <w:rFonts w:hint="eastAsia" w:ascii="仿宋" w:hAnsi="仿宋" w:eastAsia="仿宋" w:cs="仿宋"/>
          <w:sz w:val="32"/>
          <w:szCs w:val="32"/>
        </w:rPr>
      </w:pPr>
      <w:r>
        <w:rPr>
          <w:rFonts w:hint="eastAsia" w:ascii="仿宋" w:hAnsi="仿宋" w:eastAsia="仿宋" w:cs="仿宋"/>
          <w:spacing w:val="7"/>
          <w:sz w:val="32"/>
          <w:szCs w:val="32"/>
          <w:lang w:eastAsia="zh-CN"/>
        </w:rPr>
        <w:t>邵阳市北塔区城市管理综合执法局</w:t>
      </w:r>
      <w:r>
        <w:rPr>
          <w:rFonts w:hint="eastAsia" w:ascii="仿宋" w:hAnsi="仿宋" w:eastAsia="仿宋" w:cs="仿宋"/>
          <w:spacing w:val="7"/>
          <w:sz w:val="32"/>
          <w:szCs w:val="32"/>
        </w:rPr>
        <w:t>政府采购</w:t>
      </w:r>
      <w:r>
        <w:rPr>
          <w:rFonts w:hint="eastAsia" w:ascii="仿宋" w:hAnsi="仿宋" w:eastAsia="仿宋" w:cs="仿宋"/>
          <w:spacing w:val="7"/>
          <w:sz w:val="32"/>
          <w:szCs w:val="32"/>
          <w:lang w:eastAsia="zh-CN"/>
        </w:rPr>
        <w:t>年初</w:t>
      </w:r>
      <w:r>
        <w:rPr>
          <w:rFonts w:hint="eastAsia" w:ascii="仿宋" w:hAnsi="仿宋" w:eastAsia="仿宋" w:cs="仿宋"/>
          <w:spacing w:val="7"/>
          <w:sz w:val="32"/>
          <w:szCs w:val="32"/>
        </w:rPr>
        <w:t>预算数为</w:t>
      </w:r>
      <w:r>
        <w:rPr>
          <w:rFonts w:hint="eastAsia" w:ascii="仿宋" w:hAnsi="仿宋" w:eastAsia="仿宋" w:cs="仿宋"/>
          <w:spacing w:val="7"/>
          <w:sz w:val="32"/>
          <w:szCs w:val="32"/>
          <w:lang w:val="en-US" w:eastAsia="zh-CN"/>
        </w:rPr>
        <w:t>201.04万元</w:t>
      </w:r>
      <w:r>
        <w:rPr>
          <w:rFonts w:hint="eastAsia" w:ascii="仿宋" w:hAnsi="仿宋" w:eastAsia="仿宋" w:cs="仿宋"/>
          <w:spacing w:val="7"/>
          <w:sz w:val="32"/>
          <w:szCs w:val="32"/>
        </w:rPr>
        <w:t>,但决算支出数为</w:t>
      </w:r>
      <w:r>
        <w:rPr>
          <w:rFonts w:hint="eastAsia" w:ascii="仿宋" w:hAnsi="仿宋" w:eastAsia="仿宋" w:cs="仿宋"/>
          <w:spacing w:val="-12"/>
          <w:sz w:val="32"/>
          <w:szCs w:val="32"/>
          <w:lang w:val="en-US" w:eastAsia="zh-CN"/>
        </w:rPr>
        <w:t>650.92</w:t>
      </w:r>
      <w:r>
        <w:rPr>
          <w:rFonts w:hint="eastAsia" w:ascii="仿宋" w:hAnsi="仿宋" w:eastAsia="仿宋" w:cs="仿宋"/>
          <w:spacing w:val="-12"/>
          <w:sz w:val="32"/>
          <w:szCs w:val="32"/>
        </w:rPr>
        <w:t>万元。预算单位采购预算编制比较简单，公共支出项目</w:t>
      </w:r>
      <w:r>
        <w:rPr>
          <w:rFonts w:hint="eastAsia" w:ascii="仿宋" w:hAnsi="仿宋" w:eastAsia="仿宋" w:cs="仿宋"/>
          <w:spacing w:val="-22"/>
          <w:sz w:val="32"/>
          <w:szCs w:val="32"/>
        </w:rPr>
        <w:t>不够细化，难以从全局上把握全年政府采购工作</w:t>
      </w:r>
      <w:r>
        <w:rPr>
          <w:rFonts w:hint="eastAsia" w:ascii="仿宋" w:hAnsi="仿宋" w:eastAsia="仿宋" w:cs="仿宋"/>
          <w:spacing w:val="-22"/>
          <w:sz w:val="32"/>
          <w:szCs w:val="32"/>
          <w:lang w:eastAsia="zh-CN"/>
        </w:rPr>
        <w:t>。</w:t>
      </w:r>
    </w:p>
    <w:p w14:paraId="1C194A17">
      <w:pPr>
        <w:keepNext w:val="0"/>
        <w:keepLines w:val="0"/>
        <w:pageBreakBefore w:val="0"/>
        <w:numPr>
          <w:ilvl w:val="0"/>
          <w:numId w:val="3"/>
        </w:numPr>
        <w:wordWrap/>
        <w:overflowPunct/>
        <w:topLinePunct w:val="0"/>
        <w:bidi w:val="0"/>
        <w:spacing w:line="240" w:lineRule="auto"/>
        <w:ind w:left="0"/>
        <w:outlineLvl w:val="1"/>
        <w:rPr>
          <w:rFonts w:hint="eastAsia" w:ascii="仿宋" w:hAnsi="仿宋" w:eastAsia="仿宋" w:cs="仿宋"/>
          <w:b/>
          <w:bCs/>
          <w:spacing w:val="-14"/>
          <w:sz w:val="32"/>
          <w:szCs w:val="32"/>
        </w:rPr>
      </w:pPr>
      <w:r>
        <w:rPr>
          <w:rFonts w:hint="eastAsia" w:ascii="仿宋" w:hAnsi="仿宋" w:eastAsia="仿宋" w:cs="仿宋"/>
          <w:b/>
          <w:bCs/>
          <w:spacing w:val="-14"/>
          <w:sz w:val="32"/>
          <w:szCs w:val="32"/>
        </w:rPr>
        <w:t>下一步改进措施</w:t>
      </w:r>
    </w:p>
    <w:p w14:paraId="58DC30C2">
      <w:pPr>
        <w:keepNext w:val="0"/>
        <w:keepLines w:val="0"/>
        <w:pageBreakBefore w:val="0"/>
        <w:numPr>
          <w:ilvl w:val="0"/>
          <w:numId w:val="0"/>
        </w:numPr>
        <w:wordWrap/>
        <w:overflowPunct/>
        <w:topLinePunct w:val="0"/>
        <w:bidi w:val="0"/>
        <w:spacing w:before="104" w:line="240" w:lineRule="auto"/>
        <w:outlineLvl w:val="1"/>
        <w:rPr>
          <w:rFonts w:hint="eastAsia" w:ascii="仿宋" w:hAnsi="仿宋" w:eastAsia="仿宋" w:cs="仿宋"/>
          <w:sz w:val="32"/>
          <w:szCs w:val="32"/>
        </w:rPr>
      </w:pPr>
      <w:r>
        <w:rPr>
          <w:rFonts w:hint="eastAsia" w:ascii="仿宋" w:hAnsi="仿宋" w:eastAsia="仿宋" w:cs="仿宋"/>
          <w:spacing w:val="13"/>
          <w:sz w:val="32"/>
          <w:szCs w:val="32"/>
          <w:lang w:val="en-US" w:eastAsia="zh-CN"/>
        </w:rPr>
        <w:t xml:space="preserve">    </w:t>
      </w:r>
      <w:r>
        <w:rPr>
          <w:rFonts w:hint="eastAsia" w:ascii="仿宋" w:hAnsi="仿宋" w:eastAsia="仿宋" w:cs="仿宋"/>
          <w:spacing w:val="13"/>
          <w:sz w:val="32"/>
          <w:szCs w:val="32"/>
        </w:rPr>
        <w:t>(一)科学合理编制预算</w:t>
      </w:r>
    </w:p>
    <w:p w14:paraId="21622550">
      <w:pPr>
        <w:keepNext w:val="0"/>
        <w:keepLines w:val="0"/>
        <w:pageBreakBefore w:val="0"/>
        <w:wordWrap/>
        <w:overflowPunct/>
        <w:topLinePunct w:val="0"/>
        <w:bidi w:val="0"/>
        <w:spacing w:before="172" w:line="240" w:lineRule="auto"/>
        <w:ind w:firstLine="670"/>
        <w:rPr>
          <w:rFonts w:hint="eastAsia" w:ascii="仿宋" w:hAnsi="仿宋" w:eastAsia="仿宋" w:cs="仿宋"/>
          <w:spacing w:val="-4"/>
          <w:sz w:val="32"/>
          <w:szCs w:val="32"/>
        </w:rPr>
      </w:pPr>
      <w:r>
        <w:rPr>
          <w:rFonts w:hint="eastAsia" w:ascii="仿宋" w:hAnsi="仿宋" w:eastAsia="仿宋" w:cs="仿宋"/>
          <w:spacing w:val="-5"/>
          <w:sz w:val="32"/>
          <w:szCs w:val="32"/>
        </w:rPr>
        <w:t>由于</w:t>
      </w:r>
      <w:r>
        <w:rPr>
          <w:rFonts w:hint="eastAsia" w:ascii="仿宋" w:hAnsi="仿宋" w:eastAsia="仿宋" w:cs="仿宋"/>
          <w:spacing w:val="-5"/>
          <w:sz w:val="32"/>
          <w:szCs w:val="32"/>
          <w:lang w:eastAsia="zh-CN"/>
        </w:rPr>
        <w:t>邵阳市北塔区城市管理综合执法局</w:t>
      </w:r>
      <w:r>
        <w:rPr>
          <w:rFonts w:hint="eastAsia" w:ascii="仿宋" w:hAnsi="仿宋" w:eastAsia="仿宋" w:cs="仿宋"/>
          <w:spacing w:val="-5"/>
          <w:sz w:val="32"/>
          <w:szCs w:val="32"/>
        </w:rPr>
        <w:t>工作职责涉及的范围广，情况复杂，</w:t>
      </w:r>
      <w:r>
        <w:rPr>
          <w:rFonts w:hint="eastAsia" w:ascii="仿宋" w:hAnsi="仿宋" w:eastAsia="仿宋" w:cs="仿宋"/>
          <w:spacing w:val="-6"/>
          <w:sz w:val="32"/>
          <w:szCs w:val="32"/>
        </w:rPr>
        <w:t>要准确编制预算有一定的难度，但我局将尽量充分取得相关基础资料，力求按照新《预算法》及其实施条例的相关规定，结合本</w:t>
      </w:r>
      <w:r>
        <w:rPr>
          <w:rFonts w:hint="eastAsia" w:ascii="仿宋" w:hAnsi="仿宋" w:eastAsia="仿宋" w:cs="仿宋"/>
          <w:spacing w:val="6"/>
          <w:sz w:val="32"/>
          <w:szCs w:val="32"/>
        </w:rPr>
        <w:t>部门工作职责和职能的特点和未来年度发展规划以及本年度预</w:t>
      </w:r>
      <w:r>
        <w:rPr>
          <w:rFonts w:hint="eastAsia" w:ascii="仿宋" w:hAnsi="仿宋" w:eastAsia="仿宋" w:cs="仿宋"/>
          <w:spacing w:val="-6"/>
          <w:sz w:val="32"/>
          <w:szCs w:val="32"/>
        </w:rPr>
        <w:t>算执行情况，科学、合理地详细编制预算，避免项目支出与基本</w:t>
      </w:r>
      <w:r>
        <w:rPr>
          <w:rFonts w:hint="eastAsia" w:ascii="仿宋" w:hAnsi="仿宋" w:eastAsia="仿宋" w:cs="仿宋"/>
          <w:spacing w:val="-3"/>
          <w:sz w:val="32"/>
          <w:szCs w:val="32"/>
        </w:rPr>
        <w:t>支出划分不准，或预算支出与实际执行出现较</w:t>
      </w:r>
      <w:r>
        <w:rPr>
          <w:rFonts w:hint="eastAsia" w:ascii="仿宋" w:hAnsi="仿宋" w:eastAsia="仿宋" w:cs="仿宋"/>
          <w:spacing w:val="-4"/>
          <w:sz w:val="32"/>
          <w:szCs w:val="32"/>
        </w:rPr>
        <w:t>大偏差的情况。</w:t>
      </w:r>
    </w:p>
    <w:p w14:paraId="1A86BE50">
      <w:pPr>
        <w:keepNext w:val="0"/>
        <w:keepLines w:val="0"/>
        <w:pageBreakBefore w:val="0"/>
        <w:wordWrap/>
        <w:overflowPunct/>
        <w:topLinePunct w:val="0"/>
        <w:bidi w:val="0"/>
        <w:spacing w:before="172" w:line="240" w:lineRule="auto"/>
        <w:ind w:firstLine="670"/>
        <w:rPr>
          <w:rFonts w:hint="eastAsia" w:ascii="仿宋" w:hAnsi="仿宋" w:eastAsia="仿宋" w:cs="仿宋"/>
          <w:sz w:val="32"/>
          <w:szCs w:val="32"/>
        </w:rPr>
      </w:pPr>
      <w:r>
        <w:rPr>
          <w:rFonts w:hint="eastAsia" w:ascii="仿宋" w:hAnsi="仿宋" w:eastAsia="仿宋" w:cs="仿宋"/>
          <w:spacing w:val="12"/>
          <w:sz w:val="32"/>
          <w:szCs w:val="32"/>
        </w:rPr>
        <w:t>(二)完善政府采购部门预算编制</w:t>
      </w:r>
    </w:p>
    <w:p w14:paraId="0FF4CAFC">
      <w:pPr>
        <w:keepNext w:val="0"/>
        <w:keepLines w:val="0"/>
        <w:pageBreakBefore w:val="0"/>
        <w:wordWrap/>
        <w:overflowPunct/>
        <w:topLinePunct w:val="0"/>
        <w:bidi w:val="0"/>
        <w:spacing w:before="163" w:line="240" w:lineRule="auto"/>
        <w:ind w:right="11" w:firstLine="670"/>
        <w:rPr>
          <w:rFonts w:hint="eastAsia" w:ascii="仿宋" w:hAnsi="仿宋" w:eastAsia="仿宋" w:cs="仿宋"/>
          <w:spacing w:val="-6"/>
          <w:sz w:val="32"/>
          <w:szCs w:val="32"/>
        </w:rPr>
      </w:pPr>
      <w:r>
        <w:rPr>
          <w:rFonts w:hint="eastAsia" w:ascii="仿宋" w:hAnsi="仿宋" w:eastAsia="仿宋" w:cs="仿宋"/>
          <w:spacing w:val="-7"/>
          <w:sz w:val="32"/>
          <w:szCs w:val="32"/>
        </w:rPr>
        <w:t>我局将加强部门预算管理，细化政府采购预算，提高预</w:t>
      </w:r>
      <w:r>
        <w:rPr>
          <w:rFonts w:hint="eastAsia" w:ascii="仿宋" w:hAnsi="仿宋" w:eastAsia="仿宋" w:cs="仿宋"/>
          <w:spacing w:val="-8"/>
          <w:sz w:val="32"/>
          <w:szCs w:val="32"/>
        </w:rPr>
        <w:t>算约</w:t>
      </w:r>
      <w:r>
        <w:rPr>
          <w:rFonts w:hint="eastAsia" w:ascii="仿宋" w:hAnsi="仿宋" w:eastAsia="仿宋" w:cs="仿宋"/>
          <w:spacing w:val="-4"/>
          <w:sz w:val="32"/>
          <w:szCs w:val="32"/>
        </w:rPr>
        <w:t>束力，加强与各单位、各部门的沟通协调，做好全年采购计划，</w:t>
      </w:r>
      <w:r>
        <w:rPr>
          <w:rFonts w:hint="eastAsia" w:ascii="仿宋" w:hAnsi="仿宋" w:eastAsia="仿宋" w:cs="仿宋"/>
          <w:spacing w:val="-6"/>
          <w:sz w:val="32"/>
          <w:szCs w:val="32"/>
        </w:rPr>
        <w:t>详细制定年度采购项目、资金数额和构成、采购数量和标准。采购一经批复须严格执行。</w:t>
      </w:r>
    </w:p>
    <w:p w14:paraId="751B552F">
      <w:pPr>
        <w:keepNext w:val="0"/>
        <w:keepLines w:val="0"/>
        <w:pageBreakBefore w:val="0"/>
        <w:wordWrap/>
        <w:overflowPunct/>
        <w:topLinePunct w:val="0"/>
        <w:bidi w:val="0"/>
        <w:spacing w:line="240" w:lineRule="auto"/>
        <w:ind w:right="0" w:firstLine="0"/>
        <w:rPr>
          <w:rFonts w:hint="eastAsia" w:ascii="仿宋" w:hAnsi="仿宋" w:eastAsia="仿宋" w:cs="仿宋"/>
          <w:sz w:val="32"/>
          <w:szCs w:val="32"/>
        </w:rPr>
      </w:pPr>
      <w:r>
        <w:rPr>
          <w:rFonts w:hint="eastAsia" w:ascii="仿宋" w:hAnsi="仿宋" w:eastAsia="仿宋" w:cs="仿宋"/>
          <w:b/>
          <w:bCs/>
          <w:spacing w:val="-5"/>
          <w:sz w:val="32"/>
          <w:szCs w:val="32"/>
        </w:rPr>
        <w:t>九、部门整体支出绩效自评结果拟应用和公开</w:t>
      </w:r>
      <w:r>
        <w:rPr>
          <w:rFonts w:hint="eastAsia" w:ascii="仿宋" w:hAnsi="仿宋" w:eastAsia="仿宋" w:cs="仿宋"/>
          <w:b/>
          <w:bCs/>
          <w:spacing w:val="-6"/>
          <w:sz w:val="32"/>
          <w:szCs w:val="32"/>
        </w:rPr>
        <w:t>情况</w:t>
      </w:r>
    </w:p>
    <w:p w14:paraId="7D50E9D0">
      <w:pPr>
        <w:keepNext w:val="0"/>
        <w:keepLines w:val="0"/>
        <w:pageBreakBefore w:val="0"/>
        <w:wordWrap/>
        <w:overflowPunct/>
        <w:topLinePunct w:val="0"/>
        <w:bidi w:val="0"/>
        <w:spacing w:before="181" w:line="240" w:lineRule="auto"/>
        <w:ind w:right="52" w:firstLine="670"/>
        <w:jc w:val="both"/>
        <w:rPr>
          <w:rFonts w:hint="eastAsia" w:ascii="仿宋" w:hAnsi="仿宋" w:eastAsia="仿宋" w:cs="仿宋"/>
          <w:spacing w:val="-2"/>
          <w:sz w:val="32"/>
          <w:szCs w:val="32"/>
        </w:rPr>
      </w:pPr>
      <w:r>
        <w:rPr>
          <w:rFonts w:hint="eastAsia" w:ascii="仿宋" w:hAnsi="仿宋" w:eastAsia="仿宋" w:cs="仿宋"/>
          <w:spacing w:val="-1"/>
          <w:sz w:val="32"/>
          <w:szCs w:val="32"/>
        </w:rPr>
        <w:t>自评总分：9</w:t>
      </w:r>
      <w:r>
        <w:rPr>
          <w:rFonts w:hint="eastAsia" w:ascii="仿宋" w:hAnsi="仿宋" w:eastAsia="仿宋" w:cs="仿宋"/>
          <w:spacing w:val="-1"/>
          <w:sz w:val="32"/>
          <w:szCs w:val="32"/>
          <w:lang w:val="en-US" w:eastAsia="zh-CN"/>
        </w:rPr>
        <w:t>5</w:t>
      </w:r>
      <w:r>
        <w:rPr>
          <w:rFonts w:hint="eastAsia" w:ascii="仿宋" w:hAnsi="仿宋" w:eastAsia="仿宋" w:cs="仿宋"/>
          <w:spacing w:val="-1"/>
          <w:sz w:val="32"/>
          <w:szCs w:val="32"/>
        </w:rPr>
        <w:t>分。对照整体支出绩效评价指标，本部门自</w:t>
      </w:r>
      <w:r>
        <w:rPr>
          <w:rFonts w:hint="eastAsia" w:ascii="仿宋" w:hAnsi="仿宋" w:eastAsia="仿宋" w:cs="仿宋"/>
          <w:spacing w:val="3"/>
          <w:sz w:val="32"/>
          <w:szCs w:val="32"/>
        </w:rPr>
        <w:t>评分为9</w:t>
      </w:r>
      <w:r>
        <w:rPr>
          <w:rFonts w:hint="eastAsia" w:ascii="仿宋" w:hAnsi="仿宋" w:eastAsia="仿宋" w:cs="仿宋"/>
          <w:spacing w:val="3"/>
          <w:sz w:val="32"/>
          <w:szCs w:val="32"/>
          <w:lang w:val="en-US" w:eastAsia="zh-CN"/>
        </w:rPr>
        <w:t>5</w:t>
      </w:r>
      <w:r>
        <w:rPr>
          <w:rFonts w:hint="eastAsia" w:ascii="仿宋" w:hAnsi="仿宋" w:eastAsia="仿宋" w:cs="仿宋"/>
          <w:spacing w:val="3"/>
          <w:sz w:val="32"/>
          <w:szCs w:val="32"/>
        </w:rPr>
        <w:t>分。整体来说做得较好，但由于客观原因，在资金使</w:t>
      </w:r>
      <w:r>
        <w:rPr>
          <w:rFonts w:hint="eastAsia" w:ascii="仿宋" w:hAnsi="仿宋" w:eastAsia="仿宋" w:cs="仿宋"/>
          <w:spacing w:val="-6"/>
          <w:sz w:val="32"/>
          <w:szCs w:val="32"/>
        </w:rPr>
        <w:t>用上存在少许不规范情况，财务管理有待进一步加强。今后，我</w:t>
      </w:r>
      <w:r>
        <w:rPr>
          <w:rFonts w:hint="eastAsia" w:ascii="仿宋" w:hAnsi="仿宋" w:eastAsia="仿宋" w:cs="仿宋"/>
          <w:spacing w:val="-5"/>
          <w:sz w:val="32"/>
          <w:szCs w:val="32"/>
        </w:rPr>
        <w:t>局将不断总结经验，进一步提高资金使用效率。</w:t>
      </w:r>
      <w:r>
        <w:rPr>
          <w:rFonts w:hint="eastAsia" w:ascii="仿宋" w:hAnsi="仿宋" w:eastAsia="仿宋" w:cs="仿宋"/>
          <w:spacing w:val="-1"/>
          <w:sz w:val="32"/>
          <w:szCs w:val="32"/>
        </w:rPr>
        <w:t>2023年整体支出绩效自评结果将以政府网站方</w:t>
      </w:r>
      <w:r>
        <w:rPr>
          <w:rFonts w:hint="eastAsia" w:ascii="仿宋" w:hAnsi="仿宋" w:eastAsia="仿宋" w:cs="仿宋"/>
          <w:spacing w:val="-2"/>
          <w:sz w:val="32"/>
          <w:szCs w:val="32"/>
        </w:rPr>
        <w:t>式公开。</w:t>
      </w:r>
    </w:p>
    <w:p w14:paraId="29083494">
      <w:pPr>
        <w:keepNext w:val="0"/>
        <w:keepLines w:val="0"/>
        <w:pageBreakBefore w:val="0"/>
        <w:numPr>
          <w:ilvl w:val="0"/>
          <w:numId w:val="4"/>
        </w:numPr>
        <w:wordWrap/>
        <w:overflowPunct/>
        <w:topLinePunct w:val="0"/>
        <w:bidi w:val="0"/>
        <w:spacing w:line="240" w:lineRule="auto"/>
        <w:ind w:right="0" w:firstLine="0"/>
        <w:jc w:val="both"/>
        <w:rPr>
          <w:rFonts w:hint="eastAsia" w:ascii="仿宋" w:hAnsi="仿宋" w:eastAsia="仿宋" w:cs="仿宋"/>
          <w:b/>
          <w:bCs/>
          <w:spacing w:val="-9"/>
          <w:sz w:val="32"/>
          <w:szCs w:val="32"/>
        </w:rPr>
      </w:pPr>
      <w:r>
        <w:rPr>
          <w:rFonts w:hint="eastAsia" w:ascii="仿宋" w:hAnsi="仿宋" w:eastAsia="仿宋" w:cs="仿宋"/>
          <w:b/>
          <w:bCs/>
          <w:spacing w:val="-9"/>
          <w:sz w:val="32"/>
          <w:szCs w:val="32"/>
        </w:rPr>
        <w:t>其他需要说明的情况</w:t>
      </w:r>
    </w:p>
    <w:p w14:paraId="39DBDA24">
      <w:pPr>
        <w:keepNext w:val="0"/>
        <w:keepLines w:val="0"/>
        <w:pageBreakBefore w:val="0"/>
        <w:numPr>
          <w:ilvl w:val="0"/>
          <w:numId w:val="0"/>
        </w:numPr>
        <w:wordWrap/>
        <w:overflowPunct/>
        <w:topLinePunct w:val="0"/>
        <w:bidi w:val="0"/>
        <w:spacing w:before="181" w:line="240" w:lineRule="auto"/>
        <w:ind w:right="52" w:rightChars="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w:t>
      </w:r>
    </w:p>
    <w:p w14:paraId="48498142">
      <w:pPr>
        <w:keepNext w:val="0"/>
        <w:keepLines w:val="0"/>
        <w:pageBreakBefore w:val="0"/>
        <w:wordWrap/>
        <w:overflowPunct/>
        <w:topLinePunct w:val="0"/>
        <w:bidi w:val="0"/>
        <w:spacing w:before="104" w:line="240" w:lineRule="auto"/>
        <w:rPr>
          <w:rFonts w:hint="eastAsia" w:ascii="仿宋" w:hAnsi="仿宋" w:eastAsia="仿宋" w:cs="仿宋"/>
          <w:sz w:val="32"/>
          <w:szCs w:val="32"/>
        </w:rPr>
      </w:pPr>
      <w:r>
        <w:rPr>
          <w:rFonts w:hint="eastAsia" w:ascii="仿宋" w:hAnsi="仿宋" w:eastAsia="仿宋" w:cs="仿宋"/>
          <w:spacing w:val="-10"/>
          <w:sz w:val="32"/>
          <w:szCs w:val="32"/>
        </w:rPr>
        <w:t>报告需要以下附件：</w:t>
      </w:r>
    </w:p>
    <w:p w14:paraId="29177FE3">
      <w:pPr>
        <w:keepNext w:val="0"/>
        <w:keepLines w:val="0"/>
        <w:pageBreakBefore w:val="0"/>
        <w:numPr>
          <w:ilvl w:val="0"/>
          <w:numId w:val="5"/>
        </w:numPr>
        <w:wordWrap/>
        <w:overflowPunct/>
        <w:topLinePunct w:val="0"/>
        <w:bidi w:val="0"/>
        <w:spacing w:before="173" w:line="240" w:lineRule="auto"/>
        <w:ind w:left="440" w:right="2874"/>
        <w:rPr>
          <w:rFonts w:hint="eastAsia" w:ascii="仿宋" w:hAnsi="仿宋" w:eastAsia="仿宋" w:cs="仿宋"/>
          <w:sz w:val="32"/>
          <w:szCs w:val="32"/>
        </w:rPr>
      </w:pPr>
      <w:r>
        <w:rPr>
          <w:rFonts w:hint="eastAsia" w:ascii="仿宋" w:hAnsi="仿宋" w:eastAsia="仿宋" w:cs="仿宋"/>
          <w:spacing w:val="-5"/>
          <w:sz w:val="32"/>
          <w:szCs w:val="32"/>
        </w:rPr>
        <w:t>部门整体支出绩效评价基础数表</w:t>
      </w:r>
      <w:r>
        <w:rPr>
          <w:rFonts w:hint="eastAsia" w:ascii="仿宋" w:hAnsi="仿宋" w:eastAsia="仿宋" w:cs="仿宋"/>
          <w:sz w:val="32"/>
          <w:szCs w:val="32"/>
        </w:rPr>
        <w:t xml:space="preserve"> </w:t>
      </w:r>
    </w:p>
    <w:p w14:paraId="51D8B58D">
      <w:pPr>
        <w:keepNext w:val="0"/>
        <w:keepLines w:val="0"/>
        <w:pageBreakBefore w:val="0"/>
        <w:numPr>
          <w:ilvl w:val="0"/>
          <w:numId w:val="0"/>
        </w:numPr>
        <w:wordWrap/>
        <w:overflowPunct/>
        <w:topLinePunct w:val="0"/>
        <w:bidi w:val="0"/>
        <w:spacing w:before="173" w:line="240" w:lineRule="auto"/>
        <w:ind w:right="2874" w:rightChars="0"/>
        <w:rPr>
          <w:rFonts w:hint="eastAsia" w:ascii="仿宋" w:hAnsi="仿宋" w:eastAsia="仿宋" w:cs="仿宋"/>
          <w:sz w:val="32"/>
          <w:szCs w:val="32"/>
        </w:rPr>
      </w:pP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2.部门整体支出绩</w:t>
      </w:r>
      <w:bookmarkStart w:id="0" w:name="_GoBack"/>
      <w:bookmarkEnd w:id="0"/>
      <w:r>
        <w:rPr>
          <w:rFonts w:hint="eastAsia" w:ascii="仿宋" w:hAnsi="仿宋" w:eastAsia="仿宋" w:cs="仿宋"/>
          <w:spacing w:val="-5"/>
          <w:sz w:val="32"/>
          <w:szCs w:val="32"/>
        </w:rPr>
        <w:t>效自评表</w:t>
      </w:r>
    </w:p>
    <w:p w14:paraId="1021A526">
      <w:pPr>
        <w:keepNext w:val="0"/>
        <w:keepLines w:val="0"/>
        <w:pageBreakBefore w:val="0"/>
        <w:wordWrap/>
        <w:overflowPunct/>
        <w:topLinePunct w:val="0"/>
        <w:bidi w:val="0"/>
        <w:spacing w:before="54" w:line="240" w:lineRule="auto"/>
        <w:ind w:left="440"/>
        <w:rPr>
          <w:rFonts w:hint="eastAsia" w:ascii="仿宋" w:hAnsi="仿宋" w:eastAsia="仿宋" w:cs="仿宋"/>
          <w:sz w:val="32"/>
          <w:szCs w:val="32"/>
          <w:lang w:eastAsia="zh-CN"/>
        </w:rPr>
        <w:sectPr>
          <w:pgSz w:w="11930" w:h="16870"/>
          <w:pgMar w:top="1434" w:right="1789" w:bottom="1791" w:left="1789" w:header="0" w:footer="0" w:gutter="0"/>
          <w:cols w:space="0" w:num="1"/>
          <w:rtlGutter w:val="0"/>
          <w:docGrid w:linePitch="0" w:charSpace="0"/>
        </w:sectPr>
      </w:pPr>
      <w:r>
        <w:rPr>
          <w:rFonts w:hint="eastAsia" w:ascii="仿宋" w:hAnsi="仿宋" w:eastAsia="仿宋" w:cs="仿宋"/>
          <w:spacing w:val="8"/>
          <w:sz w:val="32"/>
          <w:szCs w:val="32"/>
        </w:rPr>
        <w:t>3.项目支出绩效自评表(一个项目支出一张表</w:t>
      </w:r>
      <w:r>
        <w:rPr>
          <w:rFonts w:hint="eastAsia" w:ascii="仿宋" w:hAnsi="仿宋" w:eastAsia="仿宋" w:cs="仿宋"/>
          <w:spacing w:val="8"/>
          <w:sz w:val="32"/>
          <w:szCs w:val="32"/>
          <w:lang w:eastAsia="zh-CN"/>
        </w:rPr>
        <w:t>）</w:t>
      </w:r>
    </w:p>
    <w:p w14:paraId="358E40CE">
      <w:pPr>
        <w:pStyle w:val="4"/>
      </w:pPr>
    </w:p>
    <w:sectPr>
      <w:headerReference r:id="rId5" w:type="default"/>
      <w:footerReference r:id="rId6" w:type="default"/>
      <w:pgSz w:w="11930" w:h="16860"/>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E8892">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7A6BC">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6576"/>
    <w:multiLevelType w:val="singleLevel"/>
    <w:tmpl w:val="66B46576"/>
    <w:lvl w:ilvl="0" w:tentative="0">
      <w:start w:val="6"/>
      <w:numFmt w:val="chineseCounting"/>
      <w:suff w:val="nothing"/>
      <w:lvlText w:val="%1、"/>
      <w:lvlJc w:val="left"/>
    </w:lvl>
  </w:abstractNum>
  <w:abstractNum w:abstractNumId="1">
    <w:nsid w:val="66B46656"/>
    <w:multiLevelType w:val="singleLevel"/>
    <w:tmpl w:val="66B46656"/>
    <w:lvl w:ilvl="0" w:tentative="0">
      <w:start w:val="10"/>
      <w:numFmt w:val="chineseCounting"/>
      <w:suff w:val="nothing"/>
      <w:lvlText w:val="%1、"/>
      <w:lvlJc w:val="left"/>
    </w:lvl>
  </w:abstractNum>
  <w:abstractNum w:abstractNumId="2">
    <w:nsid w:val="66B4666F"/>
    <w:multiLevelType w:val="singleLevel"/>
    <w:tmpl w:val="66B4666F"/>
    <w:lvl w:ilvl="0" w:tentative="0">
      <w:start w:val="8"/>
      <w:numFmt w:val="chineseCounting"/>
      <w:suff w:val="nothing"/>
      <w:lvlText w:val="%1、"/>
      <w:lvlJc w:val="left"/>
    </w:lvl>
  </w:abstractNum>
  <w:abstractNum w:abstractNumId="3">
    <w:nsid w:val="66B4668B"/>
    <w:multiLevelType w:val="singleLevel"/>
    <w:tmpl w:val="66B4668B"/>
    <w:lvl w:ilvl="0" w:tentative="0">
      <w:start w:val="1"/>
      <w:numFmt w:val="decimal"/>
      <w:suff w:val="nothing"/>
      <w:lvlText w:val="%1."/>
      <w:lvlJc w:val="left"/>
    </w:lvl>
  </w:abstractNum>
  <w:abstractNum w:abstractNumId="4">
    <w:nsid w:val="66B466BD"/>
    <w:multiLevelType w:val="singleLevel"/>
    <w:tmpl w:val="66B466BD"/>
    <w:lvl w:ilvl="0" w:tentative="0">
      <w:start w:val="1"/>
      <w:numFmt w:val="chineseCounting"/>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ExNjcwMDAxNWNhZmQzMjdmYzYyOWNkMjE5NjUxODIifQ=="/>
  </w:docVars>
  <w:rsids>
    <w:rsidRoot w:val="00000000"/>
    <w:rsid w:val="03483348"/>
    <w:rsid w:val="06986394"/>
    <w:rsid w:val="0810676A"/>
    <w:rsid w:val="08626C5A"/>
    <w:rsid w:val="0E672D30"/>
    <w:rsid w:val="13D17EAC"/>
    <w:rsid w:val="15B16F9D"/>
    <w:rsid w:val="192637D1"/>
    <w:rsid w:val="193404B6"/>
    <w:rsid w:val="20D46B59"/>
    <w:rsid w:val="27E965F8"/>
    <w:rsid w:val="2DBF0527"/>
    <w:rsid w:val="35B4158E"/>
    <w:rsid w:val="46FC4683"/>
    <w:rsid w:val="4A3F72C9"/>
    <w:rsid w:val="4D3A7F4B"/>
    <w:rsid w:val="51B53E23"/>
    <w:rsid w:val="538F59F6"/>
    <w:rsid w:val="54D538DD"/>
    <w:rsid w:val="60A66F68"/>
    <w:rsid w:val="6F1C4B6F"/>
    <w:rsid w:val="70DD48BA"/>
    <w:rsid w:val="72EE5E3E"/>
    <w:rsid w:val="79C71AEB"/>
    <w:rsid w:val="7FDE03C7"/>
    <w:rsid w:val="AF8F645B"/>
    <w:rsid w:val="DD9F14DC"/>
    <w:rsid w:val="FC779680"/>
    <w:rsid w:val="FF6F65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sz w:val="24"/>
    </w:rPr>
  </w:style>
  <w:style w:type="paragraph" w:styleId="3">
    <w:name w:val="index 5"/>
    <w:basedOn w:val="1"/>
    <w:next w:val="1"/>
    <w:qFormat/>
    <w:uiPriority w:val="0"/>
    <w:pPr>
      <w:ind w:left="1680"/>
    </w:pPr>
    <w:rPr>
      <w:rFonts w:eastAsia="宋体"/>
      <w:sz w:val="21"/>
      <w:szCs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next w:val="3"/>
    <w:qFormat/>
    <w:uiPriority w:val="0"/>
    <w:pPr>
      <w:tabs>
        <w:tab w:val="center" w:pos="4153"/>
        <w:tab w:val="right" w:pos="8306"/>
      </w:tabs>
      <w:snapToGrid w:val="0"/>
      <w:jc w:val="left"/>
    </w:pPr>
    <w:rPr>
      <w:rFonts w:ascii="Times New Roman" w:hAnsi="Times New Roman"/>
      <w:sz w:val="18"/>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4542</Words>
  <Characters>4862</Characters>
  <Lines>0</Lines>
  <Paragraphs>0</Paragraphs>
  <TotalTime>14</TotalTime>
  <ScaleCrop>false</ScaleCrop>
  <LinksUpToDate>false</LinksUpToDate>
  <CharactersWithSpaces>4907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2024-08-09T01:47:00Z</dcterms:created>
  <dc:creator>Kingsoft-PDF</dc:creator>
  <cp:lastModifiedBy>Administrator</cp:lastModifiedBy>
  <cp:lastPrinted>2024-08-08T22:48:00Z</cp:lastPrinted>
  <dcterms:modified xsi:type="dcterms:W3CDTF">2024-08-16T00:25:46Z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2024-08-08T09:47:13Z</vt:filetime>
  </property>
  <property fmtid="{D5CDD505-2E9C-101B-9397-08002B2CF9AE}" pid="4" name="UsrData">
    <vt:lpwstr>66b4239e9b1603001f4d42ccwl</vt:lpwstr>
  </property>
  <property fmtid="{D5CDD505-2E9C-101B-9397-08002B2CF9AE}" pid="5" name="KSOProductBuildVer">
    <vt:lpwstr>2052-12.1.0.17147</vt:lpwstr>
  </property>
  <property fmtid="{D5CDD505-2E9C-101B-9397-08002B2CF9AE}" pid="6" name="ICV">
    <vt:lpwstr>4C14DD06476B4863AD9DB8A1E4BB9C64_12</vt:lpwstr>
  </property>
</Properties>
</file>