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rPr>
          <w:rFonts w:hint="eastAsia" w:ascii="方正小标宋_GBK" w:hAnsi="方正小标宋_GBK" w:eastAsia="方正小标宋_GBK" w:cs="方正小标宋_GBK"/>
          <w:b/>
          <w:bCs/>
          <w:sz w:val="44"/>
          <w:szCs w:val="44"/>
          <w:u w:val="none" w:color="auto"/>
          <w:lang w:val="en-US" w:eastAsia="zh-CN"/>
        </w:rPr>
      </w:pPr>
    </w:p>
    <w:p>
      <w:pPr>
        <w:pStyle w:val="2"/>
        <w:ind w:left="0" w:leftChars="0" w:firstLine="0" w:firstLineChars="0"/>
        <w:rPr>
          <w:rFonts w:hint="eastAsia" w:ascii="方正小标宋_GBK" w:hAnsi="方正小标宋_GBK" w:eastAsia="方正小标宋_GBK" w:cs="方正小标宋_GBK"/>
          <w:b/>
          <w:bCs/>
          <w:sz w:val="44"/>
          <w:szCs w:val="44"/>
          <w:u w:val="none" w:color="auto"/>
          <w:lang w:val="en-US" w:eastAsia="zh-CN"/>
        </w:rPr>
      </w:pPr>
    </w:p>
    <w:p>
      <w:pPr>
        <w:pStyle w:val="2"/>
        <w:ind w:left="0" w:leftChars="0" w:firstLine="0" w:firstLineChars="0"/>
        <w:rPr>
          <w:rFonts w:hint="eastAsia" w:ascii="方正小标宋_GBK" w:hAnsi="方正小标宋_GBK" w:eastAsia="方正小标宋_GBK" w:cs="方正小标宋_GBK"/>
          <w:b/>
          <w:bCs/>
          <w:sz w:val="44"/>
          <w:szCs w:val="44"/>
          <w:u w:val="none" w:color="auto"/>
          <w:lang w:val="en-US" w:eastAsia="zh-CN"/>
        </w:rPr>
      </w:pPr>
    </w:p>
    <w:p>
      <w:pPr>
        <w:keepNext w:val="0"/>
        <w:keepLines w:val="0"/>
        <w:pageBreakBefore w:val="0"/>
        <w:widowControl/>
        <w:kinsoku/>
        <w:wordWrap/>
        <w:overflowPunct/>
        <w:topLinePunct w:val="0"/>
        <w:autoSpaceDE/>
        <w:autoSpaceDN/>
        <w:bidi w:val="0"/>
        <w:adjustRightInd/>
        <w:snapToGrid/>
        <w:spacing w:line="700" w:lineRule="exact"/>
        <w:ind w:left="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邵阳市北塔区2022年环卫市场化</w:t>
      </w:r>
    </w:p>
    <w:p>
      <w:pPr>
        <w:keepNext w:val="0"/>
        <w:keepLines w:val="0"/>
        <w:pageBreakBefore w:val="0"/>
        <w:widowControl/>
        <w:kinsoku/>
        <w:wordWrap/>
        <w:overflowPunct/>
        <w:topLinePunct w:val="0"/>
        <w:autoSpaceDE/>
        <w:autoSpaceDN/>
        <w:bidi w:val="0"/>
        <w:adjustRightInd/>
        <w:snapToGrid/>
        <w:spacing w:line="700" w:lineRule="exact"/>
        <w:ind w:left="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项目绩效评价报告</w:t>
      </w: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both"/>
        <w:rPr>
          <w:rFonts w:hint="eastAsia" w:ascii="方正小标宋_GBK" w:hAnsi="方正小标宋_GBK" w:eastAsia="方正小标宋_GBK" w:cs="方正小标宋_GBK"/>
          <w:b/>
          <w:bCs/>
          <w:sz w:val="44"/>
          <w:szCs w:val="44"/>
          <w:u w:val="none" w:color="auto"/>
          <w:lang w:val="en-US" w:eastAsia="zh-CN"/>
        </w:rPr>
      </w:pP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r>
        <w:rPr>
          <w:rFonts w:hint="eastAsia" w:ascii="方正小标宋_GBK" w:hAnsi="方正小标宋_GBK" w:eastAsia="方正小标宋_GBK" w:cs="方正小标宋_GBK"/>
          <w:b/>
          <w:bCs/>
          <w:sz w:val="44"/>
          <w:szCs w:val="44"/>
          <w:u w:val="none" w:color="auto"/>
          <w:lang w:val="en-US" w:eastAsia="zh-CN"/>
        </w:rPr>
        <w:t>湖南财正会计师事务所（普通合伙）</w:t>
      </w:r>
    </w:p>
    <w:p>
      <w:pPr>
        <w:pStyle w:val="14"/>
        <w:tabs>
          <w:tab w:val="right" w:leader="dot" w:pos="8306"/>
        </w:tabs>
        <w:ind w:left="0" w:leftChars="0" w:firstLine="0" w:firstLineChars="0"/>
        <w:jc w:val="center"/>
        <w:rPr>
          <w:rFonts w:hint="eastAsia" w:ascii="方正小标宋_GBK" w:hAnsi="方正小标宋_GBK" w:eastAsia="方正小标宋_GBK" w:cs="方正小标宋_GBK"/>
          <w:b/>
          <w:bCs/>
          <w:sz w:val="44"/>
          <w:szCs w:val="44"/>
          <w:u w:val="none" w:color="auto"/>
          <w:lang w:val="en-US" w:eastAsia="zh-CN"/>
        </w:rPr>
      </w:pPr>
      <w:r>
        <w:rPr>
          <w:rFonts w:hint="eastAsia" w:ascii="方正小标宋_GBK" w:hAnsi="方正小标宋_GBK" w:eastAsia="方正小标宋_GBK" w:cs="方正小标宋_GBK"/>
          <w:b/>
          <w:bCs/>
          <w:sz w:val="44"/>
          <w:szCs w:val="44"/>
          <w:u w:val="none" w:color="auto"/>
          <w:lang w:val="en-US" w:eastAsia="zh-CN"/>
        </w:rPr>
        <w:t>二〇二三年十月</w:t>
      </w:r>
    </w:p>
    <w:p>
      <w:pPr>
        <w:pStyle w:val="14"/>
        <w:tabs>
          <w:tab w:val="right" w:leader="dot" w:pos="8306"/>
        </w:tabs>
        <w:ind w:left="0" w:leftChars="0" w:firstLine="0" w:firstLineChars="0"/>
        <w:jc w:val="center"/>
        <w:rPr>
          <w:rFonts w:hint="default" w:ascii="方正小标宋_GBK" w:hAnsi="方正小标宋_GBK" w:eastAsia="方正小标宋_GBK" w:cs="方正小标宋_GBK"/>
          <w:b/>
          <w:bCs/>
          <w:sz w:val="44"/>
          <w:szCs w:val="44"/>
          <w:u w:val="none" w:color="auto"/>
          <w:lang w:val="en-US" w:eastAsia="zh-CN"/>
        </w:rPr>
      </w:pPr>
      <w:r>
        <w:rPr>
          <w:rFonts w:hint="eastAsia" w:ascii="方正小标宋_GBK" w:hAnsi="方正小标宋_GBK" w:eastAsia="方正小标宋_GBK" w:cs="方正小标宋_GBK"/>
          <w:b/>
          <w:bCs/>
          <w:sz w:val="44"/>
          <w:szCs w:val="44"/>
          <w:u w:val="none" w:color="auto"/>
          <w:lang w:val="en-US" w:eastAsia="zh-CN"/>
        </w:rPr>
        <w:t>目  录</w:t>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
          <w:bCs/>
          <w:sz w:val="44"/>
          <w:szCs w:val="44"/>
          <w:u w:val="none" w:color="auto"/>
          <w:lang w:val="en-US" w:eastAsia="zh-CN"/>
        </w:rPr>
        <w:fldChar w:fldCharType="begin"/>
      </w:r>
      <w:r>
        <w:rPr>
          <w:rFonts w:hint="eastAsia" w:ascii="方正小标宋_GBK" w:hAnsi="方正小标宋_GBK" w:eastAsia="方正小标宋_GBK" w:cs="方正小标宋_GBK"/>
          <w:b/>
          <w:bCs/>
          <w:sz w:val="44"/>
          <w:szCs w:val="44"/>
          <w:u w:val="none" w:color="auto"/>
          <w:lang w:val="en-US" w:eastAsia="zh-CN"/>
        </w:rPr>
        <w:instrText xml:space="preserve">TOC \o "1-2" \h \u </w:instrText>
      </w:r>
      <w:r>
        <w:rPr>
          <w:rFonts w:hint="eastAsia" w:ascii="方正小标宋_GBK" w:hAnsi="方正小标宋_GBK" w:eastAsia="方正小标宋_GBK" w:cs="方正小标宋_GBK"/>
          <w:b/>
          <w:bCs/>
          <w:sz w:val="44"/>
          <w:szCs w:val="44"/>
          <w:u w:val="none" w:color="auto"/>
          <w:lang w:val="en-US" w:eastAsia="zh-CN"/>
        </w:rPr>
        <w:fldChar w:fldCharType="separate"/>
      </w: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_Toc1515 </w:instrText>
      </w:r>
      <w:r>
        <w:rPr>
          <w:rFonts w:hint="eastAsia" w:ascii="方正小标宋_GBK" w:hAnsi="方正小标宋_GBK" w:eastAsia="方正小标宋_GBK" w:cs="方正小标宋_GBK"/>
          <w:bCs/>
          <w:szCs w:val="44"/>
          <w:lang w:val="en-US" w:eastAsia="zh-CN"/>
        </w:rPr>
        <w:fldChar w:fldCharType="separate"/>
      </w:r>
      <w:r>
        <w:rPr>
          <w:rFonts w:hint="eastAsia"/>
        </w:rPr>
        <w:t>一、</w:t>
      </w:r>
      <w:r>
        <w:rPr>
          <w:rFonts w:hint="eastAsia"/>
          <w:lang w:val="en-US" w:eastAsia="zh-CN"/>
        </w:rPr>
        <w:t>基本情</w:t>
      </w:r>
      <w:r>
        <w:rPr>
          <w:rFonts w:hint="eastAsia"/>
        </w:rPr>
        <w:t>况</w:t>
      </w:r>
      <w:r>
        <w:tab/>
      </w:r>
      <w:r>
        <w:fldChar w:fldCharType="begin"/>
      </w:r>
      <w:r>
        <w:instrText xml:space="preserve"> PAGEREF _Toc1515 \h </w:instrText>
      </w:r>
      <w:r>
        <w:fldChar w:fldCharType="separate"/>
      </w:r>
      <w:r>
        <w:t>2</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_Toc1702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（一）项目概况</w:t>
      </w:r>
      <w:r>
        <w:tab/>
      </w:r>
      <w:r>
        <w:fldChar w:fldCharType="begin"/>
      </w:r>
      <w:r>
        <w:instrText xml:space="preserve"> PAGEREF _Toc1702 \h </w:instrText>
      </w:r>
      <w:r>
        <w:fldChar w:fldCharType="separate"/>
      </w:r>
      <w:r>
        <w:t>2</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_Toc13568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（二）项目绩效目标</w:t>
      </w:r>
      <w:r>
        <w:tab/>
      </w:r>
      <w:r>
        <w:fldChar w:fldCharType="begin"/>
      </w:r>
      <w:r>
        <w:instrText xml:space="preserve"> PAGEREF _Toc13568 \h </w:instrText>
      </w:r>
      <w:r>
        <w:fldChar w:fldCharType="separate"/>
      </w:r>
      <w:r>
        <w:t>6</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_Toc13825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二、绩效评价工作情况</w:t>
      </w:r>
      <w:r>
        <w:tab/>
      </w:r>
      <w:r>
        <w:fldChar w:fldCharType="begin"/>
      </w:r>
      <w:r>
        <w:instrText xml:space="preserve"> PAGEREF _Toc13825 \h </w:instrText>
      </w:r>
      <w:r>
        <w:fldChar w:fldCharType="separate"/>
      </w:r>
      <w:r>
        <w:t>6</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_Toc30150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三、项目主要绩效及评价结论</w:t>
      </w:r>
      <w:r>
        <w:tab/>
      </w:r>
      <w:r>
        <w:fldChar w:fldCharType="begin"/>
      </w:r>
      <w:r>
        <w:instrText xml:space="preserve"> PAGEREF _Toc30150 \h </w:instrText>
      </w:r>
      <w:r>
        <w:fldChar w:fldCharType="separate"/>
      </w:r>
      <w:r>
        <w:t>7</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_Toc31050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（一）项目主要产出</w:t>
      </w:r>
      <w:r>
        <w:tab/>
      </w:r>
      <w:r>
        <w:fldChar w:fldCharType="begin"/>
      </w:r>
      <w:r>
        <w:instrText xml:space="preserve"> PAGEREF _Toc31050 \h </w:instrText>
      </w:r>
      <w:r>
        <w:fldChar w:fldCharType="separate"/>
      </w:r>
      <w:r>
        <w:t>7</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_Toc17584 </w:instrText>
      </w:r>
      <w:r>
        <w:rPr>
          <w:rFonts w:hint="eastAsia" w:ascii="方正小标宋_GBK" w:hAnsi="方正小标宋_GBK" w:eastAsia="方正小标宋_GBK" w:cs="方正小标宋_GBK"/>
          <w:bCs/>
          <w:szCs w:val="44"/>
          <w:lang w:val="en-US" w:eastAsia="zh-CN"/>
        </w:rPr>
        <w:fldChar w:fldCharType="separate"/>
      </w:r>
      <w:r>
        <w:rPr>
          <w:rFonts w:hint="eastAsia"/>
          <w:lang w:eastAsia="zh-CN"/>
        </w:rPr>
        <w:t>（</w:t>
      </w:r>
      <w:r>
        <w:rPr>
          <w:rFonts w:hint="eastAsia"/>
          <w:lang w:val="en-US" w:eastAsia="zh-CN"/>
        </w:rPr>
        <w:t>二</w:t>
      </w:r>
      <w:r>
        <w:rPr>
          <w:rFonts w:hint="eastAsia"/>
          <w:lang w:eastAsia="zh-CN"/>
        </w:rPr>
        <w:t>）</w:t>
      </w:r>
      <w:r>
        <w:t>项目实际产生的效益</w:t>
      </w:r>
      <w:r>
        <w:tab/>
      </w:r>
      <w:r>
        <w:fldChar w:fldCharType="begin"/>
      </w:r>
      <w:r>
        <w:instrText xml:space="preserve"> PAGEREF _Toc17584 \h </w:instrText>
      </w:r>
      <w:r>
        <w:fldChar w:fldCharType="separate"/>
      </w:r>
      <w:r>
        <w:t>8</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_Toc17756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（三）项目满意度</w:t>
      </w:r>
      <w:r>
        <w:tab/>
      </w:r>
      <w:r>
        <w:fldChar w:fldCharType="begin"/>
      </w:r>
      <w:r>
        <w:instrText xml:space="preserve"> PAGEREF _Toc17756 \h </w:instrText>
      </w:r>
      <w:r>
        <w:fldChar w:fldCharType="separate"/>
      </w:r>
      <w:r>
        <w:t>8</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_Toc11444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（四）评价结论</w:t>
      </w:r>
      <w:r>
        <w:tab/>
      </w:r>
      <w:r>
        <w:fldChar w:fldCharType="begin"/>
      </w:r>
      <w:r>
        <w:instrText xml:space="preserve"> PAGEREF _Toc11444 \h </w:instrText>
      </w:r>
      <w:r>
        <w:fldChar w:fldCharType="separate"/>
      </w:r>
      <w:r>
        <w:t>9</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_Toc17605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四、绩效评价指标分析</w:t>
      </w:r>
      <w:r>
        <w:tab/>
      </w:r>
      <w:r>
        <w:fldChar w:fldCharType="begin"/>
      </w:r>
      <w:r>
        <w:instrText xml:space="preserve"> PAGEREF _Toc17605 \h </w:instrText>
      </w:r>
      <w:r>
        <w:fldChar w:fldCharType="separate"/>
      </w:r>
      <w:r>
        <w:t>9</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_Toc13237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五、存在的主要问题</w:t>
      </w:r>
      <w:r>
        <w:tab/>
      </w:r>
      <w:r>
        <w:fldChar w:fldCharType="begin"/>
      </w:r>
      <w:r>
        <w:instrText xml:space="preserve"> PAGEREF _Toc13237 \h </w:instrText>
      </w:r>
      <w:r>
        <w:fldChar w:fldCharType="separate"/>
      </w:r>
      <w:r>
        <w:t>12</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_Toc7469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（一）项目绩效管理方面的问题</w:t>
      </w:r>
      <w:r>
        <w:tab/>
      </w:r>
      <w:r>
        <w:fldChar w:fldCharType="begin"/>
      </w:r>
      <w:r>
        <w:instrText xml:space="preserve"> PAGEREF _Toc7469 \h </w:instrText>
      </w:r>
      <w:r>
        <w:fldChar w:fldCharType="separate"/>
      </w:r>
      <w:r>
        <w:t>12</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_Toc27361 </w:instrText>
      </w:r>
      <w:r>
        <w:rPr>
          <w:rFonts w:hint="eastAsia" w:ascii="方正小标宋_GBK" w:hAnsi="方正小标宋_GBK" w:eastAsia="方正小标宋_GBK" w:cs="方正小标宋_GBK"/>
          <w:bCs/>
          <w:szCs w:val="44"/>
          <w:lang w:val="en-US" w:eastAsia="zh-CN"/>
        </w:rPr>
        <w:fldChar w:fldCharType="separate"/>
      </w:r>
      <w:r>
        <w:rPr>
          <w:rFonts w:hint="eastAsia"/>
          <w:lang w:val="en-US" w:eastAsia="zh-CN"/>
        </w:rPr>
        <w:t>（二）</w:t>
      </w:r>
      <w:r>
        <w:rPr>
          <w:rFonts w:hint="default"/>
          <w:lang w:val="en-US" w:eastAsia="zh-CN"/>
        </w:rPr>
        <w:t>资金管理方面的问题</w:t>
      </w:r>
      <w:r>
        <w:tab/>
      </w:r>
      <w:r>
        <w:fldChar w:fldCharType="begin"/>
      </w:r>
      <w:r>
        <w:instrText xml:space="preserve"> PAGEREF _Toc27361 \h </w:instrText>
      </w:r>
      <w:r>
        <w:fldChar w:fldCharType="separate"/>
      </w:r>
      <w:r>
        <w:t>12</w:t>
      </w:r>
      <w:r>
        <w:fldChar w:fldCharType="end"/>
      </w:r>
      <w:r>
        <w:rPr>
          <w:rFonts w:hint="eastAsia" w:ascii="方正小标宋_GBK" w:hAnsi="方正小标宋_GBK" w:eastAsia="方正小标宋_GBK" w:cs="方正小标宋_GBK"/>
          <w:bCs/>
          <w:szCs w:val="44"/>
          <w:u w:val="none" w:color="auto"/>
          <w:lang w:val="en-US" w:eastAsia="zh-CN"/>
        </w:rPr>
        <w:fldChar w:fldCharType="end"/>
      </w:r>
      <w:bookmarkStart w:id="53" w:name="_GoBack"/>
      <w:bookmarkEnd w:id="53"/>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_Toc7325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（三）项目实施管理方面的问题</w:t>
      </w:r>
      <w:r>
        <w:tab/>
      </w:r>
      <w:r>
        <w:fldChar w:fldCharType="begin"/>
      </w:r>
      <w:r>
        <w:instrText xml:space="preserve"> PAGEREF _Toc7325 \h </w:instrText>
      </w:r>
      <w:r>
        <w:fldChar w:fldCharType="separate"/>
      </w:r>
      <w:r>
        <w:t>13</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_Toc19275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六、相关建议</w:t>
      </w:r>
      <w:r>
        <w:tab/>
      </w:r>
      <w:r>
        <w:fldChar w:fldCharType="begin"/>
      </w:r>
      <w:r>
        <w:instrText xml:space="preserve"> PAGEREF _Toc19275 \h </w:instrText>
      </w:r>
      <w:r>
        <w:fldChar w:fldCharType="separate"/>
      </w:r>
      <w:r>
        <w:t>13</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_Toc30287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（一）项目绩效管理方面</w:t>
      </w:r>
      <w:r>
        <w:tab/>
      </w:r>
      <w:r>
        <w:fldChar w:fldCharType="begin"/>
      </w:r>
      <w:r>
        <w:instrText xml:space="preserve"> PAGEREF _Toc30287 \h </w:instrText>
      </w:r>
      <w:r>
        <w:fldChar w:fldCharType="separate"/>
      </w:r>
      <w:r>
        <w:t>13</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_Toc2058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（二）资金管理方面</w:t>
      </w:r>
      <w:r>
        <w:tab/>
      </w:r>
      <w:r>
        <w:fldChar w:fldCharType="begin"/>
      </w:r>
      <w:r>
        <w:instrText xml:space="preserve"> PAGEREF _Toc2058 \h </w:instrText>
      </w:r>
      <w:r>
        <w:fldChar w:fldCharType="separate"/>
      </w:r>
      <w:r>
        <w:t>13</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_Toc12978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（三）项目实施管理方面</w:t>
      </w:r>
      <w:r>
        <w:tab/>
      </w:r>
      <w:r>
        <w:fldChar w:fldCharType="begin"/>
      </w:r>
      <w:r>
        <w:instrText xml:space="preserve"> PAGEREF _Toc12978 \h </w:instrText>
      </w:r>
      <w:r>
        <w:fldChar w:fldCharType="separate"/>
      </w:r>
      <w:r>
        <w:t>14</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方正小标宋_GBK" w:hAnsi="方正小标宋_GBK" w:eastAsia="方正小标宋_GBK" w:cs="方正小标宋_GBK"/>
          <w:bCs/>
          <w:szCs w:val="44"/>
          <w:u w:val="none" w:color="auto"/>
          <w:lang w:val="en-US" w:eastAsia="zh-CN"/>
        </w:rPr>
        <w:fldChar w:fldCharType="begin"/>
      </w:r>
      <w:r>
        <w:rPr>
          <w:rFonts w:hint="eastAsia" w:ascii="方正小标宋_GBK" w:hAnsi="方正小标宋_GBK" w:eastAsia="方正小标宋_GBK" w:cs="方正小标宋_GBK"/>
          <w:bCs/>
          <w:szCs w:val="44"/>
          <w:lang w:val="en-US" w:eastAsia="zh-CN"/>
        </w:rPr>
        <w:instrText xml:space="preserve"> HYPERLINK \l _Toc2725 </w:instrText>
      </w:r>
      <w:r>
        <w:rPr>
          <w:rFonts w:hint="eastAsia" w:ascii="方正小标宋_GBK" w:hAnsi="方正小标宋_GBK" w:eastAsia="方正小标宋_GBK" w:cs="方正小标宋_GBK"/>
          <w:bCs/>
          <w:szCs w:val="44"/>
          <w:lang w:val="en-US" w:eastAsia="zh-CN"/>
        </w:rPr>
        <w:fldChar w:fldCharType="separate"/>
      </w:r>
      <w:r>
        <w:rPr>
          <w:rFonts w:hint="default"/>
          <w:lang w:val="en-US" w:eastAsia="zh-CN"/>
        </w:rPr>
        <w:t>七、报告使用情况说明</w:t>
      </w:r>
      <w:r>
        <w:tab/>
      </w:r>
      <w:r>
        <w:fldChar w:fldCharType="begin"/>
      </w:r>
      <w:r>
        <w:instrText xml:space="preserve"> PAGEREF _Toc2725 \h </w:instrText>
      </w:r>
      <w:r>
        <w:fldChar w:fldCharType="separate"/>
      </w:r>
      <w:r>
        <w:t>14</w:t>
      </w:r>
      <w:r>
        <w:fldChar w:fldCharType="end"/>
      </w:r>
      <w:r>
        <w:rPr>
          <w:rFonts w:hint="eastAsia" w:ascii="方正小标宋_GBK" w:hAnsi="方正小标宋_GBK" w:eastAsia="方正小标宋_GBK" w:cs="方正小标宋_GBK"/>
          <w:bCs/>
          <w:szCs w:val="44"/>
          <w:u w:val="none" w:color="auto"/>
          <w:lang w:val="en-US" w:eastAsia="zh-CN"/>
        </w:rPr>
        <w:fldChar w:fldCharType="end"/>
      </w:r>
    </w:p>
    <w:p>
      <w:pPr>
        <w:pStyle w:val="10"/>
        <w:ind w:left="0" w:leftChars="0" w:firstLine="0" w:firstLineChars="0"/>
        <w:rPr>
          <w:rFonts w:hint="eastAsia" w:ascii="方正小标宋_GBK" w:hAnsi="方正小标宋_GBK" w:eastAsia="方正小标宋_GBK" w:cs="方正小标宋_GBK"/>
          <w:b/>
          <w:bCs/>
          <w:sz w:val="44"/>
          <w:szCs w:val="44"/>
          <w:u w:val="none" w:color="auto"/>
          <w:lang w:val="en-US" w:eastAsia="zh-CN"/>
        </w:rPr>
        <w:sectPr>
          <w:headerReference r:id="rId6" w:type="first"/>
          <w:head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方正小标宋_GBK" w:hAnsi="方正小标宋_GBK" w:eastAsia="方正小标宋_GBK" w:cs="方正小标宋_GBK"/>
          <w:bCs/>
          <w:szCs w:val="44"/>
          <w:u w:val="none" w:color="auto"/>
          <w:lang w:val="en-US" w:eastAsia="zh-CN"/>
        </w:rPr>
        <w:fldChar w:fldCharType="end"/>
      </w:r>
    </w:p>
    <w:p>
      <w:pPr>
        <w:pStyle w:val="10"/>
        <w:ind w:left="0" w:leftChars="0" w:firstLine="0" w:firstLineChars="0"/>
        <w:rPr>
          <w:rFonts w:hint="eastAsia" w:ascii="方正小标宋_GBK" w:hAnsi="方正小标宋_GBK" w:eastAsia="方正小标宋_GBK" w:cs="方正小标宋_GBK"/>
          <w:b/>
          <w:bCs/>
          <w:sz w:val="44"/>
          <w:szCs w:val="44"/>
          <w:u w:val="none" w:color="auto"/>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-451485</wp:posOffset>
                </wp:positionH>
                <wp:positionV relativeFrom="paragraph">
                  <wp:posOffset>-185420</wp:posOffset>
                </wp:positionV>
                <wp:extent cx="6372860" cy="1392555"/>
                <wp:effectExtent l="0" t="0" r="0" b="0"/>
                <wp:wrapNone/>
                <wp:docPr id="1" name="组合 1"/>
                <wp:cNvGraphicFramePr/>
                <a:graphic xmlns:a="http://schemas.openxmlformats.org/drawingml/2006/main">
                  <a:graphicData uri="http://schemas.microsoft.com/office/word/2010/wordprocessingGroup">
                    <wpg:wgp>
                      <wpg:cNvGrpSpPr/>
                      <wpg:grpSpPr>
                        <a:xfrm>
                          <a:off x="0" y="0"/>
                          <a:ext cx="6372860" cy="1392555"/>
                          <a:chOff x="1452" y="1627"/>
                          <a:chExt cx="10036" cy="2193"/>
                        </a:xfrm>
                      </wpg:grpSpPr>
                      <wps:wsp>
                        <wps:cNvPr id="6" name="文本框 5"/>
                        <wps:cNvSpPr txBox="1"/>
                        <wps:spPr>
                          <a:xfrm>
                            <a:off x="1452" y="1627"/>
                            <a:ext cx="10036" cy="2193"/>
                          </a:xfrm>
                          <a:prstGeom prst="rect">
                            <a:avLst/>
                          </a:prstGeom>
                          <a:noFill/>
                          <a:ln w="6350">
                            <a:noFill/>
                          </a:ln>
                        </wps:spPr>
                        <wps:txbx>
                          <w:txbxContent>
                            <w:p>
                              <w:pPr>
                                <w:ind w:firstLine="0" w:firstLineChars="0"/>
                                <w:rPr>
                                  <w:rFonts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987563410"/>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987563410"/>
                                </w:rPr>
                                <w:t>)</w:t>
                              </w:r>
                            </w:p>
                          </w:txbxContent>
                        </wps:txbx>
                        <wps:bodyPr lIns="36000" tIns="36000" rIns="36000" bIns="36000" upright="1"/>
                      </wps:wsp>
                      <wps:wsp>
                        <wps:cNvPr id="7" name="文本框 6"/>
                        <wps:cNvSpPr txBox="1"/>
                        <wps:spPr>
                          <a:xfrm>
                            <a:off x="1704" y="3046"/>
                            <a:ext cx="9253" cy="662"/>
                          </a:xfrm>
                          <a:prstGeom prst="rect">
                            <a:avLst/>
                          </a:prstGeom>
                          <a:noFill/>
                          <a:ln w="6350">
                            <a:noFill/>
                          </a:ln>
                        </wps:spPr>
                        <wps:txbx>
                          <w:txbxContent>
                            <w:p>
                              <w:pPr>
                                <w:pStyle w:val="16"/>
                                <w:spacing w:before="0" w:beforeAutospacing="0" w:after="0" w:afterAutospacing="0" w:line="500" w:lineRule="exact"/>
                                <w:ind w:firstLine="0" w:firstLineChars="0"/>
                                <w:jc w:val="both"/>
                                <w:rPr>
                                  <w:rFonts w:ascii="Arial" w:hAnsi="Arial" w:cs="Arial"/>
                                  <w:color w:val="FF0000"/>
                                  <w:w w:val="150"/>
                                  <w:sz w:val="36"/>
                                  <w:szCs w:val="36"/>
                                </w:rPr>
                              </w:pPr>
                              <w:r>
                                <w:rPr>
                                  <w:rFonts w:ascii="Arial" w:hAnsi="Arial" w:cs="Arial"/>
                                  <w:color w:val="FF0000"/>
                                  <w:spacing w:val="1"/>
                                  <w:w w:val="98"/>
                                  <w:kern w:val="0"/>
                                  <w:sz w:val="36"/>
                                  <w:szCs w:val="36"/>
                                  <w:fitText w:val="8800" w:id="1202611624"/>
                                </w:rPr>
                                <w:t>Hunan Caizheng Accounting Firm (General Partnership</w:t>
                              </w:r>
                              <w:r>
                                <w:rPr>
                                  <w:rFonts w:ascii="Arial" w:hAnsi="Arial" w:cs="Arial"/>
                                  <w:color w:val="FF0000"/>
                                  <w:spacing w:val="-15"/>
                                  <w:w w:val="98"/>
                                  <w:kern w:val="0"/>
                                  <w:sz w:val="36"/>
                                  <w:szCs w:val="36"/>
                                  <w:fitText w:val="8800" w:id="1202611624"/>
                                </w:rPr>
                                <w:t>)</w:t>
                              </w:r>
                            </w:p>
                            <w:p>
                              <w:pPr>
                                <w:jc w:val="center"/>
                                <w:rPr>
                                  <w:color w:val="366091"/>
                                  <w:w w:val="150"/>
                                  <w:sz w:val="40"/>
                                  <w:szCs w:val="40"/>
                                </w:rPr>
                              </w:pPr>
                            </w:p>
                          </w:txbxContent>
                        </wps:txbx>
                        <wps:bodyPr lIns="72000" tIns="36000" rIns="72000" bIns="36000" upright="1"/>
                      </wps:wsp>
                      <wps:wsp>
                        <wps:cNvPr id="10"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lIns="36000" tIns="36000" rIns="36000" bIns="36000" anchor="ctr" anchorCtr="0" upright="1"/>
                      </wps:wsp>
                    </wpg:wgp>
                  </a:graphicData>
                </a:graphic>
              </wp:anchor>
            </w:drawing>
          </mc:Choice>
          <mc:Fallback>
            <w:pict>
              <v:group id="_x0000_s1026" o:spid="_x0000_s1026" o:spt="203" style="position:absolute;left:0pt;margin-left:-35.55pt;margin-top:-14.6pt;height:109.65pt;width:501.8pt;z-index:251659264;mso-width-relative:page;mso-height-relative:page;" coordorigin="1452,1627" coordsize="10036,2193" o:gfxdata="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c3Fc/9oAAAALAQAADwAAAAAAAAABACAAAAAiAAAAZHJzL2Rvd25yZXYueG1s&#10;UEsBAhQAFAAAAAgAh07iQKct+0YTAwAA/AgAAA4AAAAAAAAAAQAgAAAAKQEAAGRycy9lMm9Eb2Mu&#10;eG1sUEsFBgAAAAAGAAYAWQEAAK4GAAAAAA==&#10;">
                <o:lock v:ext="edit" aspectratio="f"/>
                <v:shape id="文本框 5" o:spid="_x0000_s1026" o:spt="202" type="#_x0000_t202" style="position:absolute;left:1452;top:1627;height:2193;width:10036;" filled="f" stroked="f" coordsize="21600,21600" o:gfxdata="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9ffa8AAAA&#10;2gAAAA8AAAAAAAAAAQAgAAAAIgAAAGRycy9kb3ducmV2LnhtbFBLAQIUABQAAAAIAIdO4kAzLwWe&#10;OwAAADkAAAAQAAAAAAAAAAEAIAAAAAsBAABkcnMvc2hhcGV4bWwueG1sUEsFBgAAAAAGAAYAWwEA&#10;ALUDAAAAAA==&#10;">
                  <v:fill on="f" focussize="0,0"/>
                  <v:stroke on="f" weight="0.5pt"/>
                  <v:imagedata o:title=""/>
                  <o:lock v:ext="edit" aspectratio="f"/>
                  <v:textbox inset="1mm,1mm,1mm,1mm">
                    <w:txbxContent>
                      <w:p>
                        <w:pPr>
                          <w:ind w:firstLine="0" w:firstLineChars="0"/>
                          <w:rPr>
                            <w:rFonts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987563410"/>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987563410"/>
                          </w:rPr>
                          <w:t>)</w:t>
                        </w:r>
                      </w:p>
                    </w:txbxContent>
                  </v:textbox>
                </v:shape>
                <v:shape id="文本框 6" o:spid="_x0000_s1026" o:spt="202" type="#_x0000_t202" style="position:absolute;left:1704;top:3046;height:662;width:9253;" filled="f" stroked="f" coordsize="21600,21600" o:gfxdata="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7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mm,1mm,2mm,1mm">
                    <w:txbxContent>
                      <w:p>
                        <w:pPr>
                          <w:pStyle w:val="16"/>
                          <w:spacing w:before="0" w:beforeAutospacing="0" w:after="0" w:afterAutospacing="0" w:line="500" w:lineRule="exact"/>
                          <w:ind w:firstLine="0" w:firstLineChars="0"/>
                          <w:jc w:val="both"/>
                          <w:rPr>
                            <w:rFonts w:ascii="Arial" w:hAnsi="Arial" w:cs="Arial"/>
                            <w:color w:val="FF0000"/>
                            <w:w w:val="150"/>
                            <w:sz w:val="36"/>
                            <w:szCs w:val="36"/>
                          </w:rPr>
                        </w:pPr>
                        <w:r>
                          <w:rPr>
                            <w:rFonts w:ascii="Arial" w:hAnsi="Arial" w:cs="Arial"/>
                            <w:color w:val="FF0000"/>
                            <w:spacing w:val="1"/>
                            <w:w w:val="98"/>
                            <w:kern w:val="0"/>
                            <w:sz w:val="36"/>
                            <w:szCs w:val="36"/>
                            <w:fitText w:val="8800" w:id="1202611624"/>
                          </w:rPr>
                          <w:t>Hunan Caizheng Accounting Firm (General Partnership</w:t>
                        </w:r>
                        <w:r>
                          <w:rPr>
                            <w:rFonts w:ascii="Arial" w:hAnsi="Arial" w:cs="Arial"/>
                            <w:color w:val="FF0000"/>
                            <w:spacing w:val="-15"/>
                            <w:w w:val="98"/>
                            <w:kern w:val="0"/>
                            <w:sz w:val="36"/>
                            <w:szCs w:val="36"/>
                            <w:fitText w:val="8800" w:id="1202611624"/>
                          </w:rPr>
                          <w:t>)</w:t>
                        </w:r>
                      </w:p>
                      <w:p>
                        <w:pPr>
                          <w:jc w:val="center"/>
                          <w:rPr>
                            <w:color w:val="366091"/>
                            <w:w w:val="150"/>
                            <w:sz w:val="40"/>
                            <w:szCs w:val="40"/>
                          </w:rPr>
                        </w:pPr>
                      </w:p>
                    </w:txbxContent>
                  </v:textbox>
                </v:shape>
                <v:rect id="矩形 7" o:spid="_x0000_s1026" o:spt="1" style="position:absolute;left:1632;top:3709;height:57;width:9360;v-text-anchor:middle;" fillcolor="#FF0000" filled="t" stroked="t" coordsize="21600,21600" o:gfxdata="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iUr68AAAA&#10;2wAAAA8AAAAAAAAAAQAgAAAAIgAAAGRycy9kb3ducmV2LnhtbFBLAQIUABQAAAAIAIdO4kAzLwWe&#10;OwAAADkAAAAQAAAAAAAAAAEAIAAAAAsBAABkcnMvc2hhcGV4bWwueG1sUEsFBgAAAAAGAAYAWwEA&#10;ALUDAAAAAA==&#10;">
                  <v:fill on="t" focussize="0,0"/>
                  <v:stroke weight="2pt" color="#FF0000" joinstyle="round"/>
                  <v:imagedata o:title=""/>
                  <o:lock v:ext="edit" aspectratio="f"/>
                  <v:textbox inset="1mm,1mm,1mm,1mm"/>
                </v:rect>
              </v:group>
            </w:pict>
          </mc:Fallback>
        </mc:AlternateContent>
      </w:r>
    </w:p>
    <w:p>
      <w:pPr>
        <w:pStyle w:val="11"/>
        <w:rPr>
          <w:rFonts w:hint="eastAsia" w:ascii="方正小标宋_GBK" w:hAnsi="方正小标宋_GBK" w:eastAsia="方正小标宋_GBK" w:cs="方正小标宋_GBK"/>
          <w:b/>
          <w:bCs/>
          <w:sz w:val="44"/>
          <w:szCs w:val="44"/>
          <w:u w:val="none" w:color="auto"/>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lang w:val="en-US" w:eastAsia="zh-CN"/>
        </w:rPr>
        <w:t>湘财正</w:t>
      </w:r>
      <w:r>
        <w:rPr>
          <w:rFonts w:hint="eastAsia" w:ascii="仿宋" w:hAnsi="仿宋" w:cs="仿宋"/>
          <w:b/>
          <w:bCs w:val="0"/>
          <w:sz w:val="30"/>
          <w:szCs w:val="30"/>
          <w:highlight w:val="none"/>
          <w:lang w:val="en-US" w:eastAsia="zh-CN"/>
        </w:rPr>
        <w:t>咨</w:t>
      </w:r>
      <w:r>
        <w:rPr>
          <w:rFonts w:hint="eastAsia" w:ascii="仿宋" w:hAnsi="仿宋" w:eastAsia="仿宋" w:cs="仿宋"/>
          <w:b/>
          <w:bCs w:val="0"/>
          <w:sz w:val="30"/>
          <w:szCs w:val="30"/>
          <w:highlight w:val="none"/>
        </w:rPr>
        <w:t>字[20</w:t>
      </w:r>
      <w:r>
        <w:rPr>
          <w:rFonts w:hint="eastAsia" w:ascii="仿宋" w:hAnsi="仿宋" w:eastAsia="仿宋" w:cs="仿宋"/>
          <w:b/>
          <w:bCs w:val="0"/>
          <w:sz w:val="30"/>
          <w:szCs w:val="30"/>
          <w:highlight w:val="none"/>
          <w:lang w:val="en-US" w:eastAsia="zh-CN"/>
        </w:rPr>
        <w:t>2</w:t>
      </w:r>
      <w:r>
        <w:rPr>
          <w:rFonts w:hint="eastAsia" w:ascii="仿宋" w:hAnsi="仿宋" w:cs="仿宋"/>
          <w:b/>
          <w:bCs w:val="0"/>
          <w:sz w:val="30"/>
          <w:szCs w:val="30"/>
          <w:highlight w:val="none"/>
          <w:lang w:val="en-US" w:eastAsia="zh-CN"/>
        </w:rPr>
        <w:t>3</w:t>
      </w:r>
      <w:r>
        <w:rPr>
          <w:rFonts w:hint="eastAsia" w:ascii="仿宋" w:hAnsi="仿宋" w:eastAsia="仿宋" w:cs="仿宋"/>
          <w:b/>
          <w:bCs w:val="0"/>
          <w:sz w:val="30"/>
          <w:szCs w:val="30"/>
          <w:highlight w:val="none"/>
        </w:rPr>
        <w:t>]第</w:t>
      </w:r>
      <w:r>
        <w:rPr>
          <w:rFonts w:hint="eastAsia" w:ascii="仿宋" w:hAnsi="仿宋" w:cs="仿宋"/>
          <w:b/>
          <w:bCs w:val="0"/>
          <w:sz w:val="30"/>
          <w:szCs w:val="30"/>
          <w:highlight w:val="none"/>
          <w:lang w:val="en-US" w:eastAsia="zh-CN"/>
        </w:rPr>
        <w:t>14</w:t>
      </w:r>
      <w:r>
        <w:rPr>
          <w:rFonts w:hint="eastAsia" w:ascii="仿宋" w:hAnsi="仿宋" w:eastAsia="仿宋" w:cs="仿宋"/>
          <w:b/>
          <w:bCs w:val="0"/>
          <w:sz w:val="30"/>
          <w:szCs w:val="30"/>
          <w:highlight w:val="none"/>
        </w:rPr>
        <w:t>号</w:t>
      </w:r>
    </w:p>
    <w:p>
      <w:pPr>
        <w:pStyle w:val="10"/>
        <w:rPr>
          <w:rFonts w:hint="eastAsia"/>
        </w:rPr>
      </w:pPr>
    </w:p>
    <w:p>
      <w:pPr>
        <w:keepNext w:val="0"/>
        <w:keepLines w:val="0"/>
        <w:pageBreakBefore w:val="0"/>
        <w:widowControl/>
        <w:kinsoku/>
        <w:wordWrap/>
        <w:overflowPunct/>
        <w:topLinePunct w:val="0"/>
        <w:autoSpaceDE/>
        <w:autoSpaceDN/>
        <w:bidi w:val="0"/>
        <w:adjustRightInd/>
        <w:snapToGrid/>
        <w:spacing w:line="700" w:lineRule="exact"/>
        <w:ind w:left="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邵阳市北塔区2022年环卫市场化</w:t>
      </w:r>
    </w:p>
    <w:p>
      <w:pPr>
        <w:keepNext w:val="0"/>
        <w:keepLines w:val="0"/>
        <w:pageBreakBefore w:val="0"/>
        <w:widowControl/>
        <w:kinsoku/>
        <w:wordWrap/>
        <w:overflowPunct/>
        <w:topLinePunct w:val="0"/>
        <w:autoSpaceDE/>
        <w:autoSpaceDN/>
        <w:bidi w:val="0"/>
        <w:adjustRightInd/>
        <w:snapToGrid/>
        <w:spacing w:line="700" w:lineRule="exact"/>
        <w:ind w:left="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项目绩效评价报告</w:t>
      </w: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邵阳市北塔区财政局：</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color w:val="auto"/>
          <w:spacing w:val="-2"/>
          <w:sz w:val="30"/>
          <w:szCs w:val="30"/>
          <w:highlight w:val="none"/>
        </w:rPr>
        <w:t>为进一步规范和加强专项资金使用管理，切实提高财政资金使用效益，根据《中共中央 国务院关于全面实施预算绩效管理的意见》（中发〔2018〕34号）、《中共湖南省委办公厅 湖南省人民政府办公厅关于全面实施预算绩效管理的实施意见》（湘办发〔2019〕10号）、《湖南省财政厅关于印发&lt;湖南省预算支出绩效评价管理办法&gt;的通知》（湘财绩〔2020〕7号）和《北塔区人大常委会2023年预算绩效监督“四评”实施方案的通知》（北常办发〔2023〕11号）等文件精神及相关工作要求，受北塔区财政局委托，湖南财正会计师事务所（以下简称“我所”）对北塔区2022年度环卫市场化项目开展了绩效评价。现将有关情况报告如下：</w:t>
      </w:r>
    </w:p>
    <w:p>
      <w:pPr>
        <w:pStyle w:val="3"/>
        <w:numPr>
          <w:ilvl w:val="0"/>
          <w:numId w:val="1"/>
        </w:numPr>
        <w:bidi w:val="0"/>
        <w:ind w:left="0" w:leftChars="0" w:firstLine="643" w:firstLineChars="200"/>
        <w:rPr>
          <w:rFonts w:hint="eastAsia"/>
        </w:rPr>
      </w:pPr>
      <w:bookmarkStart w:id="0" w:name="_Toc23657"/>
      <w:bookmarkStart w:id="1" w:name="_Toc28216"/>
      <w:bookmarkStart w:id="2" w:name="_Toc6718"/>
      <w:bookmarkStart w:id="3" w:name="_Toc1515"/>
      <w:bookmarkStart w:id="4" w:name="_Toc336"/>
      <w:r>
        <w:rPr>
          <w:rFonts w:hint="eastAsia"/>
          <w:lang w:val="en-US" w:eastAsia="zh-CN"/>
        </w:rPr>
        <w:t>基本情</w:t>
      </w:r>
      <w:r>
        <w:rPr>
          <w:rFonts w:hint="eastAsia"/>
        </w:rPr>
        <w:t>况</w:t>
      </w:r>
      <w:bookmarkEnd w:id="0"/>
      <w:bookmarkEnd w:id="1"/>
      <w:bookmarkEnd w:id="2"/>
      <w:bookmarkEnd w:id="3"/>
      <w:bookmarkEnd w:id="4"/>
    </w:p>
    <w:p>
      <w:pPr>
        <w:pStyle w:val="4"/>
        <w:numPr>
          <w:ilvl w:val="0"/>
          <w:numId w:val="2"/>
        </w:numPr>
        <w:bidi w:val="0"/>
        <w:rPr>
          <w:rFonts w:hint="default"/>
          <w:lang w:val="en-US" w:eastAsia="zh-CN"/>
        </w:rPr>
      </w:pPr>
      <w:bookmarkStart w:id="5" w:name="_Toc12016"/>
      <w:bookmarkStart w:id="6" w:name="_Toc8262"/>
      <w:bookmarkStart w:id="7" w:name="_Toc20131"/>
      <w:bookmarkStart w:id="8" w:name="_Toc1702"/>
      <w:bookmarkStart w:id="9" w:name="_Toc18947"/>
      <w:r>
        <w:rPr>
          <w:rFonts w:hint="eastAsia"/>
          <w:lang w:val="en-US" w:eastAsia="zh-CN"/>
        </w:rPr>
        <w:t>项目</w:t>
      </w:r>
      <w:bookmarkEnd w:id="5"/>
      <w:bookmarkEnd w:id="6"/>
      <w:r>
        <w:rPr>
          <w:rFonts w:hint="eastAsia"/>
          <w:lang w:val="en-US" w:eastAsia="zh-CN"/>
        </w:rPr>
        <w:t>概况</w:t>
      </w:r>
      <w:bookmarkEnd w:id="7"/>
      <w:bookmarkEnd w:id="8"/>
    </w:p>
    <w:p>
      <w:pPr>
        <w:pStyle w:val="5"/>
        <w:numPr>
          <w:ilvl w:val="0"/>
          <w:numId w:val="3"/>
        </w:numPr>
        <w:bidi w:val="0"/>
        <w:rPr>
          <w:rFonts w:hint="default"/>
          <w:lang w:val="en-US" w:eastAsia="zh-CN"/>
        </w:rPr>
      </w:pPr>
      <w:r>
        <w:rPr>
          <w:rFonts w:hint="eastAsia"/>
          <w:lang w:val="en-US" w:eastAsia="zh-CN"/>
        </w:rPr>
        <w:t>项目背景</w:t>
      </w:r>
    </w:p>
    <w:p>
      <w:pPr>
        <w:rPr>
          <w:rFonts w:hint="default" w:ascii="Times New Roman" w:hAnsi="Times New Roman" w:cs="Times New Roman"/>
          <w:lang w:val="en-US" w:eastAsia="zh-CN"/>
        </w:rPr>
      </w:pPr>
      <w:r>
        <w:rPr>
          <w:rFonts w:hint="default" w:ascii="Times New Roman" w:hAnsi="Times New Roman" w:cs="Times New Roman"/>
          <w:lang w:val="en-US" w:eastAsia="zh-CN"/>
        </w:rPr>
        <w:t>为确保市容环境卫生的干净整洁、提升辖区市容环境管理水平，提升北塔区居民居住生活环境面貌，通过政府购买服务方式，引入第三方服务机构，对辖区内街道、垃圾站、公厕、绿化带等进行清扫保洁。环卫市场化项目建设单位为邵阳市北塔区城市管理和综合执法局</w:t>
      </w:r>
      <w:r>
        <w:rPr>
          <w:rFonts w:hint="default" w:cs="Times New Roman"/>
          <w:lang w:eastAsia="zh-CN"/>
        </w:rPr>
        <w:t>（</w:t>
      </w:r>
      <w:r>
        <w:rPr>
          <w:rFonts w:hint="eastAsia" w:cs="Times New Roman"/>
          <w:lang w:val="en-US" w:eastAsia="zh-Hans"/>
        </w:rPr>
        <w:t>以下简称“被评价单位”</w:t>
      </w:r>
      <w:r>
        <w:rPr>
          <w:rFonts w:hint="default" w:cs="Times New Roman"/>
          <w:lang w:eastAsia="zh-CN"/>
        </w:rPr>
        <w:t>）</w:t>
      </w:r>
      <w:r>
        <w:rPr>
          <w:rFonts w:hint="default" w:ascii="Times New Roman" w:hAnsi="Times New Roman" w:cs="Times New Roman"/>
          <w:lang w:val="en-US" w:eastAsia="zh-CN"/>
        </w:rPr>
        <w:t>。</w:t>
      </w:r>
    </w:p>
    <w:p>
      <w:pPr>
        <w:pStyle w:val="5"/>
        <w:numPr>
          <w:ilvl w:val="0"/>
          <w:numId w:val="3"/>
        </w:numPr>
        <w:bidi w:val="0"/>
        <w:rPr>
          <w:rFonts w:hint="eastAsia"/>
          <w:lang w:val="en-US" w:eastAsia="zh-CN"/>
        </w:rPr>
      </w:pPr>
      <w:r>
        <w:rPr>
          <w:rFonts w:hint="eastAsia"/>
          <w:lang w:val="en-US" w:eastAsia="zh-CN"/>
        </w:rPr>
        <w:t>主要内容</w:t>
      </w:r>
    </w:p>
    <w:p>
      <w:pPr>
        <w:bidi w:val="0"/>
        <w:rPr>
          <w:rFonts w:hint="default"/>
          <w:lang w:val="en-US" w:eastAsia="zh-CN"/>
        </w:rPr>
      </w:pPr>
      <w:r>
        <w:rPr>
          <w:rFonts w:hint="default"/>
          <w:lang w:val="en-US" w:eastAsia="zh-CN"/>
        </w:rPr>
        <w:t>2018年末被评价单位对北塔区内的环卫清扫保洁作业进行市场化招标，将作业区域分为三个标段，标段一为西湖北路以东的路段、公厕、垃圾中转站；标段二为西湖北路以西公厕、垃圾中转站、城区路段；标段三为城外主干道10条。承包期限为三年（2019年1月1日-2021年12月31日）。</w:t>
      </w:r>
    </w:p>
    <w:p>
      <w:pPr>
        <w:bidi w:val="0"/>
        <w:rPr>
          <w:rFonts w:hint="default"/>
          <w:lang w:val="en-US" w:eastAsia="zh-CN"/>
        </w:rPr>
      </w:pPr>
      <w:r>
        <w:rPr>
          <w:rFonts w:hint="default"/>
          <w:lang w:val="en-US" w:eastAsia="zh-CN"/>
        </w:rPr>
        <w:t>作业内容包括区域内公厕和垃圾中转站的日常管理以及垃圾转运，道路清扫保洁和清洗作业。</w:t>
      </w:r>
    </w:p>
    <w:p>
      <w:pPr>
        <w:bidi w:val="0"/>
        <w:rPr>
          <w:rFonts w:hint="default"/>
          <w:lang w:val="en-US" w:eastAsia="zh-CN"/>
        </w:rPr>
      </w:pPr>
      <w:r>
        <w:rPr>
          <w:rFonts w:hint="default"/>
          <w:lang w:val="en-US" w:eastAsia="zh-CN"/>
        </w:rPr>
        <w:t>2021年12月31日合同到期后，当天被评价单位与项目承包单位签订《邵阳市北塔区城市环卫清扫保洁清运服务外包项目（包一、包二、包三）承包合同》补充协议，协议中写明项目延续三个月，合同有效期延续至2022年3月31日。2022年8月15日经北塔区第十四次人民政府常务会议同意将“2018年签订的《邵阳市北塔区城市清扫保洁垃圾分类清运服务外包项目》（包一、包二、包三）三个合同延期至2022年10月31日。”未签订相关补充协议。</w:t>
      </w:r>
    </w:p>
    <w:p>
      <w:pPr>
        <w:pStyle w:val="5"/>
        <w:numPr>
          <w:ilvl w:val="0"/>
          <w:numId w:val="3"/>
        </w:numPr>
        <w:bidi w:val="0"/>
        <w:rPr>
          <w:rFonts w:hint="eastAsia"/>
          <w:lang w:val="en-US" w:eastAsia="zh-CN"/>
        </w:rPr>
      </w:pPr>
      <w:r>
        <w:rPr>
          <w:rFonts w:hint="eastAsia"/>
          <w:lang w:val="en-US" w:eastAsia="zh-CN"/>
        </w:rPr>
        <w:t>实施情况</w:t>
      </w:r>
    </w:p>
    <w:p>
      <w:pPr>
        <w:bidi w:val="0"/>
        <w:rPr>
          <w:rFonts w:hint="default"/>
          <w:lang w:val="en-US" w:eastAsia="zh-CN"/>
        </w:rPr>
      </w:pPr>
      <w:r>
        <w:rPr>
          <w:rFonts w:hint="default"/>
          <w:lang w:val="en-US" w:eastAsia="zh-CN"/>
        </w:rPr>
        <w:t>环卫市场化项目已于2019年执行招投标程序，确定了包一、包二、包三的中标单位，分别签订了《邵阳市北塔区城市环卫清扫保洁清运服务外包项目承包合同书》，约定承包期为三年，2019年1月1日-2021年12月31日其中：</w:t>
      </w:r>
    </w:p>
    <w:p>
      <w:pPr>
        <w:bidi w:val="0"/>
        <w:rPr>
          <w:rFonts w:hint="default"/>
          <w:highlight w:val="none"/>
          <w:lang w:val="en-US" w:eastAsia="zh-CN"/>
        </w:rPr>
      </w:pPr>
      <w:r>
        <w:rPr>
          <w:rFonts w:hint="default"/>
          <w:lang w:val="en-US" w:eastAsia="zh-CN"/>
        </w:rPr>
        <w:t>包一、湖南仁仁洁国际清洁科技集团股份有限公司：邵阳市北塔区西湖北路东标段的清扫保洁服务。作业范围为城区主干道12条，总面积636440平方米，人行道面积144693平方米，车行道面积402638平方米，绿化带面积89109平方米，城外主干道1条总面积46732平方米，三级作业面积46732平方米，小街小巷覆盖6个社区面积177197平方米，中转站7个，公厕12座（蹲位数99个）配置人员193人，车辆21台。一年承包费826.2万</w:t>
      </w:r>
      <w:r>
        <w:rPr>
          <w:rFonts w:hint="default"/>
          <w:highlight w:val="none"/>
          <w:lang w:val="en-US" w:eastAsia="zh-CN"/>
        </w:rPr>
        <w:t>元，扣除2020年已拆除丰江一级垃圾中转站承包管理费15万元/年，2022年实际承包费为811.2万元/年。</w:t>
      </w:r>
    </w:p>
    <w:p>
      <w:pPr>
        <w:bidi w:val="0"/>
        <w:rPr>
          <w:rFonts w:hint="default"/>
          <w:highlight w:val="none"/>
          <w:lang w:val="en-US" w:eastAsia="zh-CN"/>
        </w:rPr>
      </w:pPr>
      <w:r>
        <w:rPr>
          <w:rFonts w:hint="default"/>
          <w:highlight w:val="none"/>
          <w:lang w:val="en-US" w:eastAsia="zh-CN"/>
        </w:rPr>
        <w:t>包二、鸿鑫环境科技有限公司：邵阳市北塔区西湖北路西标段的清扫保洁服务。作业范围为城区主干道10条，总面积396679平方米，人行道面积115356平方米，车行道面积227115平方米，绿化带面积54208平方米，小街小巷覆盖6个社区面积239774平方米，中转站15个，公厕31座（蹲位数260个），配置人员230人，车辆26台。一年承包费842.82万元，扣除2021年爆炸停用42栋一级垃圾中转站承包管理费15万元/年，扣除2022年2月征拆修制厂3号及3月征拆修制厂2号公厕2022年承包费共计1.75万元，2022年实际承包费为826.07万元/年。</w:t>
      </w:r>
    </w:p>
    <w:p>
      <w:pPr>
        <w:bidi w:val="0"/>
        <w:rPr>
          <w:rFonts w:hint="default"/>
          <w:lang w:val="en-US" w:eastAsia="zh-CN"/>
        </w:rPr>
      </w:pPr>
      <w:r>
        <w:rPr>
          <w:rFonts w:hint="default"/>
          <w:lang w:val="en-US" w:eastAsia="zh-CN"/>
        </w:rPr>
        <w:t>包三、由湖南碧泰环保科技有限责任公司负责邵阳市北塔区城外10条主干道的清扫保洁服务。作业范围为城区主干道10条，总面积488319平方米，人行道面积128686平方米，车行道面积351501平方米，绿化带面积8132平方米，配置人员70人，车辆11台，年承包费245.92万元。</w:t>
      </w:r>
    </w:p>
    <w:p>
      <w:pPr>
        <w:bidi w:val="0"/>
        <w:rPr>
          <w:rFonts w:hint="default"/>
          <w:lang w:val="en-US" w:eastAsia="zh-CN"/>
        </w:rPr>
      </w:pPr>
      <w:r>
        <w:rPr>
          <w:rFonts w:hint="default"/>
          <w:lang w:val="en-US" w:eastAsia="zh-CN"/>
        </w:rPr>
        <w:t>项目按月结算，根据先作业后付款原则，按《邵阳市北塔区环境卫生作业质量检查办法及扣款标准》进行检查考评，考评结果作为支付合同价款的依据。每月10日前公布上月考评结果，并根据考评结果于每月20日前支付上月应付经费。</w:t>
      </w:r>
    </w:p>
    <w:p>
      <w:pPr>
        <w:bidi w:val="0"/>
        <w:rPr>
          <w:rFonts w:hint="default"/>
          <w:lang w:val="en-US" w:eastAsia="zh-CN"/>
        </w:rPr>
      </w:pPr>
      <w:r>
        <w:rPr>
          <w:rFonts w:hint="default"/>
          <w:lang w:val="en-US" w:eastAsia="zh-CN"/>
        </w:rPr>
        <w:t>对于环卫市场化项目资金的支付管理，由业务部门按照《财务管理制度》等有关规定办理内部项目资金的申请、审核等流程，由财务部门直接支付给第三方中标单位。</w:t>
      </w:r>
    </w:p>
    <w:p>
      <w:pPr>
        <w:pStyle w:val="10"/>
        <w:rPr>
          <w:rFonts w:hint="default" w:ascii="Times New Roman Regular" w:hAnsi="Times New Roman Regular" w:cs="Times New Roman Regular"/>
          <w:highlight w:val="none"/>
          <w:lang w:val="en-US" w:eastAsia="zh-CN"/>
        </w:rPr>
      </w:pPr>
      <w:r>
        <w:rPr>
          <w:rFonts w:hint="default" w:ascii="Times New Roman Regular" w:hAnsi="Times New Roman Regular" w:cs="Times New Roman Regular"/>
          <w:lang w:val="en-US" w:eastAsia="zh-CN"/>
        </w:rPr>
        <w:t>根据评价小组现场跟单位了解到，湖南仁仁洁国际清洁科技集团股份有限公司邵阳分公司、鸿鑫环境科技有限公司邵阳分公司2023年环卫市场化项目重新招标未中标后已注销公司，湖南碧泰环保科技有限公司邵阳分公司2023年已更换新的公司负责人，故2022年三家承包公司的人员名单由被评价单位业务部门提供的2022年存档为准</w:t>
      </w:r>
      <w:r>
        <w:rPr>
          <w:rFonts w:hint="default" w:ascii="Times New Roman Regular" w:hAnsi="Times New Roman Regular" w:cs="Times New Roman Regular"/>
          <w:highlight w:val="none"/>
          <w:lang w:val="en-US" w:eastAsia="zh-CN"/>
        </w:rPr>
        <w:t>。</w:t>
      </w:r>
      <w:r>
        <w:rPr>
          <w:rFonts w:hint="eastAsia" w:ascii="Times New Roman Regular" w:hAnsi="Times New Roman Regular" w:cs="Times New Roman Regular"/>
          <w:highlight w:val="none"/>
          <w:lang w:val="en-US" w:eastAsia="zh-CN"/>
        </w:rPr>
        <w:t>依据单位提供的《关于对仁仁洁公司服务范围外环卫作业费用答复》（邵北城管复</w:t>
      </w:r>
      <w:r>
        <w:rPr>
          <w:rFonts w:hint="default" w:ascii="Times New Roman" w:hAnsi="Times New Roman" w:eastAsia="仿宋" w:cs="Times New Roman"/>
          <w:color w:val="auto"/>
          <w:spacing w:val="-2"/>
          <w:sz w:val="30"/>
          <w:szCs w:val="30"/>
          <w:highlight w:val="none"/>
        </w:rPr>
        <w:t>〔20</w:t>
      </w:r>
      <w:r>
        <w:rPr>
          <w:rFonts w:hint="eastAsia" w:ascii="Times New Roman" w:eastAsia="仿宋" w:cs="Times New Roman"/>
          <w:color w:val="auto"/>
          <w:spacing w:val="-2"/>
          <w:sz w:val="30"/>
          <w:szCs w:val="30"/>
          <w:highlight w:val="none"/>
          <w:lang w:val="en-US" w:eastAsia="zh-CN"/>
        </w:rPr>
        <w:t>23</w:t>
      </w:r>
      <w:r>
        <w:rPr>
          <w:rFonts w:hint="default" w:ascii="Times New Roman" w:hAnsi="Times New Roman" w:eastAsia="仿宋" w:cs="Times New Roman"/>
          <w:color w:val="auto"/>
          <w:spacing w:val="-2"/>
          <w:sz w:val="30"/>
          <w:szCs w:val="30"/>
          <w:highlight w:val="none"/>
        </w:rPr>
        <w:t>〕</w:t>
      </w:r>
      <w:r>
        <w:rPr>
          <w:rFonts w:hint="eastAsia" w:ascii="Times New Roman" w:eastAsia="仿宋" w:cs="Times New Roman"/>
          <w:color w:val="auto"/>
          <w:spacing w:val="-2"/>
          <w:sz w:val="30"/>
          <w:szCs w:val="30"/>
          <w:highlight w:val="none"/>
          <w:lang w:val="en-US" w:eastAsia="zh-CN"/>
        </w:rPr>
        <w:t>1号</w:t>
      </w:r>
      <w:r>
        <w:rPr>
          <w:rFonts w:hint="eastAsia" w:ascii="Times New Roman Regular" w:hAnsi="Times New Roman Regular" w:cs="Times New Roman Regular"/>
          <w:highlight w:val="none"/>
          <w:lang w:val="en-US" w:eastAsia="zh-CN"/>
        </w:rPr>
        <w:t>）、《关于对鸿鑫公司服务遗留问题和服务范围外环卫作业费用的答复》（邵北城管复</w:t>
      </w:r>
      <w:r>
        <w:rPr>
          <w:rFonts w:hint="default" w:ascii="Times New Roman" w:hAnsi="Times New Roman" w:eastAsia="仿宋" w:cs="Times New Roman"/>
          <w:color w:val="auto"/>
          <w:spacing w:val="-2"/>
          <w:sz w:val="30"/>
          <w:szCs w:val="30"/>
          <w:highlight w:val="none"/>
        </w:rPr>
        <w:t>〔20</w:t>
      </w:r>
      <w:r>
        <w:rPr>
          <w:rFonts w:hint="eastAsia" w:ascii="Times New Roman" w:eastAsia="仿宋" w:cs="Times New Roman"/>
          <w:color w:val="auto"/>
          <w:spacing w:val="-2"/>
          <w:sz w:val="30"/>
          <w:szCs w:val="30"/>
          <w:highlight w:val="none"/>
          <w:lang w:val="en-US" w:eastAsia="zh-CN"/>
        </w:rPr>
        <w:t>23</w:t>
      </w:r>
      <w:r>
        <w:rPr>
          <w:rFonts w:hint="default" w:ascii="Times New Roman" w:hAnsi="Times New Roman" w:eastAsia="仿宋" w:cs="Times New Roman"/>
          <w:color w:val="auto"/>
          <w:spacing w:val="-2"/>
          <w:sz w:val="30"/>
          <w:szCs w:val="30"/>
          <w:highlight w:val="none"/>
        </w:rPr>
        <w:t>〕</w:t>
      </w:r>
      <w:r>
        <w:rPr>
          <w:rFonts w:hint="eastAsia" w:ascii="Times New Roman" w:eastAsia="仿宋" w:cs="Times New Roman"/>
          <w:color w:val="auto"/>
          <w:spacing w:val="-2"/>
          <w:sz w:val="30"/>
          <w:szCs w:val="30"/>
          <w:highlight w:val="none"/>
          <w:lang w:val="en-US" w:eastAsia="zh-CN"/>
        </w:rPr>
        <w:t>2号</w:t>
      </w:r>
      <w:r>
        <w:rPr>
          <w:rFonts w:hint="eastAsia" w:ascii="Times New Roman Regular" w:hAnsi="Times New Roman Regular" w:cs="Times New Roman Regular"/>
          <w:highlight w:val="none"/>
          <w:lang w:val="en-US" w:eastAsia="zh-CN"/>
        </w:rPr>
        <w:t>）对于上述扣除资金已按照合同支付原因系虽垃圾中转处理站及公厕已拆除但做到了垃圾日清日结，未造成垃圾积压影响市容市貌。</w:t>
      </w:r>
    </w:p>
    <w:p>
      <w:pPr>
        <w:pStyle w:val="5"/>
        <w:keepNext w:val="0"/>
        <w:keepLines w:val="0"/>
        <w:numPr>
          <w:ilvl w:val="0"/>
          <w:numId w:val="3"/>
        </w:numPr>
        <w:bidi w:val="0"/>
        <w:rPr>
          <w:rFonts w:hint="eastAsia"/>
          <w:b/>
          <w:bCs/>
          <w:highlight w:val="none"/>
          <w:lang w:val="en-US" w:eastAsia="zh-CN"/>
        </w:rPr>
      </w:pPr>
      <w:r>
        <w:rPr>
          <w:rFonts w:hint="eastAsia"/>
          <w:b/>
          <w:bCs/>
          <w:highlight w:val="none"/>
          <w:lang w:val="en-US" w:eastAsia="zh-CN"/>
        </w:rPr>
        <w:t>资金投入情况</w:t>
      </w:r>
    </w:p>
    <w:p>
      <w:pPr>
        <w:rPr>
          <w:rFonts w:hint="eastAsia"/>
          <w:lang w:val="en-US" w:eastAsia="zh-CN"/>
        </w:rPr>
      </w:pPr>
      <w:r>
        <w:rPr>
          <w:rFonts w:hint="eastAsia"/>
          <w:lang w:val="en-US" w:eastAsia="zh-CN"/>
        </w:rPr>
        <w:t>根据《邵阳市北塔区城市环卫清扫保洁清运服务外包项目承包合同书》约定，环卫市场化项目服务费合同金额合计为1914.94万元/年，扣除相关停用垃圾中转站及公厕承包服务费31.7万元后实际应支付1883.19万元/年。北塔区2022年度全区项目预算确定区级财政资金为1915万元。</w:t>
      </w:r>
    </w:p>
    <w:p>
      <w:pPr>
        <w:pStyle w:val="5"/>
        <w:numPr>
          <w:ilvl w:val="0"/>
          <w:numId w:val="3"/>
        </w:numPr>
        <w:bidi w:val="0"/>
        <w:rPr>
          <w:rFonts w:hint="default"/>
          <w:b/>
          <w:bCs/>
          <w:lang w:val="en-US" w:eastAsia="zh-CN"/>
        </w:rPr>
      </w:pPr>
      <w:r>
        <w:rPr>
          <w:rFonts w:hint="eastAsia"/>
          <w:b/>
          <w:bCs/>
          <w:lang w:val="en-US" w:eastAsia="zh-CN"/>
        </w:rPr>
        <w:t>资金拨付情况</w:t>
      </w:r>
    </w:p>
    <w:p>
      <w:pPr>
        <w:rPr>
          <w:rFonts w:hint="default"/>
          <w:lang w:val="en-US" w:eastAsia="zh-CN"/>
        </w:rPr>
      </w:pPr>
      <w:r>
        <w:rPr>
          <w:rFonts w:hint="default"/>
          <w:lang w:val="en-US" w:eastAsia="zh-CN"/>
        </w:rPr>
        <w:t>截止2022年12月31日，合计收到指标款1915万元，资金到位率100%。具体资金下达明细如下表：</w:t>
      </w:r>
    </w:p>
    <w:p>
      <w:pPr>
        <w:pStyle w:val="10"/>
        <w:jc w:val="right"/>
        <w:rPr>
          <w:rFonts w:hint="default"/>
          <w:lang w:val="en-US" w:eastAsia="zh-CN"/>
        </w:rPr>
      </w:pPr>
      <w:r>
        <w:rPr>
          <w:rFonts w:hint="eastAsia"/>
          <w:lang w:val="en-US" w:eastAsia="zh-CN"/>
        </w:rPr>
        <w:t>（单位：人民币万元）</w:t>
      </w:r>
    </w:p>
    <w:tbl>
      <w:tblPr>
        <w:tblStyle w:val="17"/>
        <w:tblW w:w="8084"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2821"/>
        <w:gridCol w:w="1836"/>
        <w:gridCol w:w="3427"/>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tblHeader/>
          <w:jc w:val="center"/>
        </w:trPr>
        <w:tc>
          <w:tcPr>
            <w:tcW w:w="282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指标文号</w:t>
            </w:r>
          </w:p>
        </w:tc>
        <w:tc>
          <w:tcPr>
            <w:tcW w:w="18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指标金额（万元）</w:t>
            </w:r>
          </w:p>
        </w:tc>
        <w:tc>
          <w:tcPr>
            <w:tcW w:w="342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指标下达时间</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北财预指（202</w:t>
            </w:r>
            <w:r>
              <w:rPr>
                <w:rFonts w:hint="eastAsia" w:ascii="Times New Roman" w:hAnsi="Times New Roman" w:eastAsia="宋体" w:cs="Times New Roman"/>
                <w:kern w:val="0"/>
                <w:sz w:val="18"/>
                <w:szCs w:val="18"/>
                <w:lang w:val="en-US" w:eastAsia="zh-CN"/>
              </w:rPr>
              <w:t>2</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0317</w:t>
            </w:r>
            <w:r>
              <w:rPr>
                <w:rFonts w:ascii="Times New Roman" w:hAnsi="Times New Roman" w:eastAsia="宋体" w:cs="Times New Roman"/>
                <w:kern w:val="0"/>
                <w:sz w:val="18"/>
                <w:szCs w:val="18"/>
              </w:rPr>
              <w:t>号</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300</w:t>
            </w:r>
          </w:p>
        </w:tc>
        <w:tc>
          <w:tcPr>
            <w:tcW w:w="34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2022年1月28日</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北财预指（202</w:t>
            </w:r>
            <w:r>
              <w:rPr>
                <w:rFonts w:hint="eastAsia" w:ascii="Times New Roman" w:hAnsi="Times New Roman" w:eastAsia="宋体" w:cs="Times New Roman"/>
                <w:kern w:val="0"/>
                <w:sz w:val="18"/>
                <w:szCs w:val="18"/>
                <w:lang w:val="en-US" w:eastAsia="zh-CN"/>
              </w:rPr>
              <w:t>2</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0317</w:t>
            </w:r>
            <w:r>
              <w:rPr>
                <w:rFonts w:ascii="Times New Roman" w:hAnsi="Times New Roman" w:eastAsia="宋体" w:cs="Times New Roman"/>
                <w:kern w:val="0"/>
                <w:sz w:val="18"/>
                <w:szCs w:val="18"/>
              </w:rPr>
              <w:t>号</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300</w:t>
            </w:r>
          </w:p>
        </w:tc>
        <w:tc>
          <w:tcPr>
            <w:tcW w:w="34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2022年3月30日</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北财预指（202</w:t>
            </w:r>
            <w:r>
              <w:rPr>
                <w:rFonts w:hint="eastAsia" w:ascii="Times New Roman" w:hAnsi="Times New Roman" w:eastAsia="宋体" w:cs="Times New Roman"/>
                <w:kern w:val="0"/>
                <w:sz w:val="18"/>
                <w:szCs w:val="18"/>
                <w:lang w:val="en-US" w:eastAsia="zh-CN"/>
              </w:rPr>
              <w:t>2</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0317</w:t>
            </w:r>
            <w:r>
              <w:rPr>
                <w:rFonts w:ascii="Times New Roman" w:hAnsi="Times New Roman" w:eastAsia="宋体" w:cs="Times New Roman"/>
                <w:kern w:val="0"/>
                <w:sz w:val="18"/>
                <w:szCs w:val="18"/>
              </w:rPr>
              <w:t>号</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315</w:t>
            </w:r>
          </w:p>
        </w:tc>
        <w:tc>
          <w:tcPr>
            <w:tcW w:w="34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2022年6月13日</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北财预指（202</w:t>
            </w:r>
            <w:r>
              <w:rPr>
                <w:rFonts w:hint="eastAsia" w:ascii="Times New Roman" w:hAnsi="Times New Roman" w:eastAsia="宋体" w:cs="Times New Roman"/>
                <w:kern w:val="0"/>
                <w:sz w:val="18"/>
                <w:szCs w:val="18"/>
                <w:lang w:val="en-US" w:eastAsia="zh-CN"/>
              </w:rPr>
              <w:t>2</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0317</w:t>
            </w:r>
            <w:r>
              <w:rPr>
                <w:rFonts w:ascii="Times New Roman" w:hAnsi="Times New Roman" w:eastAsia="宋体" w:cs="Times New Roman"/>
                <w:kern w:val="0"/>
                <w:sz w:val="18"/>
                <w:szCs w:val="18"/>
              </w:rPr>
              <w:t>号</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8"/>
                <w:lang w:val="en-US" w:eastAsia="zh-CN"/>
              </w:rPr>
            </w:pPr>
            <w:r>
              <w:rPr>
                <w:rFonts w:hint="eastAsia" w:ascii="Times New Roman" w:hAnsi="Times New Roman" w:eastAsia="宋体" w:cs="Times New Roman"/>
                <w:kern w:val="0"/>
                <w:sz w:val="18"/>
                <w:szCs w:val="18"/>
                <w:lang w:val="en-US" w:eastAsia="zh-CN"/>
              </w:rPr>
              <w:t>500</w:t>
            </w:r>
          </w:p>
        </w:tc>
        <w:tc>
          <w:tcPr>
            <w:tcW w:w="34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2022年9月5日</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北财预指（202</w:t>
            </w:r>
            <w:r>
              <w:rPr>
                <w:rFonts w:hint="eastAsia" w:ascii="Times New Roman" w:hAnsi="Times New Roman" w:eastAsia="宋体" w:cs="Times New Roman"/>
                <w:kern w:val="0"/>
                <w:sz w:val="18"/>
                <w:szCs w:val="18"/>
                <w:lang w:val="en-US" w:eastAsia="zh-CN"/>
              </w:rPr>
              <w:t>2</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0317</w:t>
            </w:r>
            <w:r>
              <w:rPr>
                <w:rFonts w:ascii="Times New Roman" w:hAnsi="Times New Roman" w:eastAsia="宋体" w:cs="Times New Roman"/>
                <w:kern w:val="0"/>
                <w:sz w:val="18"/>
                <w:szCs w:val="18"/>
              </w:rPr>
              <w:t>号</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500</w:t>
            </w:r>
          </w:p>
        </w:tc>
        <w:tc>
          <w:tcPr>
            <w:tcW w:w="34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2022年11月30日</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82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8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1915</w:t>
            </w:r>
          </w:p>
        </w:tc>
        <w:tc>
          <w:tcPr>
            <w:tcW w:w="342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bl>
    <w:p>
      <w:pPr>
        <w:pStyle w:val="5"/>
        <w:numPr>
          <w:ilvl w:val="0"/>
          <w:numId w:val="3"/>
        </w:numPr>
        <w:bidi w:val="0"/>
        <w:ind w:left="0" w:leftChars="0" w:firstLine="602" w:firstLineChars="200"/>
        <w:rPr>
          <w:rFonts w:hint="eastAsia"/>
          <w:b/>
          <w:bCs/>
          <w:lang w:val="en-US" w:eastAsia="zh-CN"/>
        </w:rPr>
      </w:pPr>
      <w:r>
        <w:rPr>
          <w:rFonts w:hint="eastAsia"/>
          <w:b/>
          <w:bCs/>
          <w:lang w:val="en-US" w:eastAsia="zh-CN"/>
        </w:rPr>
        <w:t>资金使用情况</w:t>
      </w:r>
    </w:p>
    <w:p>
      <w:pPr>
        <w:bidi w:val="0"/>
        <w:rPr>
          <w:rFonts w:hint="default"/>
          <w:lang w:val="en-US" w:eastAsia="zh-CN"/>
        </w:rPr>
      </w:pPr>
      <w:r>
        <w:rPr>
          <w:rFonts w:hint="default"/>
          <w:lang w:val="en-US" w:eastAsia="zh-CN"/>
        </w:rPr>
        <w:t>截至2022年12月31日，累计使用预算指标资金1750.29万元，结余164.71万元，资金使用率为91%，截至绩效评价日，预算指标资金1915已全部使用，预算资金执行率100%。资金使用情况如下表：</w:t>
      </w:r>
    </w:p>
    <w:p>
      <w:pPr>
        <w:bidi w:val="0"/>
        <w:jc w:val="right"/>
        <w:rPr>
          <w:rFonts w:hint="default"/>
          <w:lang w:val="en-US" w:eastAsia="zh-CN"/>
        </w:rPr>
      </w:pPr>
      <w:r>
        <w:rPr>
          <w:rFonts w:hint="eastAsia"/>
          <w:lang w:val="en-US" w:eastAsia="zh-CN"/>
        </w:rPr>
        <w:t>（单位：人民币万元）</w:t>
      </w:r>
    </w:p>
    <w:tbl>
      <w:tblPr>
        <w:tblStyle w:val="17"/>
        <w:tblW w:w="8227"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707"/>
        <w:gridCol w:w="1457"/>
        <w:gridCol w:w="1672"/>
        <w:gridCol w:w="4391"/>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tblHeader/>
          <w:jc w:val="center"/>
        </w:trPr>
        <w:tc>
          <w:tcPr>
            <w:tcW w:w="70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序号</w:t>
            </w:r>
          </w:p>
        </w:tc>
        <w:tc>
          <w:tcPr>
            <w:tcW w:w="14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支出内容</w:t>
            </w:r>
          </w:p>
        </w:tc>
        <w:tc>
          <w:tcPr>
            <w:tcW w:w="167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支出金额（万元）</w:t>
            </w:r>
          </w:p>
        </w:tc>
        <w:tc>
          <w:tcPr>
            <w:tcW w:w="439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备注</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70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环卫市场化项目劳务费</w:t>
            </w:r>
          </w:p>
        </w:tc>
        <w:tc>
          <w:tcPr>
            <w:tcW w:w="167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highlight w:val="none"/>
                <w:lang w:val="en-US" w:eastAsia="zh-CN"/>
              </w:rPr>
              <w:t>1,842.77</w:t>
            </w:r>
          </w:p>
        </w:tc>
        <w:tc>
          <w:tcPr>
            <w:tcW w:w="4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收款单位为湖南碧泰环保科技有限责任公司邵阳分公司、湖南仁仁洁国际清洁科技集团股份有限公司邵阳分公司、鸿鑫环境科技有限公司邵阳分公司</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70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4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其他支出</w:t>
            </w:r>
          </w:p>
        </w:tc>
        <w:tc>
          <w:tcPr>
            <w:tcW w:w="167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72.23</w:t>
            </w:r>
          </w:p>
        </w:tc>
        <w:tc>
          <w:tcPr>
            <w:tcW w:w="4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包含支付给</w:t>
            </w:r>
            <w:r>
              <w:rPr>
                <w:rFonts w:hint="eastAsia" w:ascii="Times New Roman" w:hAnsi="Times New Roman" w:eastAsia="宋体" w:cs="Times New Roman"/>
                <w:kern w:val="0"/>
                <w:sz w:val="18"/>
                <w:szCs w:val="18"/>
              </w:rPr>
              <w:t>邵阳市金豹保安服务有限公司</w:t>
            </w:r>
            <w:r>
              <w:rPr>
                <w:rFonts w:hint="eastAsia" w:ascii="Times New Roman" w:hAnsi="Times New Roman" w:eastAsia="宋体" w:cs="Times New Roman"/>
                <w:kern w:val="0"/>
                <w:sz w:val="18"/>
                <w:szCs w:val="18"/>
                <w:lang w:val="en-US" w:eastAsia="zh-CN"/>
              </w:rPr>
              <w:t>20.98万元、长沙亿其信息科技有限公司1.84万元、垃圾分类及垃圾中转站设备费用49.41万元。</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70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4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67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1915</w:t>
            </w:r>
          </w:p>
        </w:tc>
        <w:tc>
          <w:tcPr>
            <w:tcW w:w="439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bl>
    <w:p>
      <w:pPr>
        <w:bidi w:val="0"/>
        <w:rPr>
          <w:rFonts w:hint="eastAsia"/>
          <w:lang w:val="en-US" w:eastAsia="zh-CN"/>
        </w:rPr>
      </w:pPr>
      <w:r>
        <w:rPr>
          <w:rFonts w:hint="eastAsia"/>
          <w:lang w:val="en-US" w:eastAsia="zh-CN"/>
        </w:rPr>
        <w:t>补充协议2022年应支付环卫化市场项目劳务费及当年实际支付的费用</w:t>
      </w:r>
    </w:p>
    <w:p>
      <w:pPr>
        <w:bidi w:val="0"/>
        <w:jc w:val="right"/>
        <w:rPr>
          <w:rFonts w:hint="default"/>
          <w:lang w:val="en-US" w:eastAsia="zh-CN"/>
        </w:rPr>
      </w:pPr>
      <w:r>
        <w:rPr>
          <w:rFonts w:hint="eastAsia"/>
          <w:lang w:val="en-US" w:eastAsia="zh-CN"/>
        </w:rPr>
        <w:t>（单位：人民币万元）</w:t>
      </w:r>
    </w:p>
    <w:tbl>
      <w:tblPr>
        <w:tblStyle w:val="17"/>
        <w:tblW w:w="8246"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2031"/>
        <w:gridCol w:w="2067"/>
        <w:gridCol w:w="1907"/>
        <w:gridCol w:w="2241"/>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tblHeader/>
          <w:jc w:val="center"/>
        </w:trPr>
        <w:tc>
          <w:tcPr>
            <w:tcW w:w="203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Times New Roman" w:hAnsi="Times New Roman" w:eastAsia="宋体" w:cs="Times New Roman"/>
                <w:b/>
                <w:bCs w:val="0"/>
                <w:kern w:val="0"/>
                <w:sz w:val="18"/>
                <w:szCs w:val="20"/>
                <w:lang w:val="en-US" w:eastAsia="zh-CN"/>
              </w:rPr>
            </w:pPr>
            <w:r>
              <w:rPr>
                <w:rFonts w:ascii="Times New Roman" w:hAnsi="Times New Roman" w:eastAsia="宋体" w:cs="Times New Roman"/>
                <w:b/>
                <w:bCs w:val="0"/>
                <w:kern w:val="0"/>
                <w:sz w:val="18"/>
                <w:szCs w:val="20"/>
              </w:rPr>
              <w:t>支付内容</w:t>
            </w:r>
          </w:p>
        </w:tc>
        <w:tc>
          <w:tcPr>
            <w:tcW w:w="206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Times New Roman"/>
                <w:b/>
                <w:kern w:val="0"/>
                <w:sz w:val="18"/>
                <w:szCs w:val="20"/>
                <w:lang w:val="en-US" w:eastAsia="zh-CN"/>
              </w:rPr>
            </w:pPr>
            <w:r>
              <w:rPr>
                <w:rFonts w:hint="eastAsia" w:ascii="Times New Roman" w:hAnsi="Times New Roman" w:eastAsia="宋体" w:cs="Times New Roman"/>
                <w:b/>
                <w:kern w:val="0"/>
                <w:sz w:val="18"/>
                <w:szCs w:val="20"/>
                <w:lang w:val="en-US" w:eastAsia="zh-CN"/>
              </w:rPr>
              <w:t>补充协议应支付费用</w:t>
            </w:r>
          </w:p>
        </w:tc>
        <w:tc>
          <w:tcPr>
            <w:tcW w:w="190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Times New Roman"/>
                <w:b/>
                <w:kern w:val="0"/>
                <w:sz w:val="18"/>
                <w:szCs w:val="20"/>
                <w:lang w:val="en-US" w:eastAsia="zh-CN"/>
              </w:rPr>
            </w:pPr>
            <w:r>
              <w:rPr>
                <w:rFonts w:hint="eastAsia" w:ascii="Times New Roman" w:hAnsi="Times New Roman" w:eastAsia="宋体" w:cs="Times New Roman"/>
                <w:b/>
                <w:kern w:val="0"/>
                <w:sz w:val="18"/>
                <w:szCs w:val="20"/>
                <w:lang w:val="en-US" w:eastAsia="zh-CN"/>
              </w:rPr>
              <w:t>当年实际支付费用</w:t>
            </w:r>
          </w:p>
        </w:tc>
        <w:tc>
          <w:tcPr>
            <w:tcW w:w="224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Times New Roman" w:hAnsi="Times New Roman" w:eastAsia="宋体" w:cs="Times New Roman"/>
                <w:b/>
                <w:kern w:val="0"/>
                <w:sz w:val="18"/>
                <w:szCs w:val="20"/>
                <w:lang w:eastAsia="zh-CN"/>
              </w:rPr>
            </w:pPr>
            <w:r>
              <w:rPr>
                <w:rFonts w:hint="eastAsia" w:ascii="Times New Roman" w:hAnsi="Times New Roman" w:eastAsia="宋体" w:cs="Times New Roman"/>
                <w:b/>
                <w:kern w:val="0"/>
                <w:sz w:val="18"/>
                <w:szCs w:val="20"/>
                <w:lang w:val="en-US" w:eastAsia="zh-CN"/>
              </w:rPr>
              <w:t>差额</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03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b w:val="0"/>
                <w:bCs/>
                <w:kern w:val="0"/>
                <w:sz w:val="18"/>
                <w:szCs w:val="20"/>
              </w:rPr>
            </w:pPr>
            <w:r>
              <w:rPr>
                <w:rStyle w:val="21"/>
                <w:rFonts w:ascii="Times New Roman" w:hAnsi="Times New Roman" w:eastAsia="宋体" w:cs="Times New Roman"/>
                <w:b w:val="0"/>
                <w:bCs/>
                <w:sz w:val="18"/>
                <w:lang w:val="en-US" w:eastAsia="zh-CN" w:bidi="ar"/>
              </w:rPr>
              <w:t>鸿鑫公司承包费</w:t>
            </w:r>
          </w:p>
        </w:tc>
        <w:tc>
          <w:tcPr>
            <w:tcW w:w="206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202.8</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755.14</w:t>
            </w:r>
          </w:p>
        </w:tc>
        <w:tc>
          <w:tcPr>
            <w:tcW w:w="22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kern w:val="0"/>
                <w:sz w:val="18"/>
                <w:szCs w:val="20"/>
              </w:rPr>
            </w:pPr>
            <w:r>
              <w:rPr>
                <w:rFonts w:hint="default" w:ascii="Times New Roman" w:hAnsi="Times New Roman" w:eastAsia="宋体" w:cs="Times New Roman"/>
                <w:i w:val="0"/>
                <w:iCs w:val="0"/>
                <w:color w:val="000000"/>
                <w:kern w:val="0"/>
                <w:sz w:val="18"/>
                <w:szCs w:val="20"/>
                <w:u w:val="none"/>
                <w:lang w:val="en-US" w:eastAsia="zh-CN" w:bidi="ar"/>
              </w:rPr>
              <w:t>552.34</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03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b w:val="0"/>
                <w:bCs/>
                <w:kern w:val="0"/>
                <w:sz w:val="18"/>
                <w:szCs w:val="20"/>
              </w:rPr>
            </w:pPr>
            <w:r>
              <w:rPr>
                <w:rStyle w:val="21"/>
                <w:rFonts w:ascii="Times New Roman" w:hAnsi="Times New Roman" w:eastAsia="宋体" w:cs="Times New Roman"/>
                <w:b w:val="0"/>
                <w:bCs/>
                <w:sz w:val="18"/>
                <w:lang w:val="en-US" w:eastAsia="zh-CN" w:bidi="ar"/>
              </w:rPr>
              <w:t>仁仁洁公司承包费</w:t>
            </w:r>
          </w:p>
        </w:tc>
        <w:tc>
          <w:tcPr>
            <w:tcW w:w="206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206.52</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741.03</w:t>
            </w:r>
          </w:p>
        </w:tc>
        <w:tc>
          <w:tcPr>
            <w:tcW w:w="22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kern w:val="0"/>
                <w:sz w:val="18"/>
                <w:szCs w:val="20"/>
              </w:rPr>
            </w:pPr>
            <w:r>
              <w:rPr>
                <w:rFonts w:hint="default" w:ascii="Times New Roman" w:hAnsi="Times New Roman" w:eastAsia="宋体" w:cs="Times New Roman"/>
                <w:i w:val="0"/>
                <w:iCs w:val="0"/>
                <w:color w:val="000000"/>
                <w:kern w:val="0"/>
                <w:sz w:val="18"/>
                <w:szCs w:val="20"/>
                <w:u w:val="none"/>
                <w:lang w:val="en-US" w:eastAsia="zh-CN" w:bidi="ar"/>
              </w:rPr>
              <w:t>534.51</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03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b w:val="0"/>
                <w:bCs/>
                <w:kern w:val="0"/>
                <w:sz w:val="18"/>
                <w:szCs w:val="20"/>
              </w:rPr>
            </w:pPr>
            <w:r>
              <w:rPr>
                <w:rStyle w:val="21"/>
                <w:rFonts w:ascii="Times New Roman" w:hAnsi="Times New Roman" w:eastAsia="宋体" w:cs="Times New Roman"/>
                <w:b w:val="0"/>
                <w:bCs/>
                <w:sz w:val="18"/>
                <w:lang w:val="en-US" w:eastAsia="zh-CN" w:bidi="ar"/>
              </w:rPr>
              <w:t>碧泰公司承包费</w:t>
            </w:r>
          </w:p>
        </w:tc>
        <w:tc>
          <w:tcPr>
            <w:tcW w:w="206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61.48</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227.99</w:t>
            </w:r>
          </w:p>
        </w:tc>
        <w:tc>
          <w:tcPr>
            <w:tcW w:w="22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ascii="Times New Roman" w:hAnsi="Times New Roman" w:eastAsia="宋体" w:cs="Times New Roman"/>
                <w:kern w:val="0"/>
                <w:sz w:val="18"/>
                <w:szCs w:val="20"/>
              </w:rPr>
            </w:pPr>
            <w:r>
              <w:rPr>
                <w:rFonts w:hint="default" w:ascii="Times New Roman" w:hAnsi="Times New Roman" w:eastAsia="宋体" w:cs="Times New Roman"/>
                <w:i w:val="0"/>
                <w:iCs w:val="0"/>
                <w:color w:val="000000"/>
                <w:kern w:val="0"/>
                <w:sz w:val="18"/>
                <w:szCs w:val="20"/>
                <w:u w:val="none"/>
                <w:lang w:val="en-US" w:eastAsia="zh-CN" w:bidi="ar"/>
              </w:rPr>
              <w:t>166.51</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203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Times New Roman" w:hAnsi="Times New Roman" w:eastAsia="宋体" w:cs="Times New Roman"/>
                <w:b w:val="0"/>
                <w:bCs/>
                <w:kern w:val="0"/>
                <w:sz w:val="18"/>
                <w:szCs w:val="20"/>
                <w:lang w:eastAsia="zh-CN"/>
              </w:rPr>
            </w:pPr>
            <w:r>
              <w:rPr>
                <w:rFonts w:ascii="Times New Roman" w:hAnsi="Times New Roman" w:eastAsia="宋体" w:cs="Times New Roman"/>
                <w:b w:val="0"/>
                <w:bCs/>
                <w:kern w:val="0"/>
                <w:sz w:val="18"/>
                <w:szCs w:val="20"/>
              </w:rPr>
              <w:t>合计</w:t>
            </w:r>
          </w:p>
        </w:tc>
        <w:tc>
          <w:tcPr>
            <w:tcW w:w="206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eastAsia"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470.80</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1,724.16</w:t>
            </w:r>
          </w:p>
        </w:tc>
        <w:tc>
          <w:tcPr>
            <w:tcW w:w="22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2"/>
                <w:sz w:val="18"/>
                <w:szCs w:val="20"/>
                <w:u w:val="none"/>
                <w:lang w:val="en-US" w:eastAsia="zh-CN" w:bidi="ar-SA"/>
              </w:rPr>
            </w:pPr>
            <w:r>
              <w:rPr>
                <w:rFonts w:hint="default" w:ascii="Times New Roman" w:hAnsi="Times New Roman" w:eastAsia="宋体" w:cs="Times New Roman"/>
                <w:i w:val="0"/>
                <w:iCs w:val="0"/>
                <w:color w:val="000000"/>
                <w:kern w:val="0"/>
                <w:sz w:val="18"/>
                <w:szCs w:val="20"/>
                <w:u w:val="none"/>
                <w:lang w:val="en-US" w:eastAsia="zh-CN" w:bidi="ar"/>
              </w:rPr>
              <w:t>1253.36</w:t>
            </w:r>
          </w:p>
        </w:tc>
      </w:tr>
    </w:tbl>
    <w:p>
      <w:pPr>
        <w:pStyle w:val="4"/>
        <w:numPr>
          <w:ilvl w:val="0"/>
          <w:numId w:val="2"/>
        </w:numPr>
        <w:bidi w:val="0"/>
        <w:ind w:left="0" w:leftChars="0" w:firstLine="643" w:firstLineChars="200"/>
        <w:rPr>
          <w:rFonts w:hint="eastAsia"/>
          <w:lang w:val="en-US" w:eastAsia="zh-CN"/>
        </w:rPr>
      </w:pPr>
      <w:bookmarkStart w:id="10" w:name="_Toc13568"/>
      <w:bookmarkStart w:id="11" w:name="_Toc28225"/>
      <w:r>
        <w:rPr>
          <w:rFonts w:hint="eastAsia"/>
          <w:lang w:val="en-US" w:eastAsia="zh-CN"/>
        </w:rPr>
        <w:t>项目绩效目标</w:t>
      </w:r>
      <w:bookmarkEnd w:id="10"/>
      <w:bookmarkEnd w:id="11"/>
    </w:p>
    <w:p>
      <w:pPr>
        <w:bidi w:val="0"/>
        <w:rPr>
          <w:rFonts w:hint="default"/>
          <w:lang w:val="en-US" w:eastAsia="zh-CN"/>
        </w:rPr>
      </w:pPr>
      <w:r>
        <w:rPr>
          <w:rFonts w:hint="default"/>
          <w:lang w:val="en-US" w:eastAsia="zh-CN"/>
        </w:rPr>
        <w:t>通过政府购买服务方式，引入第三方服务机构，提供辖区内道路、垃圾站、公厕、绿化带的清扫保洁管理，生活垃圾的收集、清运等服务。</w:t>
      </w:r>
    </w:p>
    <w:bookmarkEnd w:id="9"/>
    <w:p>
      <w:pPr>
        <w:pStyle w:val="3"/>
        <w:bidi w:val="0"/>
        <w:rPr>
          <w:rFonts w:hint="default"/>
          <w:lang w:val="en-US" w:eastAsia="zh-CN"/>
        </w:rPr>
      </w:pPr>
      <w:bookmarkStart w:id="12" w:name="_Toc2069"/>
      <w:bookmarkStart w:id="13" w:name="_Toc2350"/>
      <w:bookmarkStart w:id="14" w:name="_Toc13507"/>
      <w:bookmarkStart w:id="15" w:name="_Toc9354"/>
      <w:bookmarkStart w:id="16" w:name="_Toc4139"/>
      <w:bookmarkStart w:id="17" w:name="_Toc24368"/>
      <w:bookmarkStart w:id="18" w:name="_Toc2194"/>
      <w:bookmarkStart w:id="19" w:name="_Toc31855"/>
      <w:bookmarkStart w:id="20" w:name="_Toc25840"/>
      <w:bookmarkStart w:id="21" w:name="_Toc13825"/>
      <w:bookmarkStart w:id="22" w:name="_Toc5968"/>
      <w:r>
        <w:rPr>
          <w:rFonts w:hint="eastAsia"/>
          <w:lang w:val="en-US" w:eastAsia="zh-CN"/>
        </w:rPr>
        <w:t>二、</w:t>
      </w:r>
      <w:bookmarkEnd w:id="12"/>
      <w:bookmarkEnd w:id="13"/>
      <w:bookmarkEnd w:id="14"/>
      <w:bookmarkEnd w:id="15"/>
      <w:bookmarkEnd w:id="16"/>
      <w:bookmarkEnd w:id="17"/>
      <w:bookmarkEnd w:id="18"/>
      <w:bookmarkEnd w:id="19"/>
      <w:bookmarkEnd w:id="20"/>
      <w:r>
        <w:rPr>
          <w:rFonts w:hint="eastAsia"/>
          <w:lang w:val="en-US" w:eastAsia="zh-CN"/>
        </w:rPr>
        <w:t>绩效评价工作情况</w:t>
      </w:r>
      <w:bookmarkEnd w:id="21"/>
      <w:bookmarkEnd w:id="22"/>
    </w:p>
    <w:p>
      <w:pPr>
        <w:snapToGrid/>
        <w:spacing w:before="0" w:beforeLines="-2147483648" w:line="240" w:lineRule="auto"/>
        <w:ind w:firstLine="600" w:firstLineChars="200"/>
        <w:rPr>
          <w:rFonts w:hint="eastAsia"/>
          <w:lang w:val="en-US" w:eastAsia="zh-CN"/>
        </w:rPr>
      </w:pPr>
      <w:r>
        <w:rPr>
          <w:rFonts w:hint="eastAsia"/>
          <w:lang w:val="en-US" w:eastAsia="zh-CN"/>
        </w:rPr>
        <w:t>2023年8月24日，我所受邵阳市北塔区财政局委托，成立重点绩效评价工作小组，拟定评价指标和评价方案；9月7日我所进驻邵阳市北塔区城市管理和综合执法局现场，正式开展环卫市场化项目的绩效评价工作。</w:t>
      </w:r>
    </w:p>
    <w:p>
      <w:pPr>
        <w:snapToGrid/>
        <w:spacing w:before="0" w:beforeLines="-2147483648" w:line="240" w:lineRule="auto"/>
        <w:ind w:firstLine="600" w:firstLineChars="200"/>
        <w:rPr>
          <w:rFonts w:hint="eastAsia"/>
          <w:lang w:val="en-US" w:eastAsia="zh-CN"/>
        </w:rPr>
      </w:pPr>
      <w:r>
        <w:rPr>
          <w:rFonts w:hint="eastAsia"/>
          <w:lang w:val="en-US" w:eastAsia="zh-CN"/>
        </w:rPr>
        <w:t>我所组织开展重点绩效评价的主要方式有：</w:t>
      </w:r>
    </w:p>
    <w:p>
      <w:pPr>
        <w:snapToGrid/>
        <w:spacing w:before="0" w:beforeLines="-2147483648" w:line="240" w:lineRule="auto"/>
        <w:ind w:firstLine="602" w:firstLineChars="200"/>
        <w:rPr>
          <w:rFonts w:hint="eastAsia"/>
          <w:lang w:val="en-US" w:eastAsia="zh-CN"/>
        </w:rPr>
      </w:pPr>
      <w:r>
        <w:rPr>
          <w:rFonts w:hint="eastAsia"/>
          <w:b/>
          <w:bCs/>
          <w:lang w:val="en-US" w:eastAsia="zh-CN"/>
        </w:rPr>
        <w:t>一是</w:t>
      </w:r>
      <w:r>
        <w:rPr>
          <w:rFonts w:hint="eastAsia"/>
          <w:lang w:val="en-US" w:eastAsia="zh-CN"/>
        </w:rPr>
        <w:t>听取汇报、查阅资料。详细了解项目的相关政策规定、项目设立依据、绩效目标设置及政策实施环境等基本情况；重点检查了全部已支付的专项资金使用情况。</w:t>
      </w:r>
    </w:p>
    <w:p>
      <w:pPr>
        <w:snapToGrid/>
        <w:spacing w:before="0" w:beforeLines="-2147483648" w:line="240" w:lineRule="auto"/>
        <w:ind w:firstLine="602" w:firstLineChars="200"/>
        <w:rPr>
          <w:rFonts w:hint="eastAsia"/>
          <w:highlight w:val="none"/>
          <w:lang w:val="en-US" w:eastAsia="zh-CN"/>
        </w:rPr>
      </w:pPr>
      <w:r>
        <w:rPr>
          <w:rFonts w:hint="eastAsia"/>
          <w:b/>
          <w:bCs/>
          <w:highlight w:val="none"/>
          <w:lang w:val="en-US" w:eastAsia="zh-CN"/>
        </w:rPr>
        <w:t>二是</w:t>
      </w:r>
      <w:r>
        <w:rPr>
          <w:rFonts w:hint="eastAsia"/>
          <w:highlight w:val="none"/>
          <w:lang w:val="en-US" w:eastAsia="zh-CN"/>
        </w:rPr>
        <w:t>前往项目建设业务单位现场查看相关资料，三家服务机构的人员配置进行取证，了解项目实施及管理情况等。</w:t>
      </w:r>
    </w:p>
    <w:p>
      <w:pPr>
        <w:snapToGrid/>
        <w:spacing w:before="0" w:beforeLines="-2147483648" w:line="240" w:lineRule="auto"/>
        <w:ind w:firstLine="602" w:firstLineChars="200"/>
        <w:rPr>
          <w:rFonts w:hint="eastAsia"/>
          <w:lang w:val="en-US" w:eastAsia="zh-CN"/>
        </w:rPr>
      </w:pPr>
      <w:r>
        <w:rPr>
          <w:rFonts w:hint="eastAsia"/>
          <w:b/>
          <w:bCs/>
          <w:lang w:val="en-US" w:eastAsia="zh-CN"/>
        </w:rPr>
        <w:t>三是</w:t>
      </w:r>
      <w:r>
        <w:rPr>
          <w:rFonts w:hint="eastAsia"/>
          <w:lang w:val="en-US" w:eastAsia="zh-CN"/>
        </w:rPr>
        <w:t>组织问卷调查。为充分了解重点资金使用绩效，我所针对环卫市场化项目所在地的居民进行了电子问卷调查，共收回有效问卷58份。</w:t>
      </w:r>
    </w:p>
    <w:p>
      <w:pPr>
        <w:snapToGrid/>
        <w:spacing w:before="0" w:beforeLines="-2147483648" w:line="240" w:lineRule="auto"/>
        <w:ind w:firstLine="602" w:firstLineChars="200"/>
        <w:rPr>
          <w:rFonts w:hint="eastAsia"/>
          <w:lang w:val="en-US" w:eastAsia="zh-CN"/>
        </w:rPr>
      </w:pPr>
      <w:r>
        <w:rPr>
          <w:rFonts w:hint="eastAsia"/>
          <w:b/>
          <w:bCs/>
          <w:lang w:val="en-US" w:eastAsia="zh-CN"/>
        </w:rPr>
        <w:t>四是</w:t>
      </w:r>
      <w:r>
        <w:rPr>
          <w:rFonts w:hint="eastAsia"/>
          <w:lang w:val="en-US" w:eastAsia="zh-CN"/>
        </w:rPr>
        <w:t>通过对相关资料进行综合分析，按照确定的评价指标和标准，结合现场评价情况，得出评价结论，形成绩效评价报告。</w:t>
      </w:r>
    </w:p>
    <w:p>
      <w:pPr>
        <w:pStyle w:val="3"/>
        <w:bidi w:val="0"/>
        <w:rPr>
          <w:rFonts w:hint="eastAsia"/>
          <w:lang w:val="en-US" w:eastAsia="zh-CN"/>
        </w:rPr>
      </w:pPr>
      <w:bookmarkStart w:id="23" w:name="_Toc26716"/>
      <w:bookmarkStart w:id="24" w:name="_Toc30150"/>
      <w:r>
        <w:rPr>
          <w:rFonts w:hint="eastAsia"/>
          <w:lang w:val="en-US" w:eastAsia="zh-CN"/>
        </w:rPr>
        <w:t>三、项目主要绩效及评价结论</w:t>
      </w:r>
      <w:bookmarkEnd w:id="23"/>
      <w:bookmarkEnd w:id="24"/>
    </w:p>
    <w:p>
      <w:pPr>
        <w:pStyle w:val="4"/>
        <w:bidi w:val="0"/>
        <w:rPr>
          <w:rFonts w:hint="eastAsia"/>
          <w:lang w:val="en-US" w:eastAsia="zh-CN"/>
        </w:rPr>
      </w:pPr>
      <w:bookmarkStart w:id="25" w:name="_Toc9408"/>
      <w:bookmarkStart w:id="26" w:name="_Toc31050"/>
      <w:r>
        <w:rPr>
          <w:rFonts w:hint="eastAsia"/>
          <w:lang w:val="en-US" w:eastAsia="zh-CN"/>
        </w:rPr>
        <w:t>（一）项目主要产出</w:t>
      </w:r>
      <w:bookmarkEnd w:id="25"/>
      <w:bookmarkEnd w:id="26"/>
    </w:p>
    <w:p>
      <w:pPr>
        <w:pStyle w:val="5"/>
        <w:bidi w:val="0"/>
        <w:rPr>
          <w:rFonts w:hint="eastAsia"/>
          <w:lang w:val="en-US" w:eastAsia="zh-CN"/>
        </w:rPr>
      </w:pPr>
      <w:r>
        <w:rPr>
          <w:rFonts w:hint="default"/>
          <w:lang w:eastAsia="zh-CN"/>
        </w:rPr>
        <w:t>1、</w:t>
      </w:r>
      <w:r>
        <w:rPr>
          <w:rFonts w:hint="eastAsia"/>
          <w:lang w:val="en-US" w:eastAsia="zh-CN"/>
        </w:rPr>
        <w:t>抽查人员和设备配置情况</w:t>
      </w:r>
    </w:p>
    <w:p>
      <w:pPr>
        <w:rPr>
          <w:rFonts w:hint="default"/>
          <w:lang w:val="en-US" w:eastAsia="zh-CN"/>
        </w:rPr>
      </w:pPr>
      <w:r>
        <w:rPr>
          <w:rFonts w:hint="default"/>
          <w:lang w:val="en-US" w:eastAsia="zh-CN"/>
        </w:rPr>
        <w:t>包一：湖南仁仁洁国际清洁科技集团股份有限公司</w:t>
      </w:r>
    </w:p>
    <w:tbl>
      <w:tblPr>
        <w:tblStyle w:val="17"/>
        <w:tblW w:w="8311"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1603"/>
        <w:gridCol w:w="2143"/>
        <w:gridCol w:w="2636"/>
        <w:gridCol w:w="1929"/>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60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bCs w:val="0"/>
                <w:kern w:val="0"/>
                <w:sz w:val="18"/>
                <w:szCs w:val="18"/>
              </w:rPr>
            </w:pPr>
            <w:r>
              <w:rPr>
                <w:rFonts w:ascii="Times New Roman" w:hAnsi="Times New Roman" w:eastAsia="宋体" w:cs="Times New Roman"/>
                <w:b/>
                <w:bCs w:val="0"/>
                <w:kern w:val="0"/>
                <w:sz w:val="18"/>
                <w:szCs w:val="18"/>
              </w:rPr>
              <w:t>内容</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val="0"/>
                <w:kern w:val="0"/>
                <w:sz w:val="18"/>
                <w:szCs w:val="18"/>
                <w:lang w:val="en-US" w:eastAsia="zh-CN"/>
              </w:rPr>
            </w:pPr>
            <w:r>
              <w:rPr>
                <w:rFonts w:ascii="Times New Roman" w:hAnsi="Times New Roman" w:eastAsia="宋体" w:cs="Times New Roman"/>
                <w:b/>
                <w:bCs w:val="0"/>
                <w:kern w:val="0"/>
                <w:sz w:val="18"/>
                <w:szCs w:val="18"/>
              </w:rPr>
              <w:t>合同约定</w:t>
            </w:r>
            <w:r>
              <w:rPr>
                <w:rFonts w:hint="eastAsia" w:ascii="Times New Roman" w:hAnsi="Times New Roman" w:eastAsia="宋体" w:cs="Times New Roman"/>
                <w:b/>
                <w:bCs w:val="0"/>
                <w:kern w:val="0"/>
                <w:sz w:val="18"/>
                <w:szCs w:val="18"/>
                <w:lang w:val="en-US" w:eastAsia="zh-CN"/>
              </w:rPr>
              <w:t>配置数量</w:t>
            </w:r>
          </w:p>
        </w:tc>
        <w:tc>
          <w:tcPr>
            <w:tcW w:w="26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val="0"/>
                <w:kern w:val="0"/>
                <w:sz w:val="18"/>
                <w:szCs w:val="18"/>
                <w:lang w:val="en-US" w:eastAsia="zh-CN"/>
              </w:rPr>
            </w:pPr>
            <w:r>
              <w:rPr>
                <w:rFonts w:ascii="Times New Roman" w:hAnsi="Times New Roman" w:eastAsia="宋体" w:cs="Times New Roman"/>
                <w:b/>
                <w:bCs w:val="0"/>
                <w:kern w:val="0"/>
                <w:sz w:val="18"/>
                <w:szCs w:val="18"/>
              </w:rPr>
              <w:t>实际配置</w:t>
            </w:r>
            <w:r>
              <w:rPr>
                <w:rFonts w:hint="eastAsia" w:ascii="Times New Roman" w:hAnsi="Times New Roman" w:eastAsia="宋体" w:cs="Times New Roman"/>
                <w:b/>
                <w:bCs w:val="0"/>
                <w:kern w:val="0"/>
                <w:sz w:val="18"/>
                <w:szCs w:val="18"/>
                <w:lang w:val="en-US" w:eastAsia="zh-CN"/>
              </w:rPr>
              <w:t>数量</w:t>
            </w:r>
          </w:p>
        </w:tc>
        <w:tc>
          <w:tcPr>
            <w:tcW w:w="192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val="0"/>
                <w:kern w:val="0"/>
                <w:sz w:val="18"/>
                <w:szCs w:val="18"/>
                <w:lang w:val="en-US" w:eastAsia="zh-CN"/>
              </w:rPr>
            </w:pPr>
            <w:r>
              <w:rPr>
                <w:rFonts w:hint="eastAsia" w:ascii="Times New Roman" w:hAnsi="Times New Roman" w:eastAsia="宋体" w:cs="Times New Roman"/>
                <w:b/>
                <w:bCs w:val="0"/>
                <w:kern w:val="0"/>
                <w:sz w:val="18"/>
                <w:szCs w:val="18"/>
                <w:lang w:val="en-US" w:eastAsia="zh-CN"/>
              </w:rPr>
              <w:t>配置率</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60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配置车辆</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21</w:t>
            </w:r>
          </w:p>
        </w:tc>
        <w:tc>
          <w:tcPr>
            <w:tcW w:w="26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18</w:t>
            </w:r>
          </w:p>
        </w:tc>
        <w:tc>
          <w:tcPr>
            <w:tcW w:w="192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kern w:val="0"/>
                <w:sz w:val="18"/>
                <w:szCs w:val="18"/>
                <w:lang w:val="en-US" w:eastAsia="zh-CN"/>
              </w:rPr>
            </w:pPr>
            <w:r>
              <w:rPr>
                <w:rFonts w:hint="default" w:ascii="Times New Roman" w:hAnsi="Times New Roman" w:eastAsia="宋体" w:cs="Times New Roman"/>
                <w:b w:val="0"/>
                <w:bCs/>
                <w:kern w:val="0"/>
                <w:sz w:val="18"/>
                <w:szCs w:val="18"/>
                <w:lang w:val="en-US" w:eastAsia="zh-CN"/>
              </w:rPr>
              <w:t>86%</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60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配置人员</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193</w:t>
            </w:r>
          </w:p>
        </w:tc>
        <w:tc>
          <w:tcPr>
            <w:tcW w:w="26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147</w:t>
            </w:r>
          </w:p>
        </w:tc>
        <w:tc>
          <w:tcPr>
            <w:tcW w:w="192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default" w:ascii="Times New Roman" w:hAnsi="Times New Roman" w:eastAsia="宋体" w:cs="Times New Roman"/>
                <w:b w:val="0"/>
                <w:bCs/>
                <w:kern w:val="0"/>
                <w:sz w:val="18"/>
                <w:szCs w:val="18"/>
                <w:lang w:val="en-US" w:eastAsia="zh-CN"/>
              </w:rPr>
              <w:t>76%</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60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highlight w:val="none"/>
              </w:rPr>
            </w:pPr>
            <w:r>
              <w:rPr>
                <w:rFonts w:ascii="Times New Roman" w:hAnsi="Times New Roman" w:eastAsia="宋体" w:cs="Times New Roman"/>
                <w:b w:val="0"/>
                <w:bCs/>
                <w:kern w:val="0"/>
                <w:sz w:val="18"/>
                <w:szCs w:val="18"/>
                <w:highlight w:val="none"/>
              </w:rPr>
              <w:t>其中配备司机</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ascii="Times New Roman" w:hAnsi="Times New Roman" w:eastAsia="宋体" w:cs="Times New Roman"/>
                <w:b w:val="0"/>
                <w:bCs/>
                <w:kern w:val="0"/>
                <w:sz w:val="18"/>
                <w:szCs w:val="18"/>
                <w:highlight w:val="none"/>
              </w:rPr>
            </w:pPr>
            <w:r>
              <w:rPr>
                <w:rFonts w:ascii="Times New Roman" w:hAnsi="Times New Roman" w:eastAsia="宋体" w:cs="Times New Roman"/>
                <w:b w:val="0"/>
                <w:bCs/>
                <w:kern w:val="0"/>
                <w:sz w:val="18"/>
                <w:szCs w:val="18"/>
                <w:highlight w:val="none"/>
              </w:rPr>
              <w:t>17</w:t>
            </w:r>
          </w:p>
        </w:tc>
        <w:tc>
          <w:tcPr>
            <w:tcW w:w="263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kern w:val="0"/>
                <w:sz w:val="18"/>
                <w:szCs w:val="18"/>
                <w:highlight w:val="none"/>
                <w:lang w:val="en-US" w:eastAsia="zh-CN"/>
              </w:rPr>
            </w:pPr>
            <w:r>
              <w:rPr>
                <w:rFonts w:hint="eastAsia" w:ascii="Times New Roman" w:hAnsi="Times New Roman" w:eastAsia="宋体" w:cs="Times New Roman"/>
                <w:b w:val="0"/>
                <w:bCs/>
                <w:kern w:val="0"/>
                <w:sz w:val="18"/>
                <w:szCs w:val="18"/>
                <w:highlight w:val="none"/>
                <w:lang w:val="en-US" w:eastAsia="zh-CN"/>
              </w:rPr>
              <w:t>14</w:t>
            </w:r>
          </w:p>
        </w:tc>
        <w:tc>
          <w:tcPr>
            <w:tcW w:w="192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default" w:ascii="Times New Roman" w:hAnsi="Times New Roman" w:eastAsia="宋体" w:cs="Times New Roman"/>
                <w:b w:val="0"/>
                <w:bCs/>
                <w:kern w:val="0"/>
                <w:sz w:val="18"/>
                <w:szCs w:val="18"/>
                <w:lang w:val="en-US" w:eastAsia="zh-CN"/>
              </w:rPr>
              <w:t>82%</w:t>
            </w:r>
          </w:p>
        </w:tc>
      </w:tr>
    </w:tbl>
    <w:p>
      <w:pPr>
        <w:bidi w:val="0"/>
        <w:rPr>
          <w:rFonts w:hint="default"/>
          <w:lang w:val="en-US" w:eastAsia="zh-CN"/>
        </w:rPr>
      </w:pPr>
      <w:r>
        <w:rPr>
          <w:rFonts w:hint="default"/>
          <w:lang w:val="en-US" w:eastAsia="zh-CN"/>
        </w:rPr>
        <w:t>完成城区主干道 12 条、城外主干道 1条、小街小巷覆盖6个社区、中转站6个，公厕12座的清扫工作。</w:t>
      </w:r>
    </w:p>
    <w:p>
      <w:pPr>
        <w:bidi w:val="0"/>
      </w:pPr>
      <w:r>
        <w:t>包二：鸿鑫环境科技有限公司邵阳分公司</w:t>
      </w:r>
    </w:p>
    <w:tbl>
      <w:tblPr>
        <w:tblStyle w:val="17"/>
        <w:tblW w:w="8266"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1583"/>
        <w:gridCol w:w="2143"/>
        <w:gridCol w:w="2657"/>
        <w:gridCol w:w="1883"/>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5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val="0"/>
                <w:kern w:val="0"/>
                <w:sz w:val="18"/>
                <w:szCs w:val="18"/>
              </w:rPr>
            </w:pPr>
            <w:r>
              <w:rPr>
                <w:rFonts w:hint="eastAsia" w:ascii="Times New Roman" w:hAnsi="Times New Roman" w:eastAsia="宋体" w:cs="Times New Roman"/>
                <w:b/>
                <w:bCs w:val="0"/>
                <w:kern w:val="0"/>
                <w:sz w:val="18"/>
                <w:szCs w:val="18"/>
              </w:rPr>
              <w:t>内容</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val="0"/>
                <w:kern w:val="0"/>
                <w:sz w:val="18"/>
                <w:szCs w:val="18"/>
                <w:lang w:val="en-US" w:eastAsia="zh-CN"/>
              </w:rPr>
            </w:pPr>
            <w:r>
              <w:rPr>
                <w:rFonts w:hint="eastAsia" w:ascii="Times New Roman" w:hAnsi="Times New Roman" w:eastAsia="宋体" w:cs="Times New Roman"/>
                <w:b/>
                <w:bCs w:val="0"/>
                <w:kern w:val="0"/>
                <w:sz w:val="18"/>
                <w:szCs w:val="18"/>
              </w:rPr>
              <w:t>合同</w:t>
            </w:r>
            <w:r>
              <w:rPr>
                <w:rFonts w:hint="eastAsia" w:eastAsia="宋体" w:cs="Times New Roman"/>
                <w:b/>
                <w:bCs w:val="0"/>
                <w:kern w:val="0"/>
                <w:sz w:val="18"/>
                <w:szCs w:val="18"/>
                <w:lang w:eastAsia="zh-CN"/>
              </w:rPr>
              <w:t>约定</w:t>
            </w:r>
            <w:r>
              <w:rPr>
                <w:rFonts w:hint="eastAsia" w:ascii="Times New Roman" w:hAnsi="Times New Roman" w:eastAsia="宋体" w:cs="Times New Roman"/>
                <w:b/>
                <w:bCs w:val="0"/>
                <w:kern w:val="0"/>
                <w:sz w:val="18"/>
                <w:szCs w:val="18"/>
                <w:lang w:val="en-US" w:eastAsia="zh-CN"/>
              </w:rPr>
              <w:t>配置数量</w:t>
            </w:r>
          </w:p>
        </w:tc>
        <w:tc>
          <w:tcPr>
            <w:tcW w:w="26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val="0"/>
                <w:kern w:val="0"/>
                <w:sz w:val="18"/>
                <w:szCs w:val="18"/>
                <w:lang w:val="en-US" w:eastAsia="zh-CN"/>
              </w:rPr>
            </w:pPr>
            <w:r>
              <w:rPr>
                <w:rFonts w:hint="eastAsia" w:ascii="Times New Roman" w:hAnsi="Times New Roman" w:eastAsia="宋体" w:cs="Times New Roman"/>
                <w:b/>
                <w:bCs w:val="0"/>
                <w:kern w:val="0"/>
                <w:sz w:val="18"/>
                <w:szCs w:val="18"/>
              </w:rPr>
              <w:t>实际配置</w:t>
            </w:r>
            <w:r>
              <w:rPr>
                <w:rFonts w:hint="eastAsia" w:ascii="Times New Roman" w:hAnsi="Times New Roman" w:eastAsia="宋体" w:cs="Times New Roman"/>
                <w:b/>
                <w:bCs w:val="0"/>
                <w:kern w:val="0"/>
                <w:sz w:val="18"/>
                <w:szCs w:val="18"/>
                <w:lang w:val="en-US" w:eastAsia="zh-CN"/>
              </w:rPr>
              <w:t>数量</w:t>
            </w:r>
          </w:p>
        </w:tc>
        <w:tc>
          <w:tcPr>
            <w:tcW w:w="18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val="0"/>
                <w:kern w:val="0"/>
                <w:sz w:val="18"/>
                <w:szCs w:val="18"/>
                <w:lang w:val="en-US" w:eastAsia="zh-CN"/>
              </w:rPr>
            </w:pPr>
            <w:r>
              <w:rPr>
                <w:rFonts w:hint="eastAsia" w:ascii="Times New Roman" w:hAnsi="Times New Roman" w:eastAsia="宋体" w:cs="Times New Roman"/>
                <w:b/>
                <w:bCs w:val="0"/>
                <w:kern w:val="0"/>
                <w:sz w:val="18"/>
                <w:szCs w:val="18"/>
                <w:lang w:val="en-US" w:eastAsia="zh-CN"/>
              </w:rPr>
              <w:t>配置率</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5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rPr>
            </w:pPr>
            <w:r>
              <w:rPr>
                <w:rFonts w:hint="eastAsia" w:ascii="Times New Roman" w:hAnsi="Times New Roman" w:eastAsia="宋体" w:cs="Times New Roman"/>
                <w:b w:val="0"/>
                <w:bCs/>
                <w:kern w:val="0"/>
                <w:sz w:val="18"/>
                <w:szCs w:val="18"/>
              </w:rPr>
              <w:t>配置车辆</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rPr>
            </w:pPr>
            <w:r>
              <w:rPr>
                <w:rFonts w:hint="eastAsia" w:ascii="Times New Roman" w:hAnsi="Times New Roman" w:eastAsia="宋体" w:cs="Times New Roman"/>
                <w:b w:val="0"/>
                <w:bCs/>
                <w:kern w:val="0"/>
                <w:sz w:val="18"/>
                <w:szCs w:val="18"/>
              </w:rPr>
              <w:t>26</w:t>
            </w:r>
          </w:p>
        </w:tc>
        <w:tc>
          <w:tcPr>
            <w:tcW w:w="26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14</w:t>
            </w:r>
          </w:p>
        </w:tc>
        <w:tc>
          <w:tcPr>
            <w:tcW w:w="18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54%</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5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rPr>
            </w:pPr>
            <w:r>
              <w:rPr>
                <w:rFonts w:hint="eastAsia" w:ascii="Times New Roman" w:hAnsi="Times New Roman" w:eastAsia="宋体" w:cs="Times New Roman"/>
                <w:b w:val="0"/>
                <w:bCs/>
                <w:kern w:val="0"/>
                <w:sz w:val="18"/>
                <w:szCs w:val="18"/>
              </w:rPr>
              <w:t>配置人员</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230</w:t>
            </w:r>
          </w:p>
        </w:tc>
        <w:tc>
          <w:tcPr>
            <w:tcW w:w="26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159</w:t>
            </w:r>
          </w:p>
        </w:tc>
        <w:tc>
          <w:tcPr>
            <w:tcW w:w="18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69%</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5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highlight w:val="none"/>
              </w:rPr>
            </w:pPr>
            <w:r>
              <w:rPr>
                <w:rFonts w:hint="eastAsia" w:ascii="Times New Roman" w:hAnsi="Times New Roman" w:eastAsia="宋体" w:cs="Times New Roman"/>
                <w:b w:val="0"/>
                <w:bCs/>
                <w:kern w:val="0"/>
                <w:sz w:val="18"/>
                <w:szCs w:val="18"/>
                <w:highlight w:val="none"/>
              </w:rPr>
              <w:t>其中配备司机</w:t>
            </w:r>
          </w:p>
        </w:tc>
        <w:tc>
          <w:tcPr>
            <w:tcW w:w="214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highlight w:val="none"/>
              </w:rPr>
            </w:pPr>
            <w:r>
              <w:rPr>
                <w:rFonts w:hint="eastAsia" w:ascii="Times New Roman" w:hAnsi="Times New Roman" w:eastAsia="宋体" w:cs="Times New Roman"/>
                <w:b w:val="0"/>
                <w:bCs/>
                <w:kern w:val="0"/>
                <w:sz w:val="18"/>
                <w:szCs w:val="18"/>
                <w:highlight w:val="none"/>
              </w:rPr>
              <w:t>19</w:t>
            </w:r>
          </w:p>
        </w:tc>
        <w:tc>
          <w:tcPr>
            <w:tcW w:w="265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highlight w:val="none"/>
                <w:lang w:val="en-US" w:eastAsia="zh-CN"/>
              </w:rPr>
            </w:pPr>
            <w:r>
              <w:rPr>
                <w:rFonts w:hint="eastAsia" w:ascii="Times New Roman" w:hAnsi="Times New Roman" w:eastAsia="宋体" w:cs="Times New Roman"/>
                <w:b w:val="0"/>
                <w:bCs/>
                <w:kern w:val="0"/>
                <w:sz w:val="18"/>
                <w:szCs w:val="18"/>
                <w:highlight w:val="none"/>
                <w:lang w:val="en-US" w:eastAsia="zh-CN"/>
              </w:rPr>
              <w:t>17</w:t>
            </w:r>
          </w:p>
        </w:tc>
        <w:tc>
          <w:tcPr>
            <w:tcW w:w="1883"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kern w:val="0"/>
                <w:sz w:val="18"/>
                <w:szCs w:val="18"/>
                <w:lang w:val="en-US" w:eastAsia="zh-CN"/>
              </w:rPr>
            </w:pPr>
            <w:r>
              <w:rPr>
                <w:rFonts w:hint="eastAsia" w:ascii="Times New Roman" w:hAnsi="Times New Roman" w:eastAsia="宋体" w:cs="Times New Roman"/>
                <w:b w:val="0"/>
                <w:bCs/>
                <w:kern w:val="0"/>
                <w:sz w:val="18"/>
                <w:szCs w:val="18"/>
                <w:lang w:val="en-US" w:eastAsia="zh-CN"/>
              </w:rPr>
              <w:t>89%</w:t>
            </w:r>
          </w:p>
        </w:tc>
      </w:tr>
    </w:tbl>
    <w:p>
      <w:pPr>
        <w:bidi w:val="0"/>
        <w:rPr>
          <w:rFonts w:hint="default"/>
          <w:lang w:val="en-US" w:eastAsia="zh-CN"/>
        </w:rPr>
      </w:pPr>
      <w:r>
        <w:rPr>
          <w:rFonts w:hint="eastAsia"/>
        </w:rPr>
        <w:t xml:space="preserve">完成城区主干道 10 条、小街小巷覆盖6个社区、中转站 </w:t>
      </w:r>
      <w:r>
        <w:rPr>
          <w:rFonts w:hint="eastAsia"/>
          <w:lang w:val="en-US" w:eastAsia="zh-CN"/>
        </w:rPr>
        <w:t>14</w:t>
      </w:r>
      <w:r>
        <w:rPr>
          <w:rFonts w:hint="eastAsia"/>
        </w:rPr>
        <w:t xml:space="preserve"> 个、公厕 </w:t>
      </w:r>
      <w:r>
        <w:rPr>
          <w:rFonts w:hint="eastAsia"/>
          <w:lang w:val="en-US" w:eastAsia="zh-CN"/>
        </w:rPr>
        <w:t>29</w:t>
      </w:r>
      <w:r>
        <w:rPr>
          <w:rFonts w:hint="eastAsia"/>
        </w:rPr>
        <w:t>座的清扫工作。</w:t>
      </w:r>
    </w:p>
    <w:p>
      <w:pPr>
        <w:pStyle w:val="5"/>
        <w:bidi w:val="0"/>
        <w:rPr>
          <w:rFonts w:hint="eastAsia"/>
        </w:rPr>
      </w:pPr>
      <w:r>
        <w:rPr>
          <w:rFonts w:hint="default"/>
          <w:lang w:eastAsia="zh-CN"/>
        </w:rPr>
        <w:t>2、</w:t>
      </w:r>
      <w:r>
        <w:rPr>
          <w:rFonts w:hint="eastAsia"/>
        </w:rPr>
        <w:t>质量检查情况</w:t>
      </w:r>
    </w:p>
    <w:p>
      <w:pPr>
        <w:bidi w:val="0"/>
        <w:rPr>
          <w:rFonts w:hint="eastAsia"/>
        </w:rPr>
      </w:pPr>
      <w:r>
        <w:t>根据</w:t>
      </w:r>
      <w:r>
        <w:rPr>
          <w:rFonts w:hint="eastAsia"/>
          <w:lang w:eastAsia="zh-CN"/>
        </w:rPr>
        <w:t>《</w:t>
      </w:r>
      <w:r>
        <w:rPr>
          <w:rFonts w:hint="eastAsia"/>
          <w:lang w:val="en-US" w:eastAsia="zh-CN"/>
        </w:rPr>
        <w:t>邵阳市城市管理委员会办公室2022年</w:t>
      </w:r>
      <w:r>
        <w:t>市区市容环境卫生明检情况通报</w:t>
      </w:r>
      <w:r>
        <w:rPr>
          <w:rFonts w:hint="eastAsia"/>
          <w:lang w:eastAsia="zh-CN"/>
        </w:rPr>
        <w:t>》</w:t>
      </w:r>
      <w:r>
        <w:t>“北塔区明检问题一览表”通报情况，各项得分情况如下表：</w:t>
      </w:r>
    </w:p>
    <w:tbl>
      <w:tblPr>
        <w:tblStyle w:val="17"/>
        <w:tblW w:w="8361" w:type="dxa"/>
        <w:jc w:val="center"/>
        <w:tblBorders>
          <w:top w:val="single" w:color="auto" w:sz="8" w:space="0"/>
          <w:left w:val="none" w:color="auto" w:sz="0" w:space="0"/>
          <w:bottom w:val="single" w:color="auto" w:sz="8" w:space="0"/>
          <w:right w:val="none" w:color="auto" w:sz="0" w:space="0"/>
          <w:insideH w:val="dotted" w:color="auto" w:sz="8" w:space="0"/>
          <w:insideV w:val="dotted" w:color="auto" w:sz="8" w:space="0"/>
        </w:tblBorders>
        <w:tblLayout w:type="fixed"/>
        <w:tblCellMar>
          <w:top w:w="0" w:type="dxa"/>
          <w:left w:w="108" w:type="dxa"/>
          <w:bottom w:w="0" w:type="dxa"/>
          <w:right w:w="108" w:type="dxa"/>
        </w:tblCellMar>
      </w:tblPr>
      <w:tblGrid>
        <w:gridCol w:w="1876"/>
        <w:gridCol w:w="1328"/>
        <w:gridCol w:w="1417"/>
        <w:gridCol w:w="1276"/>
        <w:gridCol w:w="1454"/>
        <w:gridCol w:w="1010"/>
      </w:tblGrid>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PrEx>
        <w:trPr>
          <w:trHeight w:val="340" w:hRule="atLeast"/>
          <w:tblHeader/>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bCs/>
                <w:kern w:val="0"/>
                <w:sz w:val="18"/>
                <w:szCs w:val="20"/>
              </w:rPr>
            </w:pPr>
            <w:r>
              <w:rPr>
                <w:rFonts w:ascii="Times New Roman" w:hAnsi="Times New Roman" w:eastAsia="宋体" w:cs="Times New Roman"/>
                <w:b/>
                <w:bCs/>
                <w:kern w:val="0"/>
                <w:sz w:val="18"/>
                <w:szCs w:val="20"/>
              </w:rPr>
              <w:t>内容</w:t>
            </w:r>
          </w:p>
        </w:tc>
        <w:tc>
          <w:tcPr>
            <w:tcW w:w="132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bCs/>
                <w:kern w:val="0"/>
                <w:sz w:val="18"/>
                <w:szCs w:val="20"/>
              </w:rPr>
            </w:pPr>
            <w:r>
              <w:rPr>
                <w:rFonts w:hint="default" w:ascii="Times New Roman" w:hAnsi="Times New Roman" w:eastAsia="宋体" w:cs="Times New Roman"/>
                <w:b/>
                <w:bCs/>
                <w:kern w:val="0"/>
                <w:sz w:val="18"/>
                <w:szCs w:val="20"/>
                <w:lang w:val="en-US" w:eastAsia="zh-CN"/>
              </w:rPr>
              <w:t>2022年2月</w:t>
            </w:r>
          </w:p>
        </w:tc>
        <w:tc>
          <w:tcPr>
            <w:tcW w:w="141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Times New Roman"/>
                <w:b/>
                <w:bCs/>
                <w:kern w:val="0"/>
                <w:sz w:val="18"/>
                <w:szCs w:val="20"/>
                <w:lang w:val="en-US" w:eastAsia="zh-CN"/>
              </w:rPr>
            </w:pPr>
            <w:r>
              <w:rPr>
                <w:rFonts w:hint="default" w:ascii="Times New Roman" w:hAnsi="Times New Roman" w:eastAsia="宋体" w:cs="Times New Roman"/>
                <w:b/>
                <w:bCs/>
                <w:kern w:val="0"/>
                <w:sz w:val="18"/>
                <w:szCs w:val="20"/>
                <w:lang w:val="en-US" w:eastAsia="zh-CN"/>
              </w:rPr>
              <w:t>2022</w:t>
            </w:r>
            <w:r>
              <w:rPr>
                <w:rFonts w:ascii="Times New Roman" w:hAnsi="Times New Roman" w:eastAsia="宋体" w:cs="Times New Roman"/>
                <w:b/>
                <w:bCs/>
                <w:kern w:val="0"/>
                <w:sz w:val="18"/>
                <w:szCs w:val="20"/>
                <w:lang w:val="en-US" w:eastAsia="zh-CN"/>
              </w:rPr>
              <w:t>年5月第二次</w:t>
            </w:r>
          </w:p>
        </w:tc>
        <w:tc>
          <w:tcPr>
            <w:tcW w:w="12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bCs/>
                <w:kern w:val="0"/>
                <w:sz w:val="18"/>
                <w:szCs w:val="20"/>
              </w:rPr>
            </w:pPr>
            <w:r>
              <w:rPr>
                <w:rFonts w:hint="default" w:ascii="Times New Roman" w:hAnsi="Times New Roman" w:eastAsia="宋体" w:cs="Times New Roman"/>
                <w:b/>
                <w:bCs/>
                <w:kern w:val="0"/>
                <w:sz w:val="18"/>
                <w:szCs w:val="20"/>
                <w:lang w:val="en-US" w:eastAsia="zh-CN"/>
              </w:rPr>
              <w:t>2022年7月</w:t>
            </w:r>
          </w:p>
        </w:tc>
        <w:tc>
          <w:tcPr>
            <w:tcW w:w="1454"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bCs/>
                <w:kern w:val="0"/>
                <w:sz w:val="18"/>
                <w:szCs w:val="20"/>
              </w:rPr>
            </w:pPr>
            <w:r>
              <w:rPr>
                <w:rFonts w:hint="default" w:ascii="Times New Roman" w:hAnsi="Times New Roman" w:eastAsia="宋体" w:cs="Times New Roman"/>
                <w:b/>
                <w:bCs/>
                <w:kern w:val="0"/>
                <w:sz w:val="18"/>
                <w:szCs w:val="20"/>
                <w:lang w:val="en-US" w:eastAsia="zh-CN"/>
              </w:rPr>
              <w:t>2022</w:t>
            </w:r>
            <w:r>
              <w:rPr>
                <w:rFonts w:ascii="Times New Roman" w:hAnsi="Times New Roman" w:eastAsia="宋体" w:cs="Times New Roman"/>
                <w:b/>
                <w:bCs/>
                <w:kern w:val="0"/>
                <w:sz w:val="18"/>
                <w:szCs w:val="20"/>
                <w:lang w:val="en-US" w:eastAsia="zh-CN"/>
              </w:rPr>
              <w:t>年10月第一次</w:t>
            </w:r>
          </w:p>
        </w:tc>
        <w:tc>
          <w:tcPr>
            <w:tcW w:w="101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bCs/>
                <w:kern w:val="0"/>
                <w:sz w:val="18"/>
                <w:szCs w:val="20"/>
              </w:rPr>
            </w:pPr>
            <w:r>
              <w:rPr>
                <w:rFonts w:ascii="Times New Roman" w:hAnsi="Times New Roman" w:eastAsia="宋体" w:cs="Times New Roman"/>
                <w:b/>
                <w:bCs/>
                <w:kern w:val="0"/>
                <w:sz w:val="18"/>
                <w:szCs w:val="20"/>
                <w:lang w:val="en-US" w:eastAsia="zh-CN"/>
              </w:rPr>
              <w:t>平均得分</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Times New Roman"/>
                <w:b w:val="0"/>
                <w:bCs w:val="0"/>
                <w:i w:val="0"/>
                <w:iCs w:val="0"/>
                <w:kern w:val="0"/>
                <w:sz w:val="18"/>
                <w:szCs w:val="20"/>
                <w:lang w:val="en-US" w:eastAsia="zh-CN"/>
              </w:rPr>
            </w:pPr>
            <w:r>
              <w:rPr>
                <w:rFonts w:hint="eastAsia" w:ascii="Times New Roman" w:hAnsi="Times New Roman" w:eastAsia="宋体" w:cs="Times New Roman"/>
                <w:b w:val="0"/>
                <w:bCs w:val="0"/>
                <w:i w:val="0"/>
                <w:iCs w:val="0"/>
                <w:kern w:val="0"/>
                <w:sz w:val="18"/>
                <w:szCs w:val="20"/>
                <w:lang w:val="en-US" w:eastAsia="zh-CN"/>
              </w:rPr>
              <w:t>市容秩序</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83.9</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81.6</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85</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88</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84.625</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val="0"/>
                <w:bCs w:val="0"/>
                <w:i w:val="0"/>
                <w:iCs w:val="0"/>
                <w:kern w:val="0"/>
                <w:sz w:val="18"/>
                <w:szCs w:val="20"/>
              </w:rPr>
            </w:pPr>
            <w:r>
              <w:rPr>
                <w:rFonts w:ascii="Times New Roman" w:hAnsi="Times New Roman" w:eastAsia="宋体" w:cs="Times New Roman"/>
                <w:b w:val="0"/>
                <w:bCs w:val="0"/>
                <w:i w:val="0"/>
                <w:iCs w:val="0"/>
                <w:kern w:val="0"/>
                <w:sz w:val="18"/>
                <w:szCs w:val="20"/>
              </w:rPr>
              <w:t>环境卫生</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82.3</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80.6</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79.5</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87</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82.35</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val="0"/>
                <w:bCs w:val="0"/>
                <w:i w:val="0"/>
                <w:iCs w:val="0"/>
                <w:kern w:val="0"/>
                <w:sz w:val="18"/>
                <w:szCs w:val="20"/>
              </w:rPr>
            </w:pPr>
            <w:r>
              <w:rPr>
                <w:rFonts w:ascii="Times New Roman" w:hAnsi="Times New Roman" w:eastAsia="宋体" w:cs="Times New Roman"/>
                <w:b w:val="0"/>
                <w:bCs w:val="0"/>
                <w:i w:val="0"/>
                <w:iCs w:val="0"/>
                <w:kern w:val="0"/>
                <w:sz w:val="18"/>
                <w:szCs w:val="20"/>
              </w:rPr>
              <w:t>小街小巷</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70</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77.9</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81.3</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78.4</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76.9</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Times New Roman"/>
                <w:b w:val="0"/>
                <w:bCs w:val="0"/>
                <w:i w:val="0"/>
                <w:iCs w:val="0"/>
                <w:kern w:val="0"/>
                <w:sz w:val="18"/>
                <w:szCs w:val="20"/>
                <w:lang w:val="en-US" w:eastAsia="zh-CN"/>
              </w:rPr>
            </w:pPr>
            <w:r>
              <w:rPr>
                <w:rFonts w:hint="eastAsia" w:ascii="Times New Roman" w:hAnsi="Times New Roman" w:eastAsia="宋体" w:cs="Times New Roman"/>
                <w:b w:val="0"/>
                <w:bCs w:val="0"/>
                <w:i w:val="0"/>
                <w:iCs w:val="0"/>
                <w:kern w:val="0"/>
                <w:sz w:val="18"/>
                <w:szCs w:val="20"/>
                <w:lang w:val="en-US" w:eastAsia="zh-CN"/>
              </w:rPr>
              <w:t>农贸市场</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80</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84</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82.5</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val="0"/>
                <w:bCs w:val="0"/>
                <w:i w:val="0"/>
                <w:iCs w:val="0"/>
                <w:kern w:val="0"/>
                <w:sz w:val="18"/>
                <w:szCs w:val="20"/>
              </w:rPr>
            </w:pPr>
            <w:r>
              <w:rPr>
                <w:rFonts w:ascii="Times New Roman" w:hAnsi="Times New Roman" w:eastAsia="宋体" w:cs="Times New Roman"/>
                <w:b w:val="0"/>
                <w:bCs w:val="0"/>
                <w:i w:val="0"/>
                <w:iCs w:val="0"/>
                <w:kern w:val="0"/>
                <w:sz w:val="18"/>
                <w:szCs w:val="20"/>
              </w:rPr>
              <w:t>公厕及垃圾中转站</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82.75</w:t>
            </w:r>
          </w:p>
        </w:tc>
      </w:tr>
      <w:tr>
        <w:tblPrEx>
          <w:tblBorders>
            <w:top w:val="single" w:color="auto" w:sz="8" w:space="0"/>
            <w:left w:val="none" w:color="auto" w:sz="0" w:space="0"/>
            <w:bottom w:val="single" w:color="auto" w:sz="8" w:space="0"/>
            <w:right w:val="none" w:color="auto" w:sz="0" w:space="0"/>
            <w:insideH w:val="dotted" w:color="auto" w:sz="8" w:space="0"/>
            <w:insideV w:val="dotted" w:color="auto" w:sz="8" w:space="0"/>
          </w:tblBorders>
          <w:tblCellMar>
            <w:top w:w="0" w:type="dxa"/>
            <w:left w:w="108" w:type="dxa"/>
            <w:bottom w:w="0" w:type="dxa"/>
            <w:right w:w="108" w:type="dxa"/>
          </w:tblCellMar>
        </w:tblPrEx>
        <w:trPr>
          <w:trHeight w:val="340" w:hRule="atLeast"/>
          <w:jc w:val="center"/>
        </w:trPr>
        <w:tc>
          <w:tcPr>
            <w:tcW w:w="187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ascii="Times New Roman" w:hAnsi="Times New Roman" w:eastAsia="宋体" w:cs="Times New Roman"/>
                <w:b w:val="0"/>
                <w:bCs w:val="0"/>
                <w:i w:val="0"/>
                <w:iCs w:val="0"/>
                <w:kern w:val="0"/>
                <w:sz w:val="18"/>
                <w:szCs w:val="20"/>
              </w:rPr>
            </w:pPr>
            <w:r>
              <w:rPr>
                <w:rFonts w:hint="eastAsia" w:ascii="Times New Roman" w:hAnsi="Times New Roman" w:eastAsia="宋体" w:cs="Times New Roman"/>
                <w:b w:val="0"/>
                <w:bCs w:val="0"/>
                <w:i w:val="0"/>
                <w:iCs w:val="0"/>
                <w:kern w:val="0"/>
                <w:sz w:val="18"/>
                <w:szCs w:val="20"/>
                <w:lang w:val="en-US" w:eastAsia="zh-CN"/>
              </w:rPr>
              <w:t>五</w:t>
            </w:r>
            <w:r>
              <w:rPr>
                <w:rFonts w:ascii="Times New Roman" w:hAnsi="Times New Roman" w:eastAsia="宋体" w:cs="Times New Roman"/>
                <w:b w:val="0"/>
                <w:bCs w:val="0"/>
                <w:i w:val="0"/>
                <w:iCs w:val="0"/>
                <w:kern w:val="0"/>
                <w:sz w:val="18"/>
                <w:szCs w:val="20"/>
              </w:rPr>
              <w:t>项平均得分</w:t>
            </w:r>
          </w:p>
        </w:tc>
        <w:tc>
          <w:tcPr>
            <w:tcW w:w="13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79.64</w:t>
            </w:r>
          </w:p>
        </w:tc>
        <w:tc>
          <w:tcPr>
            <w:tcW w:w="14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81.42</w:t>
            </w:r>
          </w:p>
        </w:tc>
        <w:tc>
          <w:tcPr>
            <w:tcW w:w="12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82.36</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83.88</w:t>
            </w:r>
          </w:p>
        </w:tc>
        <w:tc>
          <w:tcPr>
            <w:tcW w:w="10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ascii="Times New Roman" w:hAnsi="Times New Roman" w:eastAsia="宋体" w:cs="Times New Roman"/>
                <w:b w:val="0"/>
                <w:kern w:val="0"/>
                <w:sz w:val="18"/>
                <w:szCs w:val="20"/>
              </w:rPr>
            </w:pPr>
            <w:r>
              <w:rPr>
                <w:rFonts w:hint="default" w:ascii="Times New Roman" w:hAnsi="Times New Roman" w:eastAsia="宋体" w:cs="Times New Roman"/>
                <w:b w:val="0"/>
                <w:i w:val="0"/>
                <w:iCs w:val="0"/>
                <w:color w:val="000000"/>
                <w:kern w:val="0"/>
                <w:sz w:val="18"/>
                <w:szCs w:val="20"/>
                <w:u w:val="none"/>
                <w:lang w:val="en-US" w:eastAsia="zh-CN" w:bidi="ar"/>
              </w:rPr>
              <w:t>81.825</w:t>
            </w:r>
          </w:p>
        </w:tc>
      </w:tr>
    </w:tbl>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说明：全年随机抽取4次明检情况通报作为产出质量指标完成情况值。</w:t>
      </w:r>
    </w:p>
    <w:p>
      <w:pPr>
        <w:pStyle w:val="5"/>
        <w:bidi w:val="0"/>
      </w:pPr>
      <w:r>
        <w:rPr>
          <w:rFonts w:hint="default"/>
        </w:rPr>
        <w:t>3、</w:t>
      </w:r>
      <w:r>
        <w:t>成本控制方面</w:t>
      </w:r>
    </w:p>
    <w:p>
      <w:pPr>
        <w:bidi w:val="0"/>
        <w:rPr>
          <w:rFonts w:hint="default"/>
          <w:lang w:val="en-US" w:eastAsia="zh-CN"/>
        </w:rPr>
      </w:pPr>
      <w:r>
        <w:t>项目预算</w:t>
      </w:r>
      <w:r>
        <w:rPr>
          <w:rFonts w:hint="eastAsia"/>
          <w:lang w:val="en-US" w:eastAsia="zh-CN"/>
        </w:rPr>
        <w:t>1915</w:t>
      </w:r>
      <w:r>
        <w:t>万元，</w:t>
      </w:r>
      <w:r>
        <w:rPr>
          <w:rFonts w:hint="eastAsia"/>
          <w:lang w:val="en-US" w:eastAsia="zh-CN"/>
        </w:rPr>
        <w:t>2022年</w:t>
      </w:r>
      <w:r>
        <w:t>实际支出</w:t>
      </w:r>
      <w:r>
        <w:rPr>
          <w:rFonts w:hint="eastAsia"/>
          <w:lang w:val="en-US" w:eastAsia="zh-CN"/>
        </w:rPr>
        <w:t>1724.16</w:t>
      </w:r>
      <w:r>
        <w:t>万元</w:t>
      </w:r>
      <w:r>
        <w:rPr>
          <w:rFonts w:hint="eastAsia"/>
          <w:lang w:val="en-US" w:eastAsia="zh-CN"/>
        </w:rPr>
        <w:t>未超出预算资金</w:t>
      </w:r>
      <w:r>
        <w:rPr>
          <w:rFonts w:hint="eastAsia"/>
          <w:lang w:eastAsia="zh-CN"/>
        </w:rPr>
        <w:t>。</w:t>
      </w:r>
    </w:p>
    <w:p>
      <w:pPr>
        <w:pStyle w:val="4"/>
        <w:bidi w:val="0"/>
      </w:pPr>
      <w:bookmarkStart w:id="27" w:name="_Toc17584"/>
      <w:bookmarkStart w:id="28" w:name="_Toc25702"/>
      <w:r>
        <w:rPr>
          <w:rFonts w:hint="eastAsia"/>
          <w:lang w:eastAsia="zh-CN"/>
        </w:rPr>
        <w:t>（</w:t>
      </w:r>
      <w:r>
        <w:rPr>
          <w:rFonts w:hint="eastAsia"/>
          <w:lang w:val="en-US" w:eastAsia="zh-CN"/>
        </w:rPr>
        <w:t>二</w:t>
      </w:r>
      <w:r>
        <w:rPr>
          <w:rFonts w:hint="eastAsia"/>
          <w:lang w:eastAsia="zh-CN"/>
        </w:rPr>
        <w:t>）</w:t>
      </w:r>
      <w:r>
        <w:t>项目实际产生的效益</w:t>
      </w:r>
      <w:bookmarkEnd w:id="27"/>
      <w:bookmarkEnd w:id="28"/>
    </w:p>
    <w:p>
      <w:pPr>
        <w:bidi w:val="0"/>
        <w:rPr>
          <w:rFonts w:hint="default"/>
          <w:lang w:val="en-US" w:eastAsia="zh-CN"/>
        </w:rPr>
      </w:pPr>
      <w:r>
        <w:rPr>
          <w:rFonts w:hint="default"/>
          <w:lang w:val="en-US" w:eastAsia="zh-CN"/>
        </w:rPr>
        <w:t xml:space="preserve">项目完成了辖区内道路清扫保洁、公厕管理、生活垃圾的收集、清运工作，巩固了国家卫生城市成果，为争创全国文明城市打下了坚实的基础。清洁、优美的辖区环境给本地区居民带来了生活品质的提高。保护环境、节约资源，良好的生态环境促进社会经济可持续发展。 </w:t>
      </w:r>
    </w:p>
    <w:p>
      <w:pPr>
        <w:pStyle w:val="4"/>
        <w:bidi w:val="0"/>
        <w:rPr>
          <w:rFonts w:hint="default"/>
          <w:lang w:val="en-US" w:eastAsia="zh-CN"/>
        </w:rPr>
      </w:pPr>
      <w:bookmarkStart w:id="29" w:name="_Toc17756"/>
      <w:bookmarkStart w:id="30" w:name="_Toc31919"/>
      <w:r>
        <w:rPr>
          <w:rFonts w:hint="default"/>
          <w:lang w:val="en-US" w:eastAsia="zh-CN"/>
        </w:rPr>
        <w:t>（三）项目满意度</w:t>
      </w:r>
      <w:bookmarkEnd w:id="29"/>
      <w:bookmarkEnd w:id="30"/>
    </w:p>
    <w:p>
      <w:pPr>
        <w:rPr>
          <w:rFonts w:hint="default"/>
          <w:highlight w:val="none"/>
          <w:lang w:val="en-US" w:eastAsia="zh-CN"/>
        </w:rPr>
      </w:pPr>
      <w:r>
        <w:rPr>
          <w:rFonts w:hint="default"/>
          <w:highlight w:val="none"/>
          <w:lang w:val="en-US" w:eastAsia="zh-CN"/>
        </w:rPr>
        <w:t>为更好地了解</w:t>
      </w:r>
      <w:r>
        <w:rPr>
          <w:rFonts w:hint="eastAsia"/>
          <w:highlight w:val="none"/>
          <w:lang w:val="en-US" w:eastAsia="zh-CN"/>
        </w:rPr>
        <w:t>2022年环卫市场化项目</w:t>
      </w:r>
      <w:r>
        <w:rPr>
          <w:rFonts w:hint="default"/>
          <w:highlight w:val="none"/>
          <w:lang w:val="en-US" w:eastAsia="zh-CN"/>
        </w:rPr>
        <w:t>的效益和满意度情况，我所特设计并发布了调查问卷，共收到有效调查问卷</w:t>
      </w:r>
      <w:r>
        <w:rPr>
          <w:rFonts w:hint="eastAsia"/>
          <w:highlight w:val="none"/>
          <w:lang w:val="en-US" w:eastAsia="zh-CN"/>
        </w:rPr>
        <w:t>58</w:t>
      </w:r>
      <w:r>
        <w:rPr>
          <w:rFonts w:hint="default"/>
          <w:highlight w:val="none"/>
          <w:lang w:val="en-US" w:eastAsia="zh-CN"/>
        </w:rPr>
        <w:t>份。经统计，整体满意度</w:t>
      </w:r>
      <w:r>
        <w:rPr>
          <w:rFonts w:hint="eastAsia"/>
          <w:highlight w:val="none"/>
          <w:lang w:val="en-US" w:eastAsia="zh-CN"/>
        </w:rPr>
        <w:t>98.27</w:t>
      </w:r>
      <w:r>
        <w:rPr>
          <w:rFonts w:hint="default"/>
          <w:highlight w:val="none"/>
          <w:lang w:val="en-US" w:eastAsia="zh-CN"/>
        </w:rPr>
        <w:t>%。</w:t>
      </w:r>
    </w:p>
    <w:p>
      <w:pPr>
        <w:pStyle w:val="4"/>
        <w:bidi w:val="0"/>
        <w:rPr>
          <w:rFonts w:hint="default"/>
          <w:lang w:val="en-US" w:eastAsia="zh-CN"/>
        </w:rPr>
      </w:pPr>
      <w:bookmarkStart w:id="31" w:name="_Toc19733"/>
      <w:bookmarkStart w:id="32" w:name="_Toc11444"/>
      <w:r>
        <w:rPr>
          <w:rFonts w:hint="default"/>
          <w:lang w:val="en-US" w:eastAsia="zh-CN"/>
        </w:rPr>
        <w:t>（四）评价结论</w:t>
      </w:r>
      <w:bookmarkEnd w:id="31"/>
      <w:bookmarkEnd w:id="32"/>
    </w:p>
    <w:p>
      <w:pPr>
        <w:rPr>
          <w:rFonts w:hint="default"/>
          <w:highlight w:val="none"/>
          <w:lang w:val="en-US" w:eastAsia="zh-CN"/>
        </w:rPr>
      </w:pPr>
      <w:r>
        <w:rPr>
          <w:rFonts w:hint="default"/>
          <w:highlight w:val="none"/>
          <w:lang w:val="en-US" w:eastAsia="zh-CN"/>
        </w:rPr>
        <w:t>根据该项目资金绩效评价指标体系和绩效检查情况，经我所绩效评价工作小组综合评估，该项目整体绩效分值100分，实得8</w:t>
      </w:r>
      <w:r>
        <w:rPr>
          <w:rFonts w:hint="eastAsia"/>
          <w:highlight w:val="none"/>
          <w:lang w:val="en-US" w:eastAsia="zh-CN"/>
        </w:rPr>
        <w:t>4</w:t>
      </w:r>
      <w:r>
        <w:rPr>
          <w:rFonts w:hint="default"/>
          <w:highlight w:val="none"/>
          <w:lang w:val="en-US" w:eastAsia="zh-CN"/>
        </w:rPr>
        <w:t>.</w:t>
      </w:r>
      <w:r>
        <w:rPr>
          <w:rFonts w:hint="eastAsia"/>
          <w:highlight w:val="none"/>
          <w:lang w:val="en-US" w:eastAsia="zh-CN"/>
        </w:rPr>
        <w:t>58</w:t>
      </w:r>
      <w:r>
        <w:rPr>
          <w:rFonts w:hint="default"/>
          <w:highlight w:val="none"/>
          <w:lang w:val="en-US" w:eastAsia="zh-CN"/>
        </w:rPr>
        <w:t>分，评价等级为：良。（具体评分情况见附件）。</w:t>
      </w:r>
    </w:p>
    <w:p>
      <w:pPr>
        <w:pStyle w:val="3"/>
        <w:bidi w:val="0"/>
        <w:rPr>
          <w:rFonts w:hint="default"/>
          <w:lang w:val="en-US" w:eastAsia="zh-CN"/>
        </w:rPr>
      </w:pPr>
      <w:bookmarkStart w:id="33" w:name="_Toc29525"/>
      <w:bookmarkStart w:id="34" w:name="_Toc17605"/>
      <w:r>
        <w:rPr>
          <w:rFonts w:hint="default"/>
          <w:lang w:val="en-US" w:eastAsia="zh-CN"/>
        </w:rPr>
        <w:t>四、绩效评价指标分析</w:t>
      </w:r>
      <w:bookmarkEnd w:id="33"/>
      <w:bookmarkEnd w:id="34"/>
    </w:p>
    <w:p>
      <w:pPr>
        <w:bidi w:val="0"/>
        <w:rPr>
          <w:rFonts w:hint="default" w:ascii="Times New Roman Regular" w:hAnsi="Times New Roman Regular" w:eastAsia="楷体_GB2312" w:cs="Times New Roman Regular"/>
          <w:b/>
          <w:bCs w:val="0"/>
          <w:lang w:val="en-US" w:eastAsia="zh-CN"/>
        </w:rPr>
      </w:pPr>
      <w:r>
        <w:rPr>
          <w:rFonts w:hint="default" w:ascii="Times New Roman Regular" w:hAnsi="Times New Roman Regular" w:eastAsia="楷体_GB2312" w:cs="Times New Roman Regular"/>
          <w:b/>
          <w:bCs w:val="0"/>
          <w:lang w:val="en-US" w:eastAsia="zh-CN"/>
        </w:rPr>
        <w:t>（一）项目决策分析：该项分值15分，计</w:t>
      </w:r>
      <w:r>
        <w:rPr>
          <w:rFonts w:hint="eastAsia" w:ascii="Times New Roman Regular" w:hAnsi="Times New Roman Regular" w:eastAsia="楷体_GB2312" w:cs="Times New Roman Regular"/>
          <w:b/>
          <w:bCs w:val="0"/>
          <w:lang w:val="en-US" w:eastAsia="zh-CN"/>
        </w:rPr>
        <w:t>10</w:t>
      </w:r>
      <w:r>
        <w:rPr>
          <w:rFonts w:hint="default" w:ascii="Times New Roman Regular" w:hAnsi="Times New Roman Regular" w:eastAsia="楷体_GB2312" w:cs="Times New Roman Regular"/>
          <w:b/>
          <w:bCs w:val="0"/>
          <w:lang w:val="en-US" w:eastAsia="zh-CN"/>
        </w:rPr>
        <w:t>分</w:t>
      </w:r>
    </w:p>
    <w:p>
      <w:pPr>
        <w:bidi w:val="0"/>
        <w:rPr>
          <w:rFonts w:hint="default"/>
          <w:lang w:val="en-US" w:eastAsia="zh-CN"/>
        </w:rPr>
      </w:pPr>
      <w:r>
        <w:rPr>
          <w:rFonts w:hint="default"/>
          <w:lang w:val="en-US" w:eastAsia="zh-CN"/>
        </w:rPr>
        <w:t>1、项目立项5分，实得5分：</w:t>
      </w:r>
    </w:p>
    <w:p>
      <w:pPr>
        <w:bidi w:val="0"/>
        <w:rPr>
          <w:rFonts w:hint="default"/>
          <w:lang w:val="en-US" w:eastAsia="zh-CN"/>
        </w:rPr>
      </w:pPr>
      <w:r>
        <w:rPr>
          <w:rFonts w:hint="default"/>
          <w:lang w:val="en-US" w:eastAsia="zh-CN"/>
        </w:rPr>
        <w:t>（1）立项依据充分性（2分）：立项依据充分，符合法律法规、相关政策、发展规划及部门职责，无扣分；</w:t>
      </w:r>
    </w:p>
    <w:p>
      <w:pPr>
        <w:bidi w:val="0"/>
        <w:rPr>
          <w:rFonts w:hint="default"/>
          <w:lang w:val="en-US" w:eastAsia="zh-CN"/>
        </w:rPr>
      </w:pPr>
      <w:r>
        <w:rPr>
          <w:rFonts w:hint="default"/>
          <w:lang w:val="en-US" w:eastAsia="zh-CN"/>
        </w:rPr>
        <w:t>（2）立项程序规范性（3分）：项目申请、设立过程符合相关要求，程序到位，无扣分。</w:t>
      </w:r>
    </w:p>
    <w:p>
      <w:pPr>
        <w:bidi w:val="0"/>
        <w:rPr>
          <w:rFonts w:hint="default"/>
          <w:lang w:val="en-US" w:eastAsia="zh-CN"/>
        </w:rPr>
      </w:pPr>
      <w:r>
        <w:rPr>
          <w:rFonts w:hint="default"/>
          <w:lang w:val="en-US" w:eastAsia="zh-CN"/>
        </w:rPr>
        <w:t>2、绩效目标5分，实得</w:t>
      </w:r>
      <w:r>
        <w:rPr>
          <w:rFonts w:hint="eastAsia"/>
          <w:lang w:val="en-US" w:eastAsia="zh-CN"/>
        </w:rPr>
        <w:t>0</w:t>
      </w:r>
      <w:r>
        <w:rPr>
          <w:rFonts w:hint="default"/>
          <w:lang w:val="en-US" w:eastAsia="zh-CN"/>
        </w:rPr>
        <w:t>分：</w:t>
      </w:r>
    </w:p>
    <w:p>
      <w:pPr>
        <w:bidi w:val="0"/>
        <w:rPr>
          <w:rFonts w:hint="default"/>
          <w:lang w:val="en-US" w:eastAsia="zh-CN"/>
        </w:rPr>
      </w:pPr>
      <w:r>
        <w:rPr>
          <w:rFonts w:hint="default"/>
          <w:lang w:val="en-US" w:eastAsia="zh-CN"/>
        </w:rPr>
        <w:t>（1）绩效目标合理性（2分）：</w:t>
      </w:r>
      <w:r>
        <w:rPr>
          <w:rFonts w:hint="eastAsia"/>
          <w:lang w:val="en-US" w:eastAsia="zh-CN"/>
        </w:rPr>
        <w:t>未</w:t>
      </w:r>
      <w:r>
        <w:rPr>
          <w:rFonts w:hint="default"/>
          <w:lang w:val="en-US" w:eastAsia="zh-CN"/>
        </w:rPr>
        <w:t>设置绩效目标，该项计0分；</w:t>
      </w:r>
    </w:p>
    <w:p>
      <w:pPr>
        <w:bidi w:val="0"/>
        <w:rPr>
          <w:rFonts w:hint="default"/>
          <w:lang w:val="en-US" w:eastAsia="zh-CN"/>
        </w:rPr>
      </w:pPr>
      <w:r>
        <w:rPr>
          <w:rFonts w:hint="default"/>
          <w:lang w:val="en-US" w:eastAsia="zh-CN"/>
        </w:rPr>
        <w:t>（2）绩效指标明确性（3分）：</w:t>
      </w:r>
      <w:r>
        <w:rPr>
          <w:rFonts w:hint="eastAsia"/>
          <w:lang w:val="en-US" w:eastAsia="zh-CN"/>
        </w:rPr>
        <w:t>未</w:t>
      </w:r>
      <w:r>
        <w:rPr>
          <w:rFonts w:hint="default"/>
          <w:lang w:val="en-US" w:eastAsia="zh-CN"/>
        </w:rPr>
        <w:t>设置绩效目标，该项计0分。</w:t>
      </w:r>
    </w:p>
    <w:p>
      <w:pPr>
        <w:bidi w:val="0"/>
        <w:rPr>
          <w:rFonts w:hint="default"/>
          <w:highlight w:val="none"/>
          <w:lang w:val="en-US" w:eastAsia="zh-CN"/>
        </w:rPr>
      </w:pPr>
      <w:r>
        <w:rPr>
          <w:rFonts w:hint="default"/>
          <w:highlight w:val="none"/>
          <w:lang w:val="en-US" w:eastAsia="zh-CN"/>
        </w:rPr>
        <w:t>3、资金投入5分，实得</w:t>
      </w:r>
      <w:r>
        <w:rPr>
          <w:rFonts w:hint="eastAsia"/>
          <w:highlight w:val="none"/>
          <w:lang w:val="en-US" w:eastAsia="zh-CN"/>
        </w:rPr>
        <w:t>5</w:t>
      </w:r>
      <w:r>
        <w:rPr>
          <w:rFonts w:hint="default"/>
          <w:highlight w:val="none"/>
          <w:lang w:val="en-US" w:eastAsia="zh-CN"/>
        </w:rPr>
        <w:t>分：</w:t>
      </w:r>
    </w:p>
    <w:p>
      <w:pPr>
        <w:bidi w:val="0"/>
        <w:rPr>
          <w:rFonts w:hint="default"/>
          <w:highlight w:val="none"/>
          <w:lang w:val="en-US" w:eastAsia="zh-CN"/>
        </w:rPr>
      </w:pPr>
      <w:r>
        <w:rPr>
          <w:rFonts w:hint="default"/>
          <w:highlight w:val="none"/>
          <w:lang w:val="en-US" w:eastAsia="zh-CN"/>
        </w:rPr>
        <w:t>（1）预算编制科学性（2分）：项目预算编制金额</w:t>
      </w:r>
      <w:r>
        <w:rPr>
          <w:rFonts w:hint="eastAsia"/>
          <w:highlight w:val="none"/>
          <w:lang w:val="en-US" w:eastAsia="zh-CN"/>
        </w:rPr>
        <w:t>有明确标准，资金额度与年度目标相适应，无扣分</w:t>
      </w:r>
      <w:r>
        <w:rPr>
          <w:rFonts w:hint="default"/>
          <w:highlight w:val="none"/>
          <w:lang w:val="en-US" w:eastAsia="zh-CN"/>
        </w:rPr>
        <w:t>；</w:t>
      </w:r>
    </w:p>
    <w:p>
      <w:pPr>
        <w:bidi w:val="0"/>
        <w:rPr>
          <w:rFonts w:hint="default"/>
          <w:lang w:val="en-US" w:eastAsia="zh-CN"/>
        </w:rPr>
      </w:pPr>
      <w:r>
        <w:rPr>
          <w:rFonts w:hint="default"/>
          <w:lang w:val="en-US" w:eastAsia="zh-CN"/>
        </w:rPr>
        <w:t xml:space="preserve">（2）资金分配合理性（3分）：预算资金分配依据充分，资金分配额度合理，无扣分。 </w:t>
      </w:r>
    </w:p>
    <w:p>
      <w:pPr>
        <w:bidi w:val="0"/>
        <w:rPr>
          <w:rFonts w:hint="default" w:ascii="Times New Roman Regular" w:hAnsi="Times New Roman Regular" w:eastAsia="楷体_GB2312" w:cs="Times New Roman Regular"/>
          <w:b/>
          <w:bCs w:val="0"/>
          <w:lang w:val="en-US" w:eastAsia="zh-CN"/>
        </w:rPr>
      </w:pPr>
      <w:r>
        <w:rPr>
          <w:rFonts w:hint="default" w:ascii="Times New Roman Regular" w:hAnsi="Times New Roman Regular" w:eastAsia="楷体_GB2312" w:cs="Times New Roman Regular"/>
          <w:b/>
          <w:bCs w:val="0"/>
          <w:lang w:val="en-US" w:eastAsia="zh-CN"/>
        </w:rPr>
        <w:t>（二）项目过程分析：该项分值25分，计18.5分</w:t>
      </w:r>
    </w:p>
    <w:p>
      <w:pPr>
        <w:bidi w:val="0"/>
        <w:rPr>
          <w:rFonts w:hint="default"/>
          <w:lang w:val="en-US" w:eastAsia="zh-CN"/>
        </w:rPr>
      </w:pPr>
      <w:r>
        <w:rPr>
          <w:rFonts w:hint="default"/>
          <w:lang w:val="en-US" w:eastAsia="zh-CN"/>
        </w:rPr>
        <w:t>1、资金管理13分，实得9.5分：</w:t>
      </w:r>
    </w:p>
    <w:p>
      <w:pPr>
        <w:bidi w:val="0"/>
        <w:rPr>
          <w:rFonts w:hint="default"/>
          <w:lang w:val="en-US" w:eastAsia="zh-CN"/>
        </w:rPr>
      </w:pPr>
      <w:r>
        <w:rPr>
          <w:rFonts w:hint="default"/>
          <w:lang w:val="en-US" w:eastAsia="zh-CN"/>
        </w:rPr>
        <w:t>（1）资金到位率（3分）：资金全部按规定拨付到位，资金到位率100%，无扣分；</w:t>
      </w:r>
    </w:p>
    <w:p>
      <w:pPr>
        <w:bidi w:val="0"/>
        <w:rPr>
          <w:rFonts w:hint="default"/>
          <w:lang w:val="en-US" w:eastAsia="zh-CN"/>
        </w:rPr>
      </w:pPr>
      <w:r>
        <w:rPr>
          <w:rFonts w:hint="default"/>
          <w:lang w:val="en-US" w:eastAsia="zh-CN"/>
        </w:rPr>
        <w:t>（2）预算执行率（5分）：根据被评价单位提供的</w:t>
      </w:r>
      <w:r>
        <w:rPr>
          <w:rFonts w:hint="eastAsia"/>
          <w:lang w:val="en-US" w:eastAsia="zh-CN"/>
        </w:rPr>
        <w:t>单位指标执行情况表</w:t>
      </w:r>
      <w:r>
        <w:rPr>
          <w:rFonts w:hint="default"/>
          <w:lang w:val="en-US" w:eastAsia="zh-CN"/>
        </w:rPr>
        <w:t>20</w:t>
      </w:r>
      <w:r>
        <w:rPr>
          <w:rFonts w:hint="eastAsia"/>
          <w:lang w:val="en-US" w:eastAsia="zh-CN"/>
        </w:rPr>
        <w:t>22</w:t>
      </w:r>
      <w:r>
        <w:rPr>
          <w:rFonts w:hint="default"/>
          <w:lang w:val="en-US" w:eastAsia="zh-CN"/>
        </w:rPr>
        <w:t>年度</w:t>
      </w:r>
      <w:r>
        <w:rPr>
          <w:rFonts w:hint="eastAsia"/>
          <w:lang w:val="en-US" w:eastAsia="zh-CN"/>
        </w:rPr>
        <w:t>环卫化市场</w:t>
      </w:r>
      <w:r>
        <w:rPr>
          <w:rFonts w:hint="default"/>
          <w:lang w:val="en-US" w:eastAsia="zh-CN"/>
        </w:rPr>
        <w:t>项目资金预算执行率100%，无扣分；</w:t>
      </w:r>
    </w:p>
    <w:p>
      <w:pPr>
        <w:bidi w:val="0"/>
        <w:rPr>
          <w:rFonts w:hint="default"/>
          <w:lang w:val="en-US" w:eastAsia="zh-CN"/>
        </w:rPr>
      </w:pPr>
      <w:r>
        <w:rPr>
          <w:rFonts w:hint="default"/>
          <w:lang w:val="en-US" w:eastAsia="zh-CN"/>
        </w:rPr>
        <w:t>（3）资金使用合规性（5分）：经查看资金使用情况，发现存在：专项资金管理欠规范，扣0.5分；未按合同约定付款的问题，扣1分；存在</w:t>
      </w:r>
      <w:r>
        <w:rPr>
          <w:rFonts w:hint="eastAsia"/>
          <w:lang w:val="en-US" w:eastAsia="zh-CN"/>
        </w:rPr>
        <w:t>专项资金垫付</w:t>
      </w:r>
      <w:r>
        <w:rPr>
          <w:rFonts w:hint="default"/>
          <w:lang w:val="en-US" w:eastAsia="zh-CN"/>
        </w:rPr>
        <w:t>其他</w:t>
      </w:r>
      <w:r>
        <w:rPr>
          <w:rFonts w:hint="eastAsia"/>
          <w:lang w:val="en-US" w:eastAsia="zh-CN"/>
        </w:rPr>
        <w:t>项目</w:t>
      </w:r>
      <w:r>
        <w:rPr>
          <w:rFonts w:hint="default"/>
          <w:lang w:val="en-US" w:eastAsia="zh-CN"/>
        </w:rPr>
        <w:t>情况，扣2分。</w:t>
      </w:r>
    </w:p>
    <w:p>
      <w:pPr>
        <w:bidi w:val="0"/>
        <w:rPr>
          <w:rFonts w:hint="default"/>
          <w:lang w:val="en-US" w:eastAsia="zh-CN"/>
        </w:rPr>
      </w:pPr>
      <w:r>
        <w:rPr>
          <w:rFonts w:hint="default"/>
          <w:lang w:val="en-US" w:eastAsia="zh-CN"/>
        </w:rPr>
        <w:t>2、组织实施12分，实得9分：</w:t>
      </w:r>
    </w:p>
    <w:p>
      <w:pPr>
        <w:bidi w:val="0"/>
        <w:rPr>
          <w:rFonts w:hint="default"/>
          <w:lang w:val="en-US" w:eastAsia="zh-CN"/>
        </w:rPr>
      </w:pPr>
      <w:r>
        <w:rPr>
          <w:rFonts w:hint="default"/>
          <w:lang w:val="en-US" w:eastAsia="zh-CN"/>
        </w:rPr>
        <w:t>（1）管理制度健全性（4分）：被评价单位制定了相关的财务和业务管理制度，无扣分；</w:t>
      </w:r>
    </w:p>
    <w:p>
      <w:pPr>
        <w:bidi w:val="0"/>
        <w:rPr>
          <w:rFonts w:hint="default"/>
          <w:lang w:val="en-US" w:eastAsia="zh-CN"/>
        </w:rPr>
      </w:pPr>
      <w:r>
        <w:rPr>
          <w:rFonts w:hint="default"/>
          <w:lang w:val="en-US" w:eastAsia="zh-CN"/>
        </w:rPr>
        <w:t>（2）制度执行有效性（8分）：经查看项目实施及管理情况，发现存在：项目合同到期后签订2022年1-3月补充协议，补充协议到期后未再</w:t>
      </w:r>
      <w:r>
        <w:rPr>
          <w:rFonts w:hint="eastAsia"/>
          <w:lang w:val="en-US" w:eastAsia="zh-CN"/>
        </w:rPr>
        <w:t>续签</w:t>
      </w:r>
      <w:r>
        <w:rPr>
          <w:rFonts w:hint="default"/>
          <w:lang w:val="en-US" w:eastAsia="zh-CN"/>
        </w:rPr>
        <w:t>合同，2022年4-12月按照超出服务期限的合同付款。</w:t>
      </w:r>
      <w:r>
        <w:rPr>
          <w:rFonts w:hint="default"/>
          <w:highlight w:val="none"/>
          <w:lang w:val="en-US" w:eastAsia="zh-CN"/>
        </w:rPr>
        <w:t>不符合《北塔区城管局单位采购活动控制管理制度》“二、采购流程 4、对大宗物品、劳务支出、工程维修等，办公室负责与供货单位拟订采购合同</w:t>
      </w:r>
      <w:r>
        <w:rPr>
          <w:rFonts w:hint="eastAsia"/>
          <w:highlight w:val="none"/>
          <w:lang w:val="en-US" w:eastAsia="zh-CN"/>
        </w:rPr>
        <w:t>，</w:t>
      </w:r>
      <w:r>
        <w:rPr>
          <w:rFonts w:hint="default"/>
          <w:highlight w:val="none"/>
          <w:lang w:val="en-US" w:eastAsia="zh-CN"/>
        </w:rPr>
        <w:t>然后由法律顾问审核</w:t>
      </w:r>
      <w:r>
        <w:rPr>
          <w:rFonts w:hint="eastAsia"/>
          <w:highlight w:val="none"/>
          <w:lang w:val="en-US" w:eastAsia="zh-CN"/>
        </w:rPr>
        <w:t>，</w:t>
      </w:r>
      <w:r>
        <w:rPr>
          <w:rFonts w:hint="default"/>
          <w:highlight w:val="none"/>
          <w:lang w:val="en-US" w:eastAsia="zh-CN"/>
        </w:rPr>
        <w:t>报主任审批后存档备案。</w:t>
      </w:r>
      <w:r>
        <w:rPr>
          <w:rFonts w:hint="default"/>
          <w:lang w:val="en-US" w:eastAsia="zh-CN"/>
        </w:rPr>
        <w:t>”扣3分。</w:t>
      </w:r>
    </w:p>
    <w:p>
      <w:pPr>
        <w:bidi w:val="0"/>
        <w:rPr>
          <w:rFonts w:hint="default" w:ascii="Times New Roman Regular" w:hAnsi="Times New Roman Regular" w:eastAsia="楷体_GB2312" w:cs="Times New Roman Regular"/>
          <w:b/>
          <w:lang w:val="en-US" w:eastAsia="zh-CN"/>
        </w:rPr>
      </w:pPr>
      <w:r>
        <w:rPr>
          <w:rFonts w:hint="default" w:ascii="Times New Roman Regular" w:hAnsi="Times New Roman Regular" w:eastAsia="楷体_GB2312" w:cs="Times New Roman Regular"/>
          <w:b/>
          <w:lang w:val="en-US" w:eastAsia="zh-CN"/>
        </w:rPr>
        <w:t>（三）项目绩效情况：该项分值60分，计56.08分</w:t>
      </w:r>
    </w:p>
    <w:p>
      <w:pPr>
        <w:bidi w:val="0"/>
        <w:rPr>
          <w:rFonts w:hint="default"/>
          <w:lang w:val="en-US" w:eastAsia="zh-CN"/>
        </w:rPr>
      </w:pPr>
      <w:r>
        <w:rPr>
          <w:rFonts w:hint="default"/>
          <w:lang w:val="en-US" w:eastAsia="zh-CN"/>
        </w:rPr>
        <w:t>1、项目产出35分，实得</w:t>
      </w:r>
      <w:r>
        <w:rPr>
          <w:rFonts w:hint="eastAsia"/>
          <w:lang w:val="en-US" w:eastAsia="zh-CN"/>
        </w:rPr>
        <w:t>31.28</w:t>
      </w:r>
      <w:r>
        <w:rPr>
          <w:rFonts w:hint="default"/>
          <w:lang w:val="en-US" w:eastAsia="zh-CN"/>
        </w:rPr>
        <w:t>分：</w:t>
      </w:r>
    </w:p>
    <w:p>
      <w:pPr>
        <w:bidi w:val="0"/>
        <w:rPr>
          <w:rFonts w:hint="default"/>
          <w:lang w:val="en-US" w:eastAsia="zh-CN"/>
        </w:rPr>
      </w:pPr>
      <w:r>
        <w:rPr>
          <w:rFonts w:hint="default"/>
          <w:lang w:val="en-US" w:eastAsia="zh-CN"/>
        </w:rPr>
        <w:t>（1）产出数量（15分）：</w:t>
      </w:r>
      <w:r>
        <w:rPr>
          <w:rFonts w:hint="eastAsia"/>
          <w:lang w:val="en-US" w:eastAsia="zh-CN"/>
        </w:rPr>
        <w:t>抽查</w:t>
      </w:r>
      <w:r>
        <w:rPr>
          <w:rFonts w:hint="default"/>
          <w:lang w:val="en-US" w:eastAsia="zh-CN"/>
        </w:rPr>
        <w:t>项目实际内容未达计划或合同约定的数量，如：包一段合同约定配置车辆21辆，实际配置1</w:t>
      </w:r>
      <w:r>
        <w:rPr>
          <w:rFonts w:hint="eastAsia"/>
          <w:lang w:val="en-US" w:eastAsia="zh-CN"/>
        </w:rPr>
        <w:t>8</w:t>
      </w:r>
      <w:r>
        <w:rPr>
          <w:rFonts w:hint="default"/>
          <w:lang w:val="en-US" w:eastAsia="zh-CN"/>
        </w:rPr>
        <w:t>辆，配置率为</w:t>
      </w:r>
      <w:r>
        <w:rPr>
          <w:rFonts w:hint="eastAsia"/>
          <w:lang w:val="en-US" w:eastAsia="zh-CN"/>
        </w:rPr>
        <w:t>86</w:t>
      </w:r>
      <w:r>
        <w:rPr>
          <w:rFonts w:hint="default"/>
          <w:lang w:val="en-US" w:eastAsia="zh-CN"/>
        </w:rPr>
        <w:t>%，扣0.</w:t>
      </w:r>
      <w:r>
        <w:rPr>
          <w:rFonts w:hint="eastAsia"/>
          <w:lang w:val="en-US" w:eastAsia="zh-CN"/>
        </w:rPr>
        <w:t>7</w:t>
      </w:r>
      <w:r>
        <w:rPr>
          <w:rFonts w:hint="default"/>
          <w:lang w:val="en-US" w:eastAsia="zh-CN"/>
        </w:rPr>
        <w:t>分；包一段合同约定配置人员193人，实际配置</w:t>
      </w:r>
      <w:r>
        <w:rPr>
          <w:rFonts w:hint="eastAsia"/>
          <w:lang w:val="en-US" w:eastAsia="zh-CN"/>
        </w:rPr>
        <w:t>147</w:t>
      </w:r>
      <w:r>
        <w:rPr>
          <w:rFonts w:hint="default"/>
          <w:lang w:val="en-US" w:eastAsia="zh-CN"/>
        </w:rPr>
        <w:t>人，配置率为</w:t>
      </w:r>
      <w:r>
        <w:rPr>
          <w:rFonts w:hint="eastAsia"/>
          <w:lang w:val="en-US" w:eastAsia="zh-CN"/>
        </w:rPr>
        <w:t>76</w:t>
      </w:r>
      <w:r>
        <w:rPr>
          <w:rFonts w:hint="default"/>
          <w:lang w:val="en-US" w:eastAsia="zh-CN"/>
        </w:rPr>
        <w:t>%，扣1</w:t>
      </w:r>
      <w:r>
        <w:rPr>
          <w:rFonts w:hint="eastAsia"/>
          <w:lang w:val="en-US" w:eastAsia="zh-CN"/>
        </w:rPr>
        <w:t>.2</w:t>
      </w:r>
      <w:r>
        <w:rPr>
          <w:rFonts w:hint="default"/>
          <w:lang w:val="en-US" w:eastAsia="zh-CN"/>
        </w:rPr>
        <w:t>分。</w:t>
      </w:r>
    </w:p>
    <w:p>
      <w:pPr>
        <w:bidi w:val="0"/>
        <w:rPr>
          <w:rFonts w:hint="default"/>
          <w:lang w:val="en-US" w:eastAsia="zh-CN"/>
        </w:rPr>
      </w:pPr>
      <w:r>
        <w:rPr>
          <w:rFonts w:hint="default"/>
          <w:lang w:val="en-US" w:eastAsia="zh-CN"/>
        </w:rPr>
        <w:t>（2）产出质量（10分）：根据《邵阳市城市管理委员会办公室2022年市区市容环境卫生明检情况通报》随机抽取四次的“北塔区明检问题一览表”通报情况，综合得分81.83，按得分比率计算扣1.82分；</w:t>
      </w:r>
    </w:p>
    <w:p>
      <w:pPr>
        <w:bidi w:val="0"/>
        <w:rPr>
          <w:rFonts w:hint="default"/>
          <w:lang w:val="en-US" w:eastAsia="zh-CN"/>
        </w:rPr>
      </w:pPr>
      <w:r>
        <w:rPr>
          <w:rFonts w:hint="default"/>
          <w:lang w:val="en-US" w:eastAsia="zh-CN"/>
        </w:rPr>
        <w:t>（3）产出时效（5分）：项目按时完成，无扣分；</w:t>
      </w:r>
    </w:p>
    <w:p>
      <w:pPr>
        <w:bidi w:val="0"/>
        <w:rPr>
          <w:rFonts w:hint="default"/>
          <w:lang w:val="en-US" w:eastAsia="zh-CN"/>
        </w:rPr>
      </w:pPr>
      <w:r>
        <w:rPr>
          <w:rFonts w:hint="default"/>
          <w:lang w:val="en-US" w:eastAsia="zh-CN"/>
        </w:rPr>
        <w:t>（4）产出成本（5分）：产出成本</w:t>
      </w:r>
      <w:r>
        <w:rPr>
          <w:rFonts w:hint="eastAsia"/>
          <w:lang w:val="en-US" w:eastAsia="zh-CN"/>
        </w:rPr>
        <w:t>未</w:t>
      </w:r>
      <w:r>
        <w:rPr>
          <w:rFonts w:hint="default"/>
          <w:lang w:val="en-US" w:eastAsia="zh-CN"/>
        </w:rPr>
        <w:t>超预算，无扣分。</w:t>
      </w:r>
    </w:p>
    <w:p>
      <w:pPr>
        <w:bidi w:val="0"/>
        <w:rPr>
          <w:rFonts w:hint="default"/>
          <w:lang w:val="en-US" w:eastAsia="zh-CN"/>
        </w:rPr>
      </w:pPr>
      <w:r>
        <w:rPr>
          <w:rFonts w:hint="default"/>
          <w:lang w:val="en-US" w:eastAsia="zh-CN"/>
        </w:rPr>
        <w:t>2、项目效益20分，实得</w:t>
      </w:r>
      <w:r>
        <w:rPr>
          <w:rFonts w:hint="eastAsia"/>
          <w:lang w:val="en-US" w:eastAsia="zh-CN"/>
        </w:rPr>
        <w:t>19.8</w:t>
      </w:r>
      <w:r>
        <w:rPr>
          <w:rFonts w:hint="default"/>
          <w:lang w:val="en-US" w:eastAsia="zh-CN"/>
        </w:rPr>
        <w:t>分：</w:t>
      </w:r>
    </w:p>
    <w:p>
      <w:pPr>
        <w:bidi w:val="0"/>
        <w:rPr>
          <w:rFonts w:hint="default"/>
          <w:lang w:val="en-US" w:eastAsia="zh-CN"/>
        </w:rPr>
      </w:pPr>
      <w:r>
        <w:rPr>
          <w:rFonts w:hint="default"/>
          <w:lang w:val="en-US" w:eastAsia="zh-CN"/>
        </w:rPr>
        <w:t>（1）经济效益（5分）：</w:t>
      </w:r>
      <w:r>
        <w:rPr>
          <w:rFonts w:hint="eastAsia"/>
          <w:lang w:val="en-US" w:eastAsia="zh-CN"/>
        </w:rPr>
        <w:t>项目建设单位</w:t>
      </w:r>
      <w:r>
        <w:rPr>
          <w:rFonts w:hint="default"/>
          <w:lang w:val="en-US" w:eastAsia="zh-CN"/>
        </w:rPr>
        <w:t>连续4年被评为邵阳全市市容环境卫生先进单位，优质环境有利于经济效益的提升，无扣分；</w:t>
      </w:r>
    </w:p>
    <w:p>
      <w:pPr>
        <w:bidi w:val="0"/>
        <w:rPr>
          <w:rFonts w:hint="default"/>
          <w:lang w:val="en-US" w:eastAsia="zh-CN"/>
        </w:rPr>
      </w:pPr>
      <w:r>
        <w:rPr>
          <w:rFonts w:hint="default"/>
          <w:lang w:val="en-US" w:eastAsia="zh-CN"/>
        </w:rPr>
        <w:t>（2）社会效益（5分）：项目实施后改善了居民生产生活环境情况，问题9“您觉得城区垃圾回收站</w:t>
      </w:r>
      <w:r>
        <w:rPr>
          <w:rFonts w:hint="eastAsia"/>
          <w:lang w:val="en-US" w:eastAsia="zh-CN"/>
        </w:rPr>
        <w:t>？</w:t>
      </w:r>
      <w:r>
        <w:rPr>
          <w:rFonts w:hint="default"/>
          <w:lang w:val="en-US" w:eastAsia="zh-CN"/>
        </w:rPr>
        <w:t>”81.03%的居民觉得很好每天定时处理；17.24%的居民觉得较好较为及时进行</w:t>
      </w:r>
      <w:r>
        <w:rPr>
          <w:rFonts w:hint="eastAsia"/>
          <w:lang w:val="en-US" w:eastAsia="zh-CN"/>
        </w:rPr>
        <w:t>处理</w:t>
      </w:r>
      <w:r>
        <w:rPr>
          <w:rFonts w:hint="default"/>
          <w:lang w:val="en-US" w:eastAsia="zh-CN"/>
        </w:rPr>
        <w:t>；1.72%的居民觉得不好很长时间都不处理，综合得分97.75%；酌情扣0.2分；</w:t>
      </w:r>
    </w:p>
    <w:p>
      <w:pPr>
        <w:bidi w:val="0"/>
        <w:rPr>
          <w:rFonts w:hint="default"/>
          <w:lang w:val="en-US" w:eastAsia="zh-CN"/>
        </w:rPr>
      </w:pPr>
      <w:r>
        <w:rPr>
          <w:rFonts w:hint="default"/>
          <w:lang w:val="en-US" w:eastAsia="zh-CN"/>
        </w:rPr>
        <w:t>（3）生态效益（5分）：项目实施后生态环境发生好的变化，根据调查问卷第8题：较2018年之前，您觉得周围的环境变化如何</w:t>
      </w:r>
      <w:r>
        <w:rPr>
          <w:rFonts w:hint="eastAsia"/>
          <w:lang w:val="en-US" w:eastAsia="zh-CN"/>
        </w:rPr>
        <w:t>？</w:t>
      </w:r>
      <w:r>
        <w:rPr>
          <w:rFonts w:hint="default"/>
          <w:lang w:val="en-US" w:eastAsia="zh-CN"/>
        </w:rPr>
        <w:t>100%的居民认为有变好</w:t>
      </w:r>
      <w:r>
        <w:rPr>
          <w:rFonts w:hint="eastAsia"/>
          <w:lang w:val="en-US" w:eastAsia="zh-CN"/>
        </w:rPr>
        <w:t>，无扣分</w:t>
      </w:r>
      <w:r>
        <w:rPr>
          <w:rFonts w:hint="default"/>
          <w:lang w:val="en-US" w:eastAsia="zh-CN"/>
        </w:rPr>
        <w:t>；</w:t>
      </w:r>
    </w:p>
    <w:p>
      <w:pPr>
        <w:bidi w:val="0"/>
        <w:rPr>
          <w:rFonts w:hint="default"/>
          <w:b w:val="0"/>
          <w:bCs w:val="0"/>
          <w:highlight w:val="none"/>
          <w:lang w:val="en-US" w:eastAsia="zh-CN"/>
        </w:rPr>
      </w:pPr>
      <w:r>
        <w:rPr>
          <w:rFonts w:hint="default"/>
          <w:highlight w:val="none"/>
          <w:lang w:val="en-US" w:eastAsia="zh-CN"/>
        </w:rPr>
        <w:t>（4）可持续影响（5分）</w:t>
      </w:r>
      <w:r>
        <w:rPr>
          <w:rFonts w:hint="default"/>
          <w:b w:val="0"/>
          <w:bCs w:val="0"/>
          <w:highlight w:val="none"/>
          <w:lang w:val="en-US" w:eastAsia="zh-CN"/>
        </w:rPr>
        <w:t>：</w:t>
      </w:r>
      <w:r>
        <w:rPr>
          <w:rFonts w:hint="eastAsia"/>
          <w:b w:val="0"/>
          <w:bCs w:val="0"/>
          <w:highlight w:val="none"/>
          <w:lang w:val="en-US" w:eastAsia="zh-CN"/>
        </w:rPr>
        <w:t>建立</w:t>
      </w:r>
      <w:r>
        <w:rPr>
          <w:rFonts w:hint="default"/>
          <w:b w:val="0"/>
          <w:bCs w:val="0"/>
          <w:highlight w:val="none"/>
          <w:lang w:val="en-US" w:eastAsia="zh-CN"/>
        </w:rPr>
        <w:t>长效</w:t>
      </w:r>
      <w:r>
        <w:rPr>
          <w:rFonts w:hint="eastAsia"/>
          <w:b w:val="0"/>
          <w:bCs w:val="0"/>
          <w:highlight w:val="none"/>
          <w:lang w:val="en-US" w:eastAsia="zh-CN"/>
        </w:rPr>
        <w:t>管理</w:t>
      </w:r>
      <w:r>
        <w:rPr>
          <w:rFonts w:hint="default"/>
          <w:b w:val="0"/>
          <w:bCs w:val="0"/>
          <w:highlight w:val="none"/>
          <w:lang w:val="en-US" w:eastAsia="zh-CN"/>
        </w:rPr>
        <w:t>机制，提高可持续发展的影响，</w:t>
      </w:r>
      <w:r>
        <w:rPr>
          <w:rFonts w:hint="eastAsia"/>
          <w:b w:val="0"/>
          <w:bCs w:val="0"/>
          <w:highlight w:val="none"/>
          <w:lang w:val="en-US" w:eastAsia="zh-CN"/>
        </w:rPr>
        <w:t>无扣分</w:t>
      </w:r>
      <w:r>
        <w:rPr>
          <w:rFonts w:hint="default"/>
          <w:b w:val="0"/>
          <w:bCs w:val="0"/>
          <w:highlight w:val="none"/>
          <w:lang w:val="en-US" w:eastAsia="zh-CN"/>
        </w:rPr>
        <w:t>。</w:t>
      </w:r>
    </w:p>
    <w:p>
      <w:pPr>
        <w:bidi w:val="0"/>
        <w:rPr>
          <w:rFonts w:hint="default"/>
          <w:lang w:val="en-US" w:eastAsia="zh-CN"/>
        </w:rPr>
      </w:pPr>
      <w:r>
        <w:rPr>
          <w:rFonts w:hint="default"/>
          <w:lang w:val="en-US" w:eastAsia="zh-CN"/>
        </w:rPr>
        <w:t>3、项目满意度5分，实得5分：</w:t>
      </w:r>
    </w:p>
    <w:p>
      <w:pPr>
        <w:bidi w:val="0"/>
        <w:rPr>
          <w:rFonts w:hint="default"/>
          <w:lang w:val="en-US" w:eastAsia="zh-CN"/>
        </w:rPr>
      </w:pPr>
      <w:r>
        <w:rPr>
          <w:rFonts w:hint="default"/>
          <w:lang w:val="en-US" w:eastAsia="zh-CN"/>
        </w:rPr>
        <w:t>绩效评价小组针对项目实施情况向邵阳市居民发放问卷，共收回有效调查问卷58份，项目整体满意度为98.27%，无扣分。</w:t>
      </w:r>
    </w:p>
    <w:p>
      <w:pPr>
        <w:pStyle w:val="3"/>
        <w:bidi w:val="0"/>
        <w:rPr>
          <w:rFonts w:hint="default"/>
          <w:lang w:val="en-US" w:eastAsia="zh-CN"/>
        </w:rPr>
      </w:pPr>
      <w:bookmarkStart w:id="35" w:name="_Toc20652"/>
      <w:bookmarkStart w:id="36" w:name="_Toc13237"/>
      <w:r>
        <w:rPr>
          <w:rFonts w:hint="default"/>
          <w:lang w:val="en-US" w:eastAsia="zh-CN"/>
        </w:rPr>
        <w:t>五、存在的主要问题</w:t>
      </w:r>
      <w:bookmarkEnd w:id="35"/>
      <w:bookmarkEnd w:id="36"/>
    </w:p>
    <w:p>
      <w:pPr>
        <w:pStyle w:val="4"/>
        <w:bidi w:val="0"/>
        <w:rPr>
          <w:rFonts w:hint="default"/>
          <w:lang w:val="en-US" w:eastAsia="zh-CN"/>
        </w:rPr>
      </w:pPr>
      <w:bookmarkStart w:id="37" w:name="_Toc7469"/>
      <w:bookmarkStart w:id="38" w:name="_Toc17683"/>
      <w:r>
        <w:rPr>
          <w:rFonts w:hint="default"/>
          <w:lang w:val="en-US" w:eastAsia="zh-CN"/>
        </w:rPr>
        <w:t>（一）项目绩效管理方面的问题</w:t>
      </w:r>
      <w:bookmarkEnd w:id="37"/>
      <w:bookmarkEnd w:id="38"/>
    </w:p>
    <w:p>
      <w:pPr>
        <w:bidi w:val="0"/>
        <w:rPr>
          <w:rFonts w:hint="default"/>
          <w:lang w:val="en-US" w:eastAsia="zh-CN"/>
        </w:rPr>
      </w:pPr>
      <w:r>
        <w:rPr>
          <w:rFonts w:hint="eastAsia"/>
          <w:b/>
          <w:bCs/>
          <w:lang w:val="en-US" w:eastAsia="zh-CN"/>
        </w:rPr>
        <w:t>绩效目标设置不明确，未设置绩效指标</w:t>
      </w:r>
      <w:r>
        <w:rPr>
          <w:rFonts w:hint="default"/>
          <w:b/>
          <w:bCs/>
          <w:lang w:val="en-US" w:eastAsia="zh-CN"/>
        </w:rPr>
        <w:t>。</w:t>
      </w:r>
      <w:r>
        <w:rPr>
          <w:rFonts w:hint="default"/>
          <w:lang w:val="en-US" w:eastAsia="zh-CN"/>
        </w:rPr>
        <w:t>被评价单位</w:t>
      </w:r>
      <w:r>
        <w:rPr>
          <w:rFonts w:hint="eastAsia"/>
          <w:lang w:val="en-US" w:eastAsia="zh-CN"/>
        </w:rPr>
        <w:t>的绩效目标为“</w:t>
      </w:r>
      <w:r>
        <w:rPr>
          <w:rFonts w:hint="default"/>
          <w:lang w:val="en-US" w:eastAsia="zh-CN"/>
        </w:rPr>
        <w:t>通过政府购买服务方式，引入第三方服务机构，提供辖区内道路、垃圾站、公厕、绿化带的清扫保洁管理，生活垃圾的收集、清运等服务。</w:t>
      </w:r>
      <w:r>
        <w:rPr>
          <w:rFonts w:hint="eastAsia"/>
          <w:lang w:val="en-US" w:eastAsia="zh-CN"/>
        </w:rPr>
        <w:t>”符合单位的职能需要，设立的目标依据充分，但该项目标不够清晰、明确，无法具体量化。同时该项目未依据绩效目标设立相关绩效指标，</w:t>
      </w:r>
      <w:r>
        <w:rPr>
          <w:rFonts w:hint="eastAsia"/>
          <w:lang w:val="en-US" w:eastAsia="zh-Hans"/>
        </w:rPr>
        <w:t>对于绩效目标完成情况不能通过指标值量化衡量</w:t>
      </w:r>
      <w:r>
        <w:rPr>
          <w:rFonts w:hint="default"/>
          <w:lang w:val="en-US" w:eastAsia="zh-CN"/>
        </w:rPr>
        <w:t>。</w:t>
      </w:r>
    </w:p>
    <w:p>
      <w:pPr>
        <w:pStyle w:val="4"/>
        <w:numPr>
          <w:ilvl w:val="0"/>
          <w:numId w:val="0"/>
        </w:numPr>
        <w:bidi w:val="0"/>
        <w:ind w:leftChars="200"/>
        <w:rPr>
          <w:rFonts w:hint="default"/>
          <w:lang w:val="en-US" w:eastAsia="zh-CN"/>
        </w:rPr>
      </w:pPr>
      <w:bookmarkStart w:id="39" w:name="_Toc3216"/>
      <w:bookmarkStart w:id="40" w:name="_Toc27361"/>
      <w:r>
        <w:rPr>
          <w:rFonts w:hint="eastAsia"/>
          <w:lang w:val="en-US" w:eastAsia="zh-CN"/>
        </w:rPr>
        <w:t>（二）</w:t>
      </w:r>
      <w:r>
        <w:rPr>
          <w:rFonts w:hint="default"/>
          <w:lang w:val="en-US" w:eastAsia="zh-CN"/>
        </w:rPr>
        <w:t>资金管理方面的问题</w:t>
      </w:r>
      <w:bookmarkEnd w:id="39"/>
      <w:bookmarkEnd w:id="40"/>
    </w:p>
    <w:p>
      <w:pPr>
        <w:bidi w:val="0"/>
        <w:rPr>
          <w:rFonts w:hint="eastAsia"/>
          <w:lang w:val="en-US" w:eastAsia="zh-CN"/>
        </w:rPr>
      </w:pPr>
      <w:r>
        <w:rPr>
          <w:rFonts w:hint="default"/>
          <w:b/>
          <w:bCs/>
          <w:lang w:val="en-US" w:eastAsia="zh-CN"/>
        </w:rPr>
        <w:t>1、专项资金未进行专项管理。</w:t>
      </w:r>
      <w:r>
        <w:rPr>
          <w:rFonts w:hint="default"/>
          <w:lang w:val="en-US" w:eastAsia="zh-CN"/>
        </w:rPr>
        <w:t>如</w:t>
      </w:r>
      <w:r>
        <w:rPr>
          <w:rFonts w:hint="eastAsia"/>
          <w:lang w:val="en-US" w:eastAsia="zh-CN"/>
        </w:rPr>
        <w:t>临聘人员</w:t>
      </w:r>
      <w:r>
        <w:rPr>
          <w:rFonts w:hint="default"/>
          <w:lang w:val="en-US" w:eastAsia="zh-CN"/>
        </w:rPr>
        <w:t>劳务</w:t>
      </w:r>
      <w:r>
        <w:rPr>
          <w:rFonts w:hint="eastAsia"/>
          <w:lang w:val="en-US" w:eastAsia="zh-CN"/>
        </w:rPr>
        <w:t>费</w:t>
      </w:r>
      <w:r>
        <w:rPr>
          <w:rFonts w:hint="eastAsia"/>
          <w:highlight w:val="none"/>
          <w:lang w:val="en-US" w:eastAsia="zh-CN"/>
        </w:rPr>
        <w:t>、垃圾分类宣传费、</w:t>
      </w:r>
      <w:r>
        <w:rPr>
          <w:rFonts w:hint="eastAsia"/>
          <w:highlight w:val="none"/>
        </w:rPr>
        <w:t>垃圾分类工作培训</w:t>
      </w:r>
      <w:r>
        <w:rPr>
          <w:rFonts w:hint="eastAsia"/>
          <w:highlight w:val="none"/>
          <w:lang w:val="en-US" w:eastAsia="zh-CN"/>
        </w:rPr>
        <w:t>费、固定资产清查服务费等</w:t>
      </w:r>
      <w:r>
        <w:rPr>
          <w:rFonts w:hint="default"/>
          <w:highlight w:val="none"/>
          <w:lang w:val="en-US" w:eastAsia="zh-CN"/>
        </w:rPr>
        <w:t>通过“行政支出-基本支出-财政拨款支出-日常公用经费/城乡社区环境卫</w:t>
      </w:r>
      <w:r>
        <w:rPr>
          <w:rFonts w:hint="default"/>
          <w:lang w:val="en-US" w:eastAsia="zh-CN"/>
        </w:rPr>
        <w:t>生/劳务费”进行会计核算</w:t>
      </w:r>
      <w:r>
        <w:rPr>
          <w:rFonts w:hint="eastAsia"/>
          <w:lang w:val="en-US" w:eastAsia="zh-CN"/>
        </w:rPr>
        <w:t>。</w:t>
      </w:r>
    </w:p>
    <w:p>
      <w:pPr>
        <w:bidi w:val="0"/>
        <w:rPr>
          <w:rFonts w:hint="default"/>
          <w:lang w:val="en-US" w:eastAsia="zh-CN"/>
        </w:rPr>
      </w:pPr>
      <w:r>
        <w:rPr>
          <w:rFonts w:hint="default"/>
          <w:b/>
          <w:bCs/>
          <w:lang w:val="en-US" w:eastAsia="zh-CN"/>
        </w:rPr>
        <w:t>2、</w:t>
      </w:r>
      <w:r>
        <w:rPr>
          <w:rFonts w:hint="eastAsia"/>
          <w:b/>
          <w:bCs/>
          <w:lang w:val="en-US" w:eastAsia="zh-Hans"/>
        </w:rPr>
        <w:t>存在占用专项资金的情况</w:t>
      </w:r>
      <w:r>
        <w:rPr>
          <w:rFonts w:hint="default"/>
          <w:b/>
          <w:bCs/>
          <w:lang w:val="en-US" w:eastAsia="zh-CN"/>
        </w:rPr>
        <w:t>。</w:t>
      </w:r>
      <w:r>
        <w:rPr>
          <w:rFonts w:hint="default"/>
          <w:lang w:val="en-US" w:eastAsia="zh-CN"/>
        </w:rPr>
        <w:t>202</w:t>
      </w:r>
      <w:r>
        <w:rPr>
          <w:rFonts w:hint="eastAsia"/>
          <w:lang w:val="en-US" w:eastAsia="zh-CN"/>
        </w:rPr>
        <w:t>2</w:t>
      </w:r>
      <w:r>
        <w:rPr>
          <w:rFonts w:hint="default"/>
          <w:lang w:val="en-US" w:eastAsia="zh-CN"/>
        </w:rPr>
        <w:t>年度约有</w:t>
      </w:r>
      <w:r>
        <w:rPr>
          <w:rFonts w:hint="eastAsia"/>
          <w:lang w:val="en-US" w:eastAsia="zh-CN"/>
        </w:rPr>
        <w:t>72.23</w:t>
      </w:r>
      <w:r>
        <w:rPr>
          <w:rFonts w:hint="default"/>
          <w:lang w:val="en-US" w:eastAsia="zh-CN"/>
        </w:rPr>
        <w:t>万元</w:t>
      </w:r>
      <w:r>
        <w:rPr>
          <w:rFonts w:hint="eastAsia"/>
          <w:lang w:val="en-US" w:eastAsia="zh-CN"/>
        </w:rPr>
        <w:t>市场环卫化</w:t>
      </w:r>
      <w:r>
        <w:rPr>
          <w:rFonts w:hint="default"/>
          <w:lang w:val="en-US" w:eastAsia="zh-CN"/>
        </w:rPr>
        <w:t>项目的专项资金</w:t>
      </w:r>
      <w:r>
        <w:rPr>
          <w:rFonts w:hint="eastAsia"/>
          <w:lang w:val="en-US" w:eastAsia="zh-CN"/>
        </w:rPr>
        <w:t>用于支付临聘人员劳务费、单位业务设备购买等，未做到专款专用。</w:t>
      </w:r>
    </w:p>
    <w:p>
      <w:pPr>
        <w:pStyle w:val="4"/>
        <w:keepNext w:val="0"/>
        <w:keepLines w:val="0"/>
        <w:bidi w:val="0"/>
        <w:rPr>
          <w:rFonts w:hint="default"/>
          <w:lang w:val="en-US" w:eastAsia="zh-CN"/>
        </w:rPr>
      </w:pPr>
      <w:bookmarkStart w:id="41" w:name="_Toc10799"/>
      <w:bookmarkStart w:id="42" w:name="_Toc7325"/>
      <w:r>
        <w:rPr>
          <w:rFonts w:hint="default"/>
          <w:lang w:val="en-US" w:eastAsia="zh-CN"/>
        </w:rPr>
        <w:t>（三）项目实施管理方面的问题</w:t>
      </w:r>
      <w:bookmarkEnd w:id="41"/>
      <w:bookmarkEnd w:id="42"/>
    </w:p>
    <w:p>
      <w:pPr>
        <w:bidi w:val="0"/>
        <w:rPr>
          <w:rFonts w:hint="default"/>
          <w:lang w:val="en-US" w:eastAsia="zh-CN"/>
        </w:rPr>
      </w:pPr>
      <w:r>
        <w:rPr>
          <w:rFonts w:hint="default"/>
          <w:b/>
          <w:bCs/>
          <w:lang w:val="en-US" w:eastAsia="zh-CN"/>
        </w:rPr>
        <w:t>1、项目管理有待加强</w:t>
      </w:r>
      <w:r>
        <w:rPr>
          <w:rFonts w:hint="eastAsia"/>
          <w:b/>
          <w:bCs/>
          <w:lang w:val="en-US" w:eastAsia="zh-CN"/>
        </w:rPr>
        <w:t>。</w:t>
      </w:r>
      <w:r>
        <w:rPr>
          <w:rFonts w:hint="default"/>
          <w:lang w:val="en-US" w:eastAsia="zh-CN"/>
        </w:rPr>
        <w:t>未按合同约定付款</w:t>
      </w:r>
      <w:r>
        <w:rPr>
          <w:rFonts w:hint="eastAsia"/>
          <w:lang w:val="en-US" w:eastAsia="zh-CN"/>
        </w:rPr>
        <w:t>，</w:t>
      </w:r>
      <w:r>
        <w:rPr>
          <w:rFonts w:hint="default"/>
          <w:lang w:val="en-US" w:eastAsia="zh-CN"/>
        </w:rPr>
        <w:t>根据合同约定“每月10日前公布上月考评结果，并根据考评结果于每月20日前支付上月应付经费”，经抽查凭证发现，20</w:t>
      </w:r>
      <w:r>
        <w:rPr>
          <w:rFonts w:hint="eastAsia"/>
          <w:lang w:val="en-US" w:eastAsia="zh-CN"/>
        </w:rPr>
        <w:t>22</w:t>
      </w:r>
      <w:r>
        <w:rPr>
          <w:rFonts w:hint="default"/>
          <w:lang w:val="en-US" w:eastAsia="zh-CN"/>
        </w:rPr>
        <w:t>年</w:t>
      </w:r>
      <w:r>
        <w:rPr>
          <w:rFonts w:hint="eastAsia"/>
          <w:lang w:val="en-US" w:eastAsia="zh-CN"/>
        </w:rPr>
        <w:t>12</w:t>
      </w:r>
      <w:r>
        <w:rPr>
          <w:rFonts w:hint="default"/>
          <w:lang w:val="en-US" w:eastAsia="zh-CN"/>
        </w:rPr>
        <w:t>月</w:t>
      </w:r>
      <w:r>
        <w:rPr>
          <w:rFonts w:hint="eastAsia"/>
          <w:lang w:val="en-US" w:eastAsia="zh-CN"/>
        </w:rPr>
        <w:t>74</w:t>
      </w:r>
      <w:r>
        <w:rPr>
          <w:rFonts w:hint="default"/>
          <w:lang w:val="en-US" w:eastAsia="zh-CN"/>
        </w:rPr>
        <w:t>#凭证，于</w:t>
      </w:r>
      <w:r>
        <w:rPr>
          <w:rFonts w:hint="eastAsia"/>
          <w:lang w:val="en-US" w:eastAsia="zh-CN"/>
        </w:rPr>
        <w:t>12</w:t>
      </w:r>
      <w:r>
        <w:rPr>
          <w:rFonts w:hint="default"/>
          <w:lang w:val="en-US" w:eastAsia="zh-CN"/>
        </w:rPr>
        <w:t>月</w:t>
      </w:r>
      <w:r>
        <w:rPr>
          <w:rFonts w:hint="eastAsia"/>
          <w:lang w:val="en-US" w:eastAsia="zh-CN"/>
        </w:rPr>
        <w:t>22</w:t>
      </w:r>
      <w:r>
        <w:rPr>
          <w:rFonts w:hint="default"/>
          <w:lang w:val="en-US" w:eastAsia="zh-CN"/>
        </w:rPr>
        <w:t>日支付</w:t>
      </w:r>
      <w:r>
        <w:rPr>
          <w:rFonts w:hint="eastAsia"/>
          <w:lang w:val="en-US" w:eastAsia="zh-CN"/>
        </w:rPr>
        <w:t>10-11</w:t>
      </w:r>
      <w:r>
        <w:rPr>
          <w:rFonts w:hint="default"/>
          <w:lang w:val="en-US" w:eastAsia="zh-CN"/>
        </w:rPr>
        <w:t>月劳务费经费，未严格按合同约定的次月支付款项。</w:t>
      </w:r>
    </w:p>
    <w:p>
      <w:pPr>
        <w:bidi w:val="0"/>
        <w:rPr>
          <w:rFonts w:hint="default"/>
          <w:lang w:val="en-US" w:eastAsia="zh-CN"/>
        </w:rPr>
      </w:pPr>
      <w:r>
        <w:rPr>
          <w:rFonts w:hint="eastAsia"/>
          <w:b/>
          <w:bCs/>
          <w:lang w:val="en-US" w:eastAsia="zh-CN"/>
        </w:rPr>
        <w:t>2、合同</w:t>
      </w:r>
      <w:r>
        <w:rPr>
          <w:rFonts w:hint="eastAsia"/>
          <w:b/>
          <w:bCs/>
          <w:lang w:val="en-US" w:eastAsia="zh-Hans"/>
        </w:rPr>
        <w:t>延期未签订补充协议</w:t>
      </w:r>
      <w:r>
        <w:rPr>
          <w:rFonts w:hint="eastAsia"/>
          <w:b/>
          <w:bCs/>
          <w:lang w:val="en-US" w:eastAsia="zh-CN"/>
        </w:rPr>
        <w:t>。</w:t>
      </w:r>
      <w:r>
        <w:rPr>
          <w:rFonts w:hint="eastAsia"/>
          <w:b w:val="0"/>
          <w:bCs/>
          <w:lang w:val="en-US" w:eastAsia="zh-CN"/>
        </w:rPr>
        <w:t>市场环卫化项目合同于2021年12月31日到期，当天被评价单位与承包单位签订补充协议，协议中写明项目延续三个月，合同有效期延续至2022年3月31日。</w:t>
      </w:r>
      <w:r>
        <w:rPr>
          <w:rFonts w:hint="default"/>
          <w:lang w:val="en-US" w:eastAsia="zh-CN"/>
        </w:rPr>
        <w:t>2022年8月15日经北塔区第十四次人民政府常务会议同意将“2018年签订的《邵阳市北塔区城市清扫保洁垃圾分类清运服务外包项目》（包一、包二、包三）三个合同延期至2022年10月31日。”未签订相关补充协议。</w:t>
      </w:r>
    </w:p>
    <w:p>
      <w:pPr>
        <w:pStyle w:val="3"/>
        <w:bidi w:val="0"/>
        <w:rPr>
          <w:rFonts w:hint="default"/>
          <w:lang w:val="en-US" w:eastAsia="zh-CN"/>
        </w:rPr>
      </w:pPr>
      <w:bookmarkStart w:id="43" w:name="_Toc3707"/>
      <w:bookmarkStart w:id="44" w:name="_Toc19275"/>
      <w:r>
        <w:rPr>
          <w:rFonts w:hint="default"/>
          <w:lang w:val="en-US" w:eastAsia="zh-CN"/>
        </w:rPr>
        <w:t>六、相关建议</w:t>
      </w:r>
      <w:bookmarkEnd w:id="43"/>
      <w:bookmarkEnd w:id="44"/>
    </w:p>
    <w:p>
      <w:pPr>
        <w:pStyle w:val="4"/>
        <w:bidi w:val="0"/>
        <w:rPr>
          <w:rFonts w:hint="default"/>
          <w:lang w:val="en-US" w:eastAsia="zh-CN"/>
        </w:rPr>
      </w:pPr>
      <w:bookmarkStart w:id="45" w:name="_Toc30287"/>
      <w:bookmarkStart w:id="46" w:name="_Toc7627"/>
      <w:r>
        <w:rPr>
          <w:rFonts w:hint="default"/>
          <w:lang w:val="en-US" w:eastAsia="zh-CN"/>
        </w:rPr>
        <w:t>（一）项目绩效管理方面</w:t>
      </w:r>
      <w:bookmarkEnd w:id="45"/>
      <w:bookmarkEnd w:id="46"/>
    </w:p>
    <w:p>
      <w:pPr>
        <w:bidi w:val="0"/>
        <w:rPr>
          <w:rFonts w:hint="default"/>
          <w:lang w:val="en-US" w:eastAsia="zh-CN"/>
        </w:rPr>
      </w:pPr>
      <w:r>
        <w:rPr>
          <w:rFonts w:hint="default"/>
          <w:b/>
          <w:bCs/>
          <w:lang w:val="en-US" w:eastAsia="zh-CN"/>
        </w:rPr>
        <w:t>设置明确的绩效目标及</w:t>
      </w:r>
      <w:r>
        <w:rPr>
          <w:rFonts w:hint="eastAsia"/>
          <w:b/>
          <w:bCs/>
          <w:lang w:val="en-US" w:eastAsia="zh-Hans"/>
        </w:rPr>
        <w:t>可衡量</w:t>
      </w:r>
      <w:r>
        <w:rPr>
          <w:rFonts w:hint="default"/>
          <w:b/>
          <w:bCs/>
          <w:lang w:val="en-US" w:eastAsia="zh-CN"/>
        </w:rPr>
        <w:t>的绩效指标</w:t>
      </w:r>
      <w:r>
        <w:rPr>
          <w:rFonts w:hint="eastAsia"/>
          <w:b/>
          <w:bCs/>
          <w:lang w:val="en-US" w:eastAsia="zh-CN"/>
        </w:rPr>
        <w:t>。</w:t>
      </w:r>
      <w:r>
        <w:rPr>
          <w:rFonts w:hint="default"/>
          <w:lang w:val="en-US" w:eastAsia="zh-CN"/>
        </w:rPr>
        <w:t>重视绩效目标申报工作，设置清晰明确的绩效目标，选取合理可量化的绩效指标，科学设定项目指标，对项目产出质量、效果进行全面反映，设置的绩效指标需要切实反映项目的具体效益</w:t>
      </w:r>
      <w:r>
        <w:rPr>
          <w:rFonts w:hint="eastAsia"/>
          <w:lang w:val="en-US" w:eastAsia="zh-CN"/>
        </w:rPr>
        <w:t>，</w:t>
      </w:r>
      <w:r>
        <w:rPr>
          <w:rFonts w:hint="default"/>
          <w:lang w:val="en-US" w:eastAsia="zh-CN"/>
        </w:rPr>
        <w:t>使项目绩效考核有据可依。</w:t>
      </w:r>
    </w:p>
    <w:p>
      <w:pPr>
        <w:pStyle w:val="4"/>
        <w:bidi w:val="0"/>
        <w:rPr>
          <w:rFonts w:hint="default"/>
          <w:lang w:val="en-US" w:eastAsia="zh-CN"/>
        </w:rPr>
      </w:pPr>
      <w:bookmarkStart w:id="47" w:name="_Toc8238"/>
      <w:bookmarkStart w:id="48" w:name="_Toc2058"/>
      <w:r>
        <w:rPr>
          <w:rFonts w:hint="default"/>
          <w:lang w:val="en-US" w:eastAsia="zh-CN"/>
        </w:rPr>
        <w:t>（二）资金管理方面</w:t>
      </w:r>
      <w:bookmarkEnd w:id="47"/>
      <w:bookmarkEnd w:id="48"/>
    </w:p>
    <w:p>
      <w:pPr>
        <w:bidi w:val="0"/>
        <w:rPr>
          <w:rFonts w:hint="default"/>
          <w:b w:val="0"/>
          <w:bCs w:val="0"/>
          <w:lang w:val="en-US" w:eastAsia="zh-CN"/>
        </w:rPr>
      </w:pPr>
      <w:r>
        <w:rPr>
          <w:rFonts w:hint="default"/>
          <w:b/>
          <w:bCs/>
          <w:lang w:val="en-US" w:eastAsia="zh-CN"/>
        </w:rPr>
        <w:t>1、规范项目核算。</w:t>
      </w:r>
      <w:r>
        <w:rPr>
          <w:rFonts w:hint="default"/>
          <w:lang w:val="en-US" w:eastAsia="zh-CN"/>
        </w:rPr>
        <w:t>对于专项资金的支出项目，建议进行专账管理，专款专用，尽量避免与其他项目支出混淆在一起，以便准确核算项目的预算执行情况。</w:t>
      </w:r>
    </w:p>
    <w:p>
      <w:pPr>
        <w:bidi w:val="0"/>
        <w:rPr>
          <w:rFonts w:hint="default"/>
          <w:lang w:val="en-US" w:eastAsia="zh-CN"/>
        </w:rPr>
      </w:pPr>
      <w:r>
        <w:rPr>
          <w:rFonts w:hint="default"/>
          <w:b/>
          <w:bCs/>
          <w:lang w:val="en-US" w:eastAsia="zh-CN"/>
        </w:rPr>
        <w:t>2、加强资金</w:t>
      </w:r>
      <w:r>
        <w:rPr>
          <w:rFonts w:hint="eastAsia"/>
          <w:b/>
          <w:bCs/>
          <w:lang w:val="en-US" w:eastAsia="zh-CN"/>
        </w:rPr>
        <w:t>规范使用</w:t>
      </w:r>
      <w:r>
        <w:rPr>
          <w:rFonts w:hint="default"/>
          <w:b/>
          <w:bCs/>
          <w:lang w:val="en-US" w:eastAsia="zh-CN"/>
        </w:rPr>
        <w:t>管理。</w:t>
      </w:r>
      <w:r>
        <w:rPr>
          <w:rFonts w:hint="default"/>
          <w:lang w:val="en-US" w:eastAsia="zh-CN"/>
        </w:rPr>
        <w:t>对于此类每年都有</w:t>
      </w:r>
      <w:r>
        <w:rPr>
          <w:rFonts w:hint="eastAsia"/>
          <w:lang w:val="en-US" w:eastAsia="zh-CN"/>
        </w:rPr>
        <w:t>使用</w:t>
      </w:r>
      <w:r>
        <w:rPr>
          <w:rFonts w:hint="default"/>
          <w:lang w:val="en-US" w:eastAsia="zh-CN"/>
        </w:rPr>
        <w:t>计划的项目，建议项目支出按指标文件进行管理，区分项目业务和资金核算范围，避免挤占挪用专项资金风险。</w:t>
      </w:r>
    </w:p>
    <w:p>
      <w:pPr>
        <w:pStyle w:val="4"/>
        <w:bidi w:val="0"/>
        <w:rPr>
          <w:rFonts w:hint="default"/>
          <w:lang w:val="en-US" w:eastAsia="zh-CN"/>
        </w:rPr>
      </w:pPr>
      <w:bookmarkStart w:id="49" w:name="_Toc6462"/>
      <w:bookmarkStart w:id="50" w:name="_Toc12978"/>
      <w:r>
        <w:rPr>
          <w:rFonts w:hint="default"/>
          <w:lang w:val="en-US" w:eastAsia="zh-CN"/>
        </w:rPr>
        <w:t>（三）项目实施管理方面</w:t>
      </w:r>
      <w:bookmarkEnd w:id="49"/>
      <w:bookmarkEnd w:id="50"/>
    </w:p>
    <w:p>
      <w:pPr>
        <w:bidi w:val="0"/>
        <w:rPr>
          <w:rFonts w:hint="default"/>
          <w:lang w:val="en-US" w:eastAsia="zh-CN"/>
        </w:rPr>
      </w:pPr>
      <w:r>
        <w:rPr>
          <w:rFonts w:hint="default"/>
          <w:b/>
          <w:bCs/>
          <w:lang w:val="en-US" w:eastAsia="zh-CN"/>
        </w:rPr>
        <w:t>1、进一步完善项目管理制度。</w:t>
      </w:r>
      <w:r>
        <w:rPr>
          <w:rFonts w:hint="default"/>
          <w:lang w:val="en-US" w:eastAsia="zh-CN"/>
        </w:rPr>
        <w:t>建议被评价单位制定符合本单位实际的项目管理办法，使专项资金能发挥更大的效益。</w:t>
      </w:r>
    </w:p>
    <w:p>
      <w:pPr>
        <w:bidi w:val="0"/>
        <w:rPr>
          <w:rFonts w:hint="default"/>
          <w:b w:val="0"/>
          <w:bCs w:val="0"/>
          <w:lang w:val="en-US" w:eastAsia="zh-CN"/>
        </w:rPr>
      </w:pPr>
      <w:r>
        <w:rPr>
          <w:rFonts w:hint="default"/>
          <w:b/>
          <w:bCs/>
          <w:lang w:val="en-US" w:eastAsia="zh-CN"/>
        </w:rPr>
        <w:t>2、</w:t>
      </w:r>
      <w:r>
        <w:rPr>
          <w:rFonts w:hint="eastAsia"/>
          <w:b/>
          <w:bCs/>
          <w:lang w:val="en-US" w:eastAsia="zh-CN"/>
        </w:rPr>
        <w:t>规范合同管理。</w:t>
      </w:r>
      <w:r>
        <w:rPr>
          <w:rFonts w:hint="eastAsia"/>
          <w:b w:val="0"/>
          <w:bCs w:val="0"/>
          <w:lang w:val="en-US" w:eastAsia="zh-CN"/>
        </w:rPr>
        <w:t>建议被评价单位提高合同管理意识，充分认识规范补签合同管理工作的重要性，强化风险控制。充分体现“按合同做业务”的精神实质，提高管理规范程度。</w:t>
      </w:r>
    </w:p>
    <w:p>
      <w:pPr>
        <w:pStyle w:val="3"/>
        <w:bidi w:val="0"/>
        <w:rPr>
          <w:rFonts w:hint="default"/>
          <w:lang w:val="en-US" w:eastAsia="zh-CN"/>
        </w:rPr>
      </w:pPr>
      <w:bookmarkStart w:id="51" w:name="_Toc14804"/>
      <w:bookmarkStart w:id="52" w:name="_Toc2725"/>
      <w:r>
        <w:rPr>
          <w:rFonts w:hint="default"/>
          <w:lang w:val="en-US" w:eastAsia="zh-CN"/>
        </w:rPr>
        <w:t>七、报告使用情况说明</w:t>
      </w:r>
      <w:bookmarkEnd w:id="51"/>
      <w:bookmarkEnd w:id="52"/>
    </w:p>
    <w:p>
      <w:pPr>
        <w:bidi w:val="0"/>
        <w:rPr>
          <w:rFonts w:hint="default"/>
          <w:lang w:val="en-US" w:eastAsia="zh-CN"/>
        </w:rPr>
      </w:pPr>
      <w:r>
        <w:rPr>
          <w:rFonts w:hint="default"/>
          <w:lang w:val="en-US" w:eastAsia="zh-CN"/>
        </w:rPr>
        <w:t>本报告仅供委托方了解财政专项资金支出绩效情况使用，亦可供邵阳市北塔区城市管理和综合执法局加强预算支出项目绩效管理参考使用，非经委托方和本所许可，不得用于其他目的。</w:t>
      </w:r>
    </w:p>
    <w:p>
      <w:pPr>
        <w:bidi w:val="0"/>
        <w:rPr>
          <w:rFonts w:hint="default"/>
          <w:lang w:val="en-US" w:eastAsia="zh-CN"/>
        </w:rPr>
      </w:pPr>
    </w:p>
    <w:p>
      <w:pPr>
        <w:bidi w:val="0"/>
        <w:rPr>
          <w:rFonts w:hint="default"/>
          <w:lang w:val="en-US" w:eastAsia="zh-CN"/>
        </w:rPr>
      </w:pPr>
      <w:r>
        <w:rPr>
          <w:rFonts w:hint="default"/>
          <w:lang w:val="en-US" w:eastAsia="zh-CN"/>
        </w:rPr>
        <w:t>附件：</w:t>
      </w:r>
      <w:r>
        <w:rPr>
          <w:rFonts w:hint="eastAsia"/>
          <w:lang w:val="en-US" w:eastAsia="zh-CN"/>
        </w:rPr>
        <w:t>1、</w:t>
      </w:r>
      <w:r>
        <w:rPr>
          <w:rFonts w:hint="default"/>
          <w:lang w:val="en-US" w:eastAsia="zh-CN"/>
        </w:rPr>
        <w:t>邵阳市北塔区城市管理和综合执法局2022年度环卫市场化项目绩效评价指标体系</w:t>
      </w:r>
    </w:p>
    <w:p>
      <w:pPr>
        <w:rPr>
          <w:rFonts w:hint="default"/>
          <w:lang w:val="en-US" w:eastAsia="zh-CN"/>
        </w:rPr>
      </w:pPr>
      <w:r>
        <w:rPr>
          <w:rFonts w:hint="eastAsia"/>
          <w:lang w:val="en-US" w:eastAsia="zh-CN"/>
        </w:rPr>
        <w:t>2、邵阳市北塔区城市管理和综合执法局2022年度环卫市场化项目基础数据表</w:t>
      </w:r>
    </w:p>
    <w:p>
      <w:pPr>
        <w:rPr>
          <w:rFonts w:hint="eastAsia"/>
          <w:lang w:val="en-US" w:eastAsia="zh-CN"/>
        </w:rPr>
      </w:pPr>
    </w:p>
    <w:p>
      <w:pPr>
        <w:snapToGrid w:val="0"/>
        <w:spacing w:before="219" w:beforeLines="70" w:line="288" w:lineRule="auto"/>
        <w:ind w:firstLine="0" w:firstLineChars="0"/>
        <w:rPr>
          <w:rFonts w:hint="eastAsia" w:ascii="楷体" w:hAnsi="楷体" w:eastAsia="楷体" w:cs="楷体"/>
          <w:sz w:val="32"/>
          <w:szCs w:val="32"/>
        </w:rPr>
      </w:pPr>
    </w:p>
    <w:p>
      <w:pPr>
        <w:snapToGrid w:val="0"/>
        <w:spacing w:before="219" w:beforeLines="70" w:line="288" w:lineRule="auto"/>
        <w:ind w:firstLine="0" w:firstLineChars="0"/>
        <w:rPr>
          <w:rFonts w:ascii="仿宋" w:hAnsi="仿宋" w:eastAsia="仿宋"/>
          <w:sz w:val="32"/>
          <w:szCs w:val="32"/>
        </w:rPr>
      </w:pPr>
      <w:r>
        <w:rPr>
          <w:rFonts w:hint="eastAsia" w:ascii="楷体" w:hAnsi="楷体" w:eastAsia="楷体" w:cs="楷体"/>
          <w:sz w:val="32"/>
          <w:szCs w:val="32"/>
        </w:rPr>
        <w:t xml:space="preserve">湖南财正会计师事务所（普通合伙） </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snapToGrid w:val="0"/>
        <w:spacing w:after="219" w:afterLines="70" w:line="288" w:lineRule="auto"/>
        <w:rPr>
          <w:rFonts w:ascii="仿宋" w:hAnsi="仿宋" w:eastAsia="仿宋"/>
          <w:sz w:val="32"/>
          <w:szCs w:val="32"/>
        </w:rPr>
      </w:pPr>
    </w:p>
    <w:p>
      <w:pPr>
        <w:snapToGrid w:val="0"/>
        <w:spacing w:after="219" w:afterLines="70" w:line="288" w:lineRule="auto"/>
        <w:ind w:firstLine="0" w:firstLineChars="0"/>
        <w:rPr>
          <w:rFonts w:hint="eastAsia" w:ascii="楷体" w:hAnsi="楷体" w:eastAsia="楷体" w:cs="楷体"/>
          <w:sz w:val="32"/>
          <w:szCs w:val="32"/>
        </w:rPr>
      </w:pPr>
      <w:r>
        <w:rPr>
          <w:rFonts w:ascii="仿宋" w:hAnsi="仿宋" w:eastAsia="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湖南</w:t>
      </w:r>
      <w:r>
        <w:rPr>
          <w:rFonts w:hint="eastAsia" w:ascii="楷体" w:hAnsi="楷体" w:eastAsia="楷体" w:cs="楷体"/>
          <w:sz w:val="32"/>
          <w:szCs w:val="32"/>
        </w:rPr>
        <w:t>·长沙</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wordWrap w:val="0"/>
        <w:ind w:firstLine="0" w:firstLineChars="0"/>
        <w:jc w:val="right"/>
        <w:rPr>
          <w:rFonts w:hint="eastAsia" w:ascii="楷体" w:hAnsi="楷体" w:eastAsia="楷体" w:cs="楷体"/>
          <w:sz w:val="32"/>
          <w:szCs w:val="32"/>
        </w:rPr>
      </w:pPr>
      <w:r>
        <w:rPr>
          <w:rFonts w:hint="eastAsia" w:ascii="楷体" w:hAnsi="楷体" w:eastAsia="楷体" w:cs="楷体"/>
          <w:sz w:val="32"/>
          <w:szCs w:val="32"/>
        </w:rPr>
        <w:t>二〇二</w:t>
      </w:r>
      <w:r>
        <w:rPr>
          <w:rFonts w:hint="eastAsia" w:ascii="楷体" w:hAnsi="楷体" w:eastAsia="楷体" w:cs="楷体"/>
          <w:sz w:val="32"/>
          <w:szCs w:val="32"/>
          <w:lang w:val="en-US" w:eastAsia="zh-CN"/>
        </w:rPr>
        <w:t>三</w:t>
      </w:r>
      <w:r>
        <w:rPr>
          <w:rFonts w:hint="eastAsia" w:ascii="楷体" w:hAnsi="楷体" w:eastAsia="楷体" w:cs="楷体"/>
          <w:sz w:val="32"/>
          <w:szCs w:val="32"/>
        </w:rPr>
        <w:t>年</w:t>
      </w:r>
      <w:r>
        <w:rPr>
          <w:rFonts w:hint="eastAsia" w:ascii="楷体" w:hAnsi="楷体" w:eastAsia="楷体" w:cs="楷体"/>
          <w:sz w:val="32"/>
          <w:szCs w:val="32"/>
          <w:lang w:val="en-US" w:eastAsia="zh-CN"/>
        </w:rPr>
        <w:t>十</w:t>
      </w:r>
      <w:r>
        <w:rPr>
          <w:rFonts w:hint="eastAsia" w:ascii="楷体" w:hAnsi="楷体" w:eastAsia="楷体" w:cs="楷体"/>
          <w:sz w:val="32"/>
          <w:szCs w:val="32"/>
        </w:rPr>
        <w:t>月</w:t>
      </w:r>
      <w:r>
        <w:rPr>
          <w:rFonts w:hint="eastAsia" w:ascii="楷体" w:hAnsi="楷体" w:eastAsia="楷体" w:cs="楷体"/>
          <w:sz w:val="32"/>
          <w:szCs w:val="32"/>
          <w:lang w:val="en-US" w:eastAsia="zh-CN"/>
        </w:rPr>
        <w:t>二十</w:t>
      </w:r>
      <w:r>
        <w:rPr>
          <w:rFonts w:hint="eastAsia" w:ascii="楷体" w:hAnsi="楷体" w:eastAsia="楷体" w:cs="楷体"/>
          <w:sz w:val="32"/>
          <w:szCs w:val="32"/>
        </w:rPr>
        <w:t>日</w:t>
      </w:r>
    </w:p>
    <w:p>
      <w:pPr>
        <w:rPr>
          <w:rFonts w:hint="eastAsia" w:ascii="楷体" w:hAnsi="楷体" w:eastAsia="楷体" w:cs="楷体"/>
          <w:sz w:val="32"/>
          <w:szCs w:val="32"/>
        </w:rPr>
      </w:pPr>
      <w:r>
        <w:rPr>
          <w:rFonts w:hint="eastAsia" w:ascii="楷体" w:hAnsi="楷体" w:eastAsia="楷体" w:cs="楷体"/>
          <w:sz w:val="32"/>
          <w:szCs w:val="32"/>
        </w:rPr>
        <w:br w:type="page"/>
      </w:r>
    </w:p>
    <w:p>
      <w:pPr>
        <w:pStyle w:val="2"/>
        <w:rPr>
          <w:rFonts w:hint="eastAsia"/>
        </w:rPr>
        <w:sectPr>
          <w:footerReference r:id="rId9" w:type="first"/>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pPr>
        <w:pStyle w:val="10"/>
        <w:jc w:val="left"/>
        <w:rPr>
          <w:rFonts w:hint="eastAsia"/>
          <w:b/>
          <w:bCs/>
          <w:sz w:val="32"/>
          <w:szCs w:val="32"/>
          <w:lang w:val="en-US" w:eastAsia="zh-CN"/>
        </w:rPr>
      </w:pPr>
      <w:r>
        <w:rPr>
          <w:rFonts w:hint="eastAsia"/>
          <w:b/>
          <w:bCs/>
          <w:sz w:val="32"/>
          <w:szCs w:val="32"/>
          <w:lang w:val="en-US" w:eastAsia="zh-CN"/>
        </w:rPr>
        <w:t>附件1：</w:t>
      </w:r>
    </w:p>
    <w:p>
      <w:pPr>
        <w:pStyle w:val="10"/>
        <w:jc w:val="center"/>
        <w:rPr>
          <w:rFonts w:hint="default"/>
          <w:b/>
          <w:bCs/>
          <w:lang w:val="en-US" w:eastAsia="zh-CN"/>
        </w:rPr>
      </w:pPr>
      <w:r>
        <w:rPr>
          <w:rFonts w:hint="default"/>
          <w:b/>
          <w:bCs/>
          <w:lang w:val="en-US" w:eastAsia="zh-CN"/>
        </w:rPr>
        <w:t>邵阳市北塔区城市管理和综合执法局 2022年度环卫市场化项目绩效评价指标体系</w:t>
      </w:r>
    </w:p>
    <w:tbl>
      <w:tblPr>
        <w:tblStyle w:val="17"/>
        <w:tblW w:w="4998" w:type="pct"/>
        <w:tblInd w:w="0" w:type="dxa"/>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Layout w:type="autofit"/>
        <w:tblCellMar>
          <w:top w:w="0" w:type="dxa"/>
          <w:left w:w="108" w:type="dxa"/>
          <w:bottom w:w="0" w:type="dxa"/>
          <w:right w:w="108" w:type="dxa"/>
        </w:tblCellMar>
      </w:tblPr>
      <w:tblGrid>
        <w:gridCol w:w="927"/>
        <w:gridCol w:w="737"/>
        <w:gridCol w:w="791"/>
        <w:gridCol w:w="805"/>
        <w:gridCol w:w="2961"/>
        <w:gridCol w:w="4574"/>
        <w:gridCol w:w="959"/>
        <w:gridCol w:w="2414"/>
      </w:tblGrid>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一级指标</w:t>
            </w: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二级指标</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三级指标</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分值</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指标解释</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评分标准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得分</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扣分因素</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决策</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项目立项</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立项依据充分性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①项目立项是否符合国家相关法律法规、国民经济发展规划和相关政策；完全将合计0.4分，基本符合计0.2分，不符合不得分；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②项目立项是否符合行业发展规划和政策要求；完全符合计0.4分。基本符合计0.2分，不符合不得分；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③项目立项是否与部门职责范围相符，属于部门履职所需；完全相符计0.4分，基本相符计0.2分，不相符不得分；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④项目是否属于公共财政支持范围。是否符合中央、地方事权支出责任划分原则；完全符合计0.4分，基本符合计0.2分，不符合不得分；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⑤项目是否与相关部门同类项目或部门内部相关项目重复；不重复计0.4分，重复不得分。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立项程序规范性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项目申请、设立过程是否符合相关要求，用以反映和考核项目立项的规范情况。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①项目是否按照规定的程序申请设立；完全按照计1分。基本按照计0.5分，未按照不得分；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②审批文件、材料是否符合相关要求；完全符合计1分，基本符合计0.5分，不符合不得分；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③事前是否已经过必要的可行性研究、专家论证、风险评估、绩效评估、集体决策。每环节设0.2分，每经过一环节计0.2分，未经过不得分。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绩效目标</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绩效目标合理性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①项目是否有绩效目标；有计0.5分。没有不得分；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②项目绩效目标与实际工作内容是否具有相关性；有相关性计0.5分，没有不得分；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③项目预期产出效益和效果是否符合正常的业绩水平；完全符合计0.5分，基本符合计0.3分，不符合不得分；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④是否与预算确定的项目投资额或资金量相匹配。完全</w:t>
            </w:r>
            <w:r>
              <w:rPr>
                <w:rFonts w:hint="eastAsia" w:eastAsia="宋体" w:cs="Times New Roman"/>
                <w:i w:val="0"/>
                <w:iCs w:val="0"/>
                <w:color w:val="000000"/>
                <w:kern w:val="0"/>
                <w:sz w:val="18"/>
                <w:szCs w:val="18"/>
                <w:u w:val="none"/>
                <w:lang w:val="en-US" w:eastAsia="zh-CN" w:bidi="ar"/>
              </w:rPr>
              <w:t>匹配</w:t>
            </w:r>
            <w:r>
              <w:rPr>
                <w:rFonts w:hint="eastAsia" w:ascii="Times New Roman" w:hAnsi="Times New Roman" w:eastAsia="宋体" w:cs="Times New Roman"/>
                <w:i w:val="0"/>
                <w:iCs w:val="0"/>
                <w:color w:val="000000"/>
                <w:kern w:val="0"/>
                <w:sz w:val="18"/>
                <w:szCs w:val="18"/>
                <w:u w:val="none"/>
                <w:lang w:val="en-US" w:eastAsia="zh-CN" w:bidi="ar"/>
              </w:rPr>
              <w:t>计0.5分，基本匹配计0.3分，不匹配不得分。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0</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项目未设立绩效目标</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绩效指标明确性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①是否将项目绩效目标细化分解为具体的绩效指标；有细化分解计1分。未细化分解不得分；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②是否通过清晰、可衡量的指标值予以体现；是计1分，未体现不得分；③是否与项目目标任务数或计划数相对应；完全对应计1分，基本对应计0.5分，不对应不得分。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0</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项目未设立绩效目标</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资金投入</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预算编制科学性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①预算编制是否经过科学论证；有科学论证计0.5分。未经过科学论证不得分；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②预算内容与项目内容是否匹配；完全匹配计0.5分，基本匹配计0.3分，不匹配不得分；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③预算额度测算依据是否充分，是否按照标准编制；充分计0.5分，不充分不得分；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④预算确定的项目投资额或资金量是否与工作任务相匹配；完全匹配计0.5分 基本匹配计0.3分，不匹配不得分。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eastAsia="宋体" w:cs="Times New Roman"/>
                <w:i w:val="0"/>
                <w:iCs w:val="0"/>
                <w:color w:val="000000"/>
                <w:kern w:val="0"/>
                <w:sz w:val="18"/>
                <w:szCs w:val="18"/>
                <w:u w:val="none"/>
                <w:lang w:val="en-US" w:eastAsia="zh-CN" w:bidi="ar"/>
              </w:rPr>
              <w:t>2</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资金分配合理性</w:t>
            </w:r>
          </w:p>
        </w:tc>
        <w:tc>
          <w:tcPr>
            <w:tcW w:w="2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项目预算资金分配是否有测算依据。与</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补助单位或地方实际是否相适应，用以</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反映和考核项目预算资金分配的科学性</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、合理性情况。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①预算资金分配依据是否充分；充分计1分，基本充分计0.5分，不充分不得分；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②资金分配额度是否合理，与项目单位或地方实际是否相适应；合理计2分，基本合理计1分，不合理不得分。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过程</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25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资金管理</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13</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资金到位率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实际到位资金与预算资金的比率，用以反映和考核资金落实情况对项目实施的总体保障程度。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资金到位率=（实际到位资金/预算资金</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 xml:space="preserve"> ×100%。到位率100%计3分，每下降1%扣0.2分，扣完为止。</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实际到位资金：一定时期（本年度或项目期</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内落实到具体项目的资金。</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预算资金：一定时期（本年度或项目期 ）内预算</w:t>
            </w:r>
            <w:r>
              <w:rPr>
                <w:rFonts w:hint="eastAsia" w:eastAsia="宋体" w:cs="Times New Roman"/>
                <w:i w:val="0"/>
                <w:iCs w:val="0"/>
                <w:color w:val="000000"/>
                <w:kern w:val="0"/>
                <w:sz w:val="18"/>
                <w:szCs w:val="18"/>
                <w:u w:val="none"/>
                <w:lang w:val="en-US" w:eastAsia="zh-CN" w:bidi="ar"/>
              </w:rPr>
              <w:t>安排</w:t>
            </w:r>
            <w:r>
              <w:rPr>
                <w:rFonts w:hint="eastAsia" w:ascii="Times New Roman" w:hAnsi="Times New Roman" w:eastAsia="宋体" w:cs="Times New Roman"/>
                <w:i w:val="0"/>
                <w:iCs w:val="0"/>
                <w:color w:val="000000"/>
                <w:kern w:val="0"/>
                <w:sz w:val="18"/>
                <w:szCs w:val="18"/>
                <w:u w:val="none"/>
                <w:lang w:val="en-US" w:eastAsia="zh-CN" w:bidi="ar"/>
              </w:rPr>
              <w:t>到具体项目的资金。</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预算执行率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项目预算资金是否按照计划执行，用以反映或考核项目预算执行情况。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预算执行率=(实际支出资金/实际到位资金) ×100%。预算执行率100%计5分，每下降1%扣0.5分，扣完为止。</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实际支出资金：一定时期（本年度或项目期</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内项目实际拨付的资金。</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资金使用合规性</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项目资金使用是否符合相关的财务管理制度规定，用以反映和考核项目资金的规范运行情况。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①是否符合国家财经法规和财务管理制度以及有关</w:t>
            </w:r>
            <w:r>
              <w:rPr>
                <w:rFonts w:hint="eastAsia" w:eastAsia="宋体" w:cs="Times New Roman"/>
                <w:i w:val="0"/>
                <w:iCs w:val="0"/>
                <w:color w:val="000000"/>
                <w:kern w:val="0"/>
                <w:sz w:val="18"/>
                <w:szCs w:val="18"/>
                <w:u w:val="none"/>
                <w:lang w:val="en-US" w:eastAsia="zh-CN" w:bidi="ar"/>
              </w:rPr>
              <w:t>专项资金</w:t>
            </w:r>
            <w:r>
              <w:rPr>
                <w:rFonts w:hint="eastAsia" w:ascii="Times New Roman" w:hAnsi="Times New Roman" w:eastAsia="宋体" w:cs="Times New Roman"/>
                <w:i w:val="0"/>
                <w:iCs w:val="0"/>
                <w:color w:val="000000"/>
                <w:kern w:val="0"/>
                <w:sz w:val="18"/>
                <w:szCs w:val="18"/>
                <w:u w:val="none"/>
                <w:lang w:val="en-US" w:eastAsia="zh-CN" w:bidi="ar"/>
              </w:rPr>
              <w:t>管理办法的规定；完全符合计1分，基本符合计0.5分，不符合不得分；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②资金的拨付是否有完整的审批程序和手续 ；完整计1分，基本完整计0.5分，不完整不得分；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③是否符合项目预算批复或合同规定的用途；完全符合计1分，基本符合计0.5分，不符合不得分；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④是否存在截留、挤占、挪用、虚列支出等情况；不存在计2分，存在不得分。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1.5</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w:t>
            </w:r>
            <w:r>
              <w:rPr>
                <w:rFonts w:hint="eastAsia" w:eastAsia="宋体" w:cs="Times New Roman"/>
                <w:i w:val="0"/>
                <w:iCs w:val="0"/>
                <w:color w:val="000000"/>
                <w:kern w:val="0"/>
                <w:sz w:val="18"/>
                <w:szCs w:val="18"/>
                <w:u w:val="none"/>
                <w:lang w:val="en-US" w:eastAsia="zh-CN" w:bidi="ar"/>
              </w:rPr>
              <w:t>专项资金</w:t>
            </w:r>
            <w:r>
              <w:rPr>
                <w:rFonts w:hint="eastAsia" w:ascii="Times New Roman" w:hAnsi="Times New Roman" w:eastAsia="宋体" w:cs="Times New Roman"/>
                <w:i w:val="0"/>
                <w:iCs w:val="0"/>
                <w:color w:val="000000"/>
                <w:kern w:val="0"/>
                <w:sz w:val="18"/>
                <w:szCs w:val="18"/>
                <w:u w:val="none"/>
                <w:lang w:val="en-US" w:eastAsia="zh-CN" w:bidi="ar"/>
              </w:rPr>
              <w:t xml:space="preserve">专项管理欠规范，扣0.5分。 </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②未按合同规定付款合同约定“每月10日前公布上月考评结果，并根据考评结果于每月20日前</w:t>
            </w:r>
            <w:r>
              <w:rPr>
                <w:rFonts w:hint="eastAsia" w:eastAsia="宋体" w:cs="Times New Roman"/>
                <w:i w:val="0"/>
                <w:iCs w:val="0"/>
                <w:color w:val="000000"/>
                <w:kern w:val="0"/>
                <w:sz w:val="18"/>
                <w:szCs w:val="18"/>
                <w:u w:val="none"/>
                <w:lang w:val="en-US" w:eastAsia="zh-CN" w:bidi="ar"/>
              </w:rPr>
              <w:t>交付</w:t>
            </w:r>
            <w:r>
              <w:rPr>
                <w:rFonts w:hint="eastAsia" w:ascii="Times New Roman" w:hAnsi="Times New Roman" w:eastAsia="宋体" w:cs="Times New Roman"/>
                <w:i w:val="0"/>
                <w:iCs w:val="0"/>
                <w:color w:val="000000"/>
                <w:kern w:val="0"/>
                <w:sz w:val="18"/>
                <w:szCs w:val="18"/>
                <w:u w:val="none"/>
                <w:lang w:val="en-US" w:eastAsia="zh-CN" w:bidi="ar"/>
              </w:rPr>
              <w:t>上月应付经费”，经抽查凭证发现，2022年12月74#凭证，12月22日支付10-11月劳务费经费，未严格按合同约定的次月支付；扣1分。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③存在资金使用不规范现象专项资金用于垫付其他项目支出， 1915万专项资金中有约72.23万元用于其他项目扣2分。</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组织实施</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12</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管理制度健全性</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①是否已制定或具有相应的财务和业务管理制度 ；制定或具有计2分，未制定或不具有则不得分；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②财务和业务管理制度是否合法 、合规、完整；是计2分，不合法、合规、完整不得分。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制度执行有效性</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8</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项目实施是否符合相关管理规定，用以反映和考核相关管理制度的有效执行情况。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①是否遵守相关法律法规和相关管理规定；遵守计1分，不遵守不得分；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②项目调整及支出调整手续是否完备 ；完备计3分，基本完备计2分，不完备不得分；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③项目合同书、验收报告、技术鉴定等资料是否齐全并及时</w:t>
            </w:r>
            <w:r>
              <w:rPr>
                <w:rFonts w:hint="eastAsia" w:eastAsia="宋体" w:cs="Times New Roman"/>
                <w:i w:val="0"/>
                <w:iCs w:val="0"/>
                <w:color w:val="000000"/>
                <w:kern w:val="0"/>
                <w:sz w:val="18"/>
                <w:szCs w:val="18"/>
                <w:u w:val="none"/>
                <w:lang w:val="en-US" w:eastAsia="zh-CN" w:bidi="ar"/>
              </w:rPr>
              <w:t>归档</w:t>
            </w:r>
            <w:r>
              <w:rPr>
                <w:rFonts w:hint="eastAsia" w:ascii="Times New Roman" w:hAnsi="Times New Roman" w:eastAsia="宋体" w:cs="Times New Roman"/>
                <w:i w:val="0"/>
                <w:iCs w:val="0"/>
                <w:color w:val="000000"/>
                <w:kern w:val="0"/>
                <w:sz w:val="18"/>
                <w:szCs w:val="18"/>
                <w:u w:val="none"/>
                <w:lang w:val="en-US" w:eastAsia="zh-CN" w:bidi="ar"/>
              </w:rPr>
              <w:t>；齐全并及时归档计3分，每缺少一项扣1分；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④项目实施的人员条件、场地设备、信息支撑等是否落实到位；落实到位计1分，未落实到位不得分。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项目合同到期后签订补签2022年1-3月补充协议，补充协议到期后未再补签合同，2022年4-12月按照超出服务期限的合同付款，扣3分。不符合《北塔区城管局单位采购活动控制管理制度》“二、采购流程 4、对大宗物品、劳务支出、工程维修等，办公室负责与供货单位拟订采购合同</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然后由法律顾问审核</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报主任审批后存档备案。”</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产出指标</w:t>
            </w:r>
            <w:r>
              <w:rPr>
                <w:rStyle w:val="22"/>
                <w:rFonts w:hint="eastAsia" w:ascii="Times New Roman" w:hAnsi="Times New Roman" w:eastAsia="宋体" w:cs="Times New Roman"/>
                <w:sz w:val="18"/>
                <w:szCs w:val="18"/>
                <w:lang w:val="en-US" w:eastAsia="zh-CN" w:bidi="ar"/>
              </w:rPr>
              <w:t xml:space="preserve"> </w:t>
            </w:r>
            <w:r>
              <w:rPr>
                <w:rStyle w:val="22"/>
                <w:rFonts w:hint="eastAsia" w:eastAsia="宋体" w:cs="Times New Roman"/>
                <w:sz w:val="18"/>
                <w:szCs w:val="18"/>
                <w:lang w:val="en-US" w:eastAsia="zh-CN" w:bidi="ar"/>
              </w:rPr>
              <w:t>（</w:t>
            </w:r>
            <w:r>
              <w:rPr>
                <w:rStyle w:val="22"/>
                <w:rFonts w:hint="eastAsia" w:ascii="Times New Roman" w:hAnsi="Times New Roman" w:eastAsia="宋体" w:cs="Times New Roman"/>
                <w:sz w:val="18"/>
                <w:szCs w:val="18"/>
                <w:lang w:val="en-US" w:eastAsia="zh-CN" w:bidi="ar"/>
              </w:rPr>
              <w:t>35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数量指标（</w:t>
            </w:r>
            <w:r>
              <w:rPr>
                <w:rStyle w:val="22"/>
                <w:rFonts w:hint="eastAsia" w:ascii="Times New Roman" w:hAnsi="Times New Roman" w:eastAsia="宋体" w:cs="Times New Roman"/>
                <w:sz w:val="18"/>
                <w:szCs w:val="18"/>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资产配置率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预算支出实施的实际产出数与计划产出数的比率，用以反映和考核预算支出产出数量目标的实现程度。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实际完成率</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实际配置数/计划配置数</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×100%。按合同约定配置产的，得分</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实际完成数量/计划完成数量</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×100%*指标标准分值。</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4.3</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抽查包一段相关资料；合同约定配置车辆21辆，实际配置18辆，配置率为86%，扣0.7分</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人员配置率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预算支出实施的实际产出数与计划产出数的比率，用以反映和考核预算支出产出数量目标的实现程度。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实际完成率=</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实际院置数/计划配置数) ×100%。未按合同约定配置产的，得分=(实际完成数量/计划完成数量)×100%*指标标准分值。</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3.8</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抽查包一段相关资料；合同约定配置人员193人，实际配置147人，配置率为76%，扣1.2分。</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清扫工作实际完成率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考核项目辖区内的实施清扫情况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包一段计划完成城区主干道12条、城外主干道1条、小街小巷覆盖6个社区、中转站6个，公厕12座的清扫工作；包二段计划完成城区主干道10条、小街小巷覆盖6个社区、中转站14个、公厕29座的清扫工作，得满分；包三段计划完成城区主干道10条清扫工作；全部完成得满分未达到按实际完成情况得分；得分=(实际完成数量/计划完成数量)×100%*指标标准分值。</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质量指标（</w:t>
            </w:r>
            <w:r>
              <w:rPr>
                <w:rStyle w:val="22"/>
                <w:rFonts w:hint="eastAsia" w:ascii="Times New Roman" w:hAnsi="Times New Roman" w:eastAsia="宋体" w:cs="Times New Roman"/>
                <w:sz w:val="18"/>
                <w:szCs w:val="18"/>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质量达标率</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10</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预算支出完成的质量达标产出数与实际产出数的比率，用以反映和考核预算支出产出质量目标的实现程度。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质量达标率=(质量达标产出数/实际产出数)×100%.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8.18</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根据《邵阳市城市管理委员会办公室2022年市区市容环境卫生明检情况通报》随机抽取四次的“北塔区明检问题一览表”通报情况，综合得分81.83，按产出</w:t>
            </w:r>
            <w:r>
              <w:rPr>
                <w:rFonts w:hint="eastAsia" w:eastAsia="宋体" w:cs="Times New Roman"/>
                <w:i w:val="0"/>
                <w:iCs w:val="0"/>
                <w:color w:val="000000"/>
                <w:kern w:val="0"/>
                <w:sz w:val="18"/>
                <w:szCs w:val="18"/>
                <w:u w:val="none"/>
                <w:lang w:val="en-US" w:eastAsia="zh-CN" w:bidi="ar"/>
              </w:rPr>
              <w:t>得分</w:t>
            </w:r>
            <w:r>
              <w:rPr>
                <w:rFonts w:hint="eastAsia" w:ascii="Times New Roman" w:hAnsi="Times New Roman" w:eastAsia="宋体" w:cs="Times New Roman"/>
                <w:i w:val="0"/>
                <w:iCs w:val="0"/>
                <w:color w:val="000000"/>
                <w:kern w:val="0"/>
                <w:sz w:val="18"/>
                <w:szCs w:val="18"/>
                <w:u w:val="none"/>
                <w:lang w:val="en-US" w:eastAsia="zh-CN" w:bidi="ar"/>
              </w:rPr>
              <w:t>比率计算扣1.82分</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时效指标</w:t>
            </w:r>
            <w:r>
              <w:rPr>
                <w:rStyle w:val="22"/>
                <w:rFonts w:hint="eastAsia" w:ascii="Times New Roman" w:hAnsi="Times New Roman" w:eastAsia="宋体" w:cs="Times New Roman"/>
                <w:sz w:val="18"/>
                <w:szCs w:val="18"/>
                <w:lang w:val="en-US" w:eastAsia="zh-CN" w:bidi="ar"/>
              </w:rPr>
              <w:t xml:space="preserve"> (5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完成及时性</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预算支出实际完成时间与计划完成时间的比较，用以反映和考核预算支出产出时效目标的实现程度。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实际完成时间；预算支出实施单位完成该预算支出实际所耗用的时间；计划完成时间； 按照预算支出实施计划或相关规定完成该预算支出所需的时间。</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成本指标</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项目成本</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考核项目计划所需成本。</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项目成本控制在预算金额内，得满分；超出10%的范围，每变化1%扣0.5分，扣完为止。</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效益指标</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20</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经济效益指标（5分）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提高当地城市</w:t>
            </w:r>
            <w:r>
              <w:rPr>
                <w:rFonts w:hint="eastAsia" w:eastAsia="宋体" w:cs="Times New Roman"/>
                <w:i w:val="0"/>
                <w:iCs w:val="0"/>
                <w:color w:val="000000"/>
                <w:kern w:val="0"/>
                <w:sz w:val="18"/>
                <w:szCs w:val="18"/>
                <w:u w:val="none"/>
                <w:lang w:val="en-US" w:eastAsia="zh-CN" w:bidi="ar"/>
              </w:rPr>
              <w:t>竞争</w:t>
            </w:r>
            <w:r>
              <w:rPr>
                <w:rFonts w:hint="eastAsia" w:ascii="Times New Roman" w:hAnsi="Times New Roman" w:eastAsia="宋体" w:cs="Times New Roman"/>
                <w:i w:val="0"/>
                <w:iCs w:val="0"/>
                <w:color w:val="000000"/>
                <w:kern w:val="0"/>
                <w:sz w:val="18"/>
                <w:szCs w:val="18"/>
                <w:u w:val="none"/>
                <w:lang w:val="en-US" w:eastAsia="zh-CN" w:bidi="ar"/>
              </w:rPr>
              <w:t>力</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项目实施后对当地经济环境的影响</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w:t>
            </w:r>
            <w:r>
              <w:rPr>
                <w:rFonts w:hint="eastAsia" w:eastAsia="宋体" w:cs="Times New Roman"/>
                <w:i w:val="0"/>
                <w:iCs w:val="0"/>
                <w:color w:val="000000"/>
                <w:kern w:val="0"/>
                <w:sz w:val="18"/>
                <w:szCs w:val="18"/>
                <w:u w:val="none"/>
                <w:lang w:val="en-US" w:eastAsia="zh-CN" w:bidi="ar"/>
              </w:rPr>
              <w:t>完成了</w:t>
            </w:r>
            <w:r>
              <w:rPr>
                <w:rFonts w:hint="eastAsia" w:ascii="Times New Roman" w:hAnsi="Times New Roman" w:eastAsia="宋体" w:cs="Times New Roman"/>
                <w:i w:val="0"/>
                <w:iCs w:val="0"/>
                <w:color w:val="000000"/>
                <w:kern w:val="0"/>
                <w:sz w:val="18"/>
                <w:szCs w:val="18"/>
                <w:u w:val="none"/>
                <w:lang w:val="en-US" w:eastAsia="zh-CN" w:bidi="ar"/>
              </w:rPr>
              <w:t>辖区道路机械清扫保洁、治理路面扬尘、生活垃圾的清运、公厕、转运站维修</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护</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费及城中村居民日常生活对环境的必须要求等，和完成辖区道路清扫保洁、公厕管理、生活垃圾的收集、清运工作迎接各类与环境卫生有关的检查工作，巩固了国家卫生城市成果。为争创全国文明城市打下了坚实的基础，提高城市竞争力。酌情打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连续4年被评为邵阳全市市容环境卫生先进单位，优质环境有利于经济效益的提升。</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社会效益指标（5分）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提高居民生产生活环境状况</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考核项目实施后对居民生产生活环境的影响。</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清洁、优美的辖区环境给本地区居民带来了生活品质的提高。根据问卷调查结果及现场评价情况，酌情打分。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4.8</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问题9“您觉得城区垃圾回收站</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”81.03%的居民觉得很好每天定时处理；17.24%的居民觉得较好较为及时进行</w:t>
            </w:r>
            <w:r>
              <w:rPr>
                <w:rFonts w:hint="eastAsia" w:eastAsia="宋体" w:cs="Times New Roman"/>
                <w:i w:val="0"/>
                <w:iCs w:val="0"/>
                <w:color w:val="000000"/>
                <w:kern w:val="0"/>
                <w:sz w:val="18"/>
                <w:szCs w:val="18"/>
                <w:u w:val="none"/>
                <w:lang w:val="en-US" w:eastAsia="zh-CN" w:bidi="ar"/>
              </w:rPr>
              <w:t>处理</w:t>
            </w:r>
            <w:r>
              <w:rPr>
                <w:rFonts w:hint="eastAsia" w:ascii="Times New Roman" w:hAnsi="Times New Roman" w:eastAsia="宋体" w:cs="Times New Roman"/>
                <w:i w:val="0"/>
                <w:iCs w:val="0"/>
                <w:color w:val="000000"/>
                <w:kern w:val="0"/>
                <w:sz w:val="18"/>
                <w:szCs w:val="18"/>
                <w:u w:val="none"/>
                <w:lang w:val="en-US" w:eastAsia="zh-CN" w:bidi="ar"/>
              </w:rPr>
              <w:t>；1.72%的居民觉得不好很长时间都不处理，综合得分97.75%；酌情扣0.2分。</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生态效益指标（5分）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提高生态环境水平</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考察项目对生态环境的影响情况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项目的实施有利于保护环境、节约资源，良好的生态环境促进社会经济可持续发展。根据问卷调查结果及现场评价情况，酌情打分。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问卷8题；较2018年之前，您觉得周围的环境变化如何</w:t>
            </w:r>
            <w:r>
              <w:rPr>
                <w:rFonts w:hint="eastAsia"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100%的居民认为有变好。</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可持续影响指标（5分）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长效管理制度建设</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考察是否建立了与项目直接相关的业务管理制度，制度是否健全、完善和有效用以反映和考核业务管理制度对项目顺利实施的保障情况.</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①已制定或具有相应的业务或项目管理制度；②业务或项目管理制度科学、合理、完整；③按规定管理相关业务档案。三项都符合得100%权重分，有一项不符合扣 1/3 的权重分，扣完为止。</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tblCellMar>
            <w:top w:w="0" w:type="dxa"/>
            <w:left w:w="108" w:type="dxa"/>
            <w:bottom w:w="0" w:type="dxa"/>
            <w:right w:w="108" w:type="dxa"/>
          </w:tblCellMar>
        </w:tblPrEx>
        <w:trPr>
          <w:trHeight w:val="340" w:hRule="atLeast"/>
        </w:trPr>
        <w:tc>
          <w:tcPr>
            <w:tcW w:w="3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满意度指标</w:t>
            </w:r>
            <w:r>
              <w:rPr>
                <w:rFonts w:hint="eastAsia" w:eastAsia="宋体" w:cs="Times New Roman"/>
                <w:i w:val="0"/>
                <w:iCs w:val="0"/>
                <w:color w:val="000000"/>
                <w:kern w:val="0"/>
                <w:sz w:val="18"/>
                <w:szCs w:val="18"/>
                <w:u w:val="none"/>
                <w:lang w:val="en-US" w:eastAsia="zh-CN" w:bidi="ar"/>
              </w:rPr>
              <w:t>（</w:t>
            </w:r>
            <w:r>
              <w:rPr>
                <w:rStyle w:val="22"/>
                <w:rFonts w:hint="eastAsia" w:ascii="Times New Roman" w:hAnsi="Times New Roman" w:eastAsia="宋体" w:cs="Times New Roman"/>
                <w:sz w:val="18"/>
                <w:szCs w:val="18"/>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分</w:t>
            </w:r>
            <w:r>
              <w:rPr>
                <w:rFonts w:hint="eastAsia" w:eastAsia="宋体" w:cs="Times New Roman"/>
                <w:i w:val="0"/>
                <w:iCs w:val="0"/>
                <w:color w:val="000000"/>
                <w:kern w:val="0"/>
                <w:sz w:val="18"/>
                <w:szCs w:val="18"/>
                <w:u w:val="none"/>
                <w:lang w:val="en-US" w:eastAsia="zh-CN" w:bidi="ar"/>
              </w:rPr>
              <w:t>）</w:t>
            </w:r>
          </w:p>
        </w:tc>
        <w:tc>
          <w:tcPr>
            <w:tcW w:w="2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社会公众或服务</w:t>
            </w:r>
            <w:r>
              <w:rPr>
                <w:rFonts w:hint="eastAsia" w:eastAsia="宋体" w:cs="Times New Roman"/>
                <w:i w:val="0"/>
                <w:iCs w:val="0"/>
                <w:color w:val="000000"/>
                <w:kern w:val="0"/>
                <w:sz w:val="18"/>
                <w:szCs w:val="18"/>
                <w:u w:val="none"/>
                <w:lang w:val="en-US" w:eastAsia="zh-CN" w:bidi="ar"/>
              </w:rPr>
              <w:t>对象</w:t>
            </w:r>
            <w:r>
              <w:rPr>
                <w:rFonts w:hint="eastAsia" w:ascii="Times New Roman" w:hAnsi="Times New Roman" w:eastAsia="宋体" w:cs="Times New Roman"/>
                <w:i w:val="0"/>
                <w:iCs w:val="0"/>
                <w:color w:val="000000"/>
                <w:kern w:val="0"/>
                <w:sz w:val="18"/>
                <w:szCs w:val="18"/>
                <w:u w:val="none"/>
                <w:lang w:val="en-US" w:eastAsia="zh-CN" w:bidi="ar"/>
              </w:rPr>
              <w:t>满意度指标（5分）</w:t>
            </w:r>
          </w:p>
        </w:tc>
        <w:tc>
          <w:tcPr>
            <w:tcW w:w="2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项目实施片区域</w:t>
            </w:r>
            <w:r>
              <w:rPr>
                <w:rFonts w:hint="eastAsia" w:eastAsia="宋体" w:cs="Times New Roman"/>
                <w:i w:val="0"/>
                <w:iCs w:val="0"/>
                <w:color w:val="000000"/>
                <w:kern w:val="0"/>
                <w:sz w:val="18"/>
                <w:szCs w:val="18"/>
                <w:u w:val="none"/>
                <w:lang w:val="en-US" w:eastAsia="zh-CN" w:bidi="ar"/>
              </w:rPr>
              <w:t>群众</w:t>
            </w:r>
            <w:r>
              <w:rPr>
                <w:rFonts w:hint="eastAsia" w:ascii="Times New Roman" w:hAnsi="Times New Roman" w:eastAsia="宋体" w:cs="Times New Roman"/>
                <w:i w:val="0"/>
                <w:iCs w:val="0"/>
                <w:color w:val="000000"/>
                <w:kern w:val="0"/>
                <w:sz w:val="18"/>
                <w:szCs w:val="18"/>
                <w:u w:val="none"/>
                <w:lang w:val="en-US" w:eastAsia="zh-CN" w:bidi="ar"/>
              </w:rPr>
              <w:t>满意度</w:t>
            </w: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10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根据调查问卷，项目实施区域群众对项目实施效果的满意程度。</w:t>
            </w:r>
          </w:p>
        </w:tc>
        <w:tc>
          <w:tcPr>
            <w:tcW w:w="16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根据问卷调查结果统计打分，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1.满意度≥90%的，得5分；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2.90%≤满意度＜85%的，得4分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3.85%≤满意度＜80%的，得3分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4.80%≤满意度＜75%的，得2分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5.75%≤满意度＜70%的，得1分；</w:t>
            </w:r>
            <w:r>
              <w:rPr>
                <w:rFonts w:hint="eastAsia" w:ascii="Times New Roman" w:hAnsi="Times New Roman" w:eastAsia="宋体" w:cs="Times New Roman"/>
                <w:i w:val="0"/>
                <w:iCs w:val="0"/>
                <w:color w:val="000000"/>
                <w:kern w:val="0"/>
                <w:sz w:val="18"/>
                <w:szCs w:val="18"/>
                <w:u w:val="none"/>
                <w:lang w:val="en-US" w:eastAsia="zh-CN" w:bidi="ar"/>
              </w:rPr>
              <w:br w:type="textWrapping"/>
            </w:r>
            <w:r>
              <w:rPr>
                <w:rFonts w:hint="eastAsia" w:ascii="Times New Roman" w:hAnsi="Times New Roman" w:eastAsia="宋体" w:cs="Times New Roman"/>
                <w:i w:val="0"/>
                <w:iCs w:val="0"/>
                <w:color w:val="000000"/>
                <w:kern w:val="0"/>
                <w:sz w:val="18"/>
                <w:szCs w:val="18"/>
                <w:u w:val="none"/>
                <w:lang w:val="en-US" w:eastAsia="zh-CN" w:bidi="ar"/>
              </w:rPr>
              <w:t>6.满意度＜70%，不得分。</w:t>
            </w: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w:t>
            </w:r>
          </w:p>
        </w:tc>
        <w:tc>
          <w:tcPr>
            <w:tcW w:w="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绩效评价小组针对项目实施情况向邵阳市居民发放问卷，共收回有效调查问卷58份，项目整体满意度为98.27%。</w:t>
            </w:r>
          </w:p>
        </w:tc>
      </w:tr>
      <w:tr>
        <w:tblPrEx>
          <w:tblBorders>
            <w:top w:val="single" w:color="000000" w:sz="8" w:space="0"/>
            <w:left w:val="none" w:color="auto" w:sz="0" w:space="0"/>
            <w:bottom w:val="single" w:color="000000" w:sz="8" w:space="0"/>
            <w:right w:val="none" w:color="auto" w:sz="0" w:space="0"/>
            <w:insideH w:val="dotted" w:color="000000" w:sz="8" w:space="0"/>
            <w:insideV w:val="dotted" w:color="000000" w:sz="8" w:space="0"/>
          </w:tblBorders>
          <w:shd w:val="clear" w:color="auto" w:fill="auto"/>
          <w:tblCellMar>
            <w:top w:w="0" w:type="dxa"/>
            <w:left w:w="108" w:type="dxa"/>
            <w:bottom w:w="0" w:type="dxa"/>
            <w:right w:w="108" w:type="dxa"/>
          </w:tblCellMar>
        </w:tblPrEx>
        <w:trPr>
          <w:trHeight w:val="340" w:hRule="atLeast"/>
        </w:trPr>
        <w:tc>
          <w:tcPr>
            <w:tcW w:w="327"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60"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79"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2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100</w:t>
            </w:r>
          </w:p>
        </w:tc>
        <w:tc>
          <w:tcPr>
            <w:tcW w:w="1044"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1613"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c>
          <w:tcPr>
            <w:tcW w:w="33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84.</w:t>
            </w:r>
            <w:r>
              <w:rPr>
                <w:rFonts w:hint="eastAsia" w:eastAsia="宋体" w:cs="Times New Roman"/>
                <w:i w:val="0"/>
                <w:iCs w:val="0"/>
                <w:color w:val="000000"/>
                <w:kern w:val="0"/>
                <w:sz w:val="18"/>
                <w:szCs w:val="18"/>
                <w:u w:val="none"/>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8</w:t>
            </w:r>
          </w:p>
        </w:tc>
        <w:tc>
          <w:tcPr>
            <w:tcW w:w="85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Times New Roman" w:hAnsi="Times New Roman" w:eastAsia="宋体" w:cs="Times New Roman"/>
                <w:i w:val="0"/>
                <w:iCs w:val="0"/>
                <w:color w:val="000000"/>
                <w:sz w:val="18"/>
                <w:szCs w:val="18"/>
                <w:u w:val="none"/>
              </w:rPr>
            </w:pPr>
          </w:p>
        </w:tc>
      </w:tr>
    </w:tbl>
    <w:p>
      <w:pPr>
        <w:pStyle w:val="10"/>
        <w:rPr>
          <w:rFonts w:hint="eastAsia"/>
        </w:rPr>
      </w:pPr>
    </w:p>
    <w:p>
      <w:pPr>
        <w:ind w:left="0" w:leftChars="0" w:firstLine="0" w:firstLineChars="0"/>
        <w:rPr>
          <w:rFonts w:hint="default"/>
          <w:lang w:val="en-US" w:eastAsia="zh-CN"/>
        </w:rPr>
      </w:pPr>
    </w:p>
    <w:p>
      <w:pPr>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附件2：</w:t>
      </w:r>
    </w:p>
    <w:p>
      <w:pPr>
        <w:jc w:val="center"/>
        <w:rPr>
          <w:rFonts w:hint="eastAsia" w:ascii="仿宋_GB2312" w:hAnsi="Times New Roman" w:eastAsia="仿宋_GB2312" w:cs="Times New Roman"/>
          <w:b/>
          <w:bCs/>
          <w:kern w:val="2"/>
          <w:sz w:val="30"/>
          <w:szCs w:val="30"/>
          <w:lang w:val="en-US" w:eastAsia="zh-CN" w:bidi="ar-SA"/>
        </w:rPr>
      </w:pPr>
      <w:r>
        <w:rPr>
          <w:rFonts w:hint="eastAsia" w:ascii="仿宋_GB2312" w:hAnsi="Times New Roman" w:eastAsia="仿宋_GB2312" w:cs="Times New Roman"/>
          <w:b/>
          <w:bCs/>
          <w:kern w:val="2"/>
          <w:sz w:val="30"/>
          <w:szCs w:val="30"/>
          <w:lang w:val="en-US" w:eastAsia="zh-CN" w:bidi="ar-SA"/>
        </w:rPr>
        <w:t>邵阳市北塔区城市管理和综合执法局2022年度环卫市场化项目基础数据表</w:t>
      </w:r>
    </w:p>
    <w:tbl>
      <w:tblPr>
        <w:tblStyle w:val="17"/>
        <w:tblW w:w="4869"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shd w:val="clear" w:color="auto" w:fill="auto"/>
        <w:tblLayout w:type="fixed"/>
        <w:tblCellMar>
          <w:top w:w="0" w:type="dxa"/>
          <w:left w:w="108" w:type="dxa"/>
          <w:bottom w:w="0" w:type="dxa"/>
          <w:right w:w="108" w:type="dxa"/>
        </w:tblCellMar>
      </w:tblPr>
      <w:tblGrid>
        <w:gridCol w:w="578"/>
        <w:gridCol w:w="2719"/>
        <w:gridCol w:w="3815"/>
        <w:gridCol w:w="1960"/>
        <w:gridCol w:w="1726"/>
        <w:gridCol w:w="1423"/>
        <w:gridCol w:w="158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340" w:hRule="atLeast"/>
          <w:tblHeader/>
          <w:jc w:val="center"/>
        </w:trPr>
        <w:tc>
          <w:tcPr>
            <w:tcW w:w="2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单位名称</w:t>
            </w:r>
          </w:p>
        </w:tc>
        <w:tc>
          <w:tcPr>
            <w:tcW w:w="1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合同名称</w:t>
            </w:r>
          </w:p>
        </w:tc>
        <w:tc>
          <w:tcPr>
            <w:tcW w:w="7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采购方式</w:t>
            </w:r>
          </w:p>
        </w:tc>
        <w:tc>
          <w:tcPr>
            <w:tcW w:w="62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lang w:val="en-US"/>
              </w:rPr>
            </w:pPr>
            <w:r>
              <w:rPr>
                <w:rFonts w:hint="eastAsia" w:ascii="Times New Roman" w:hAnsi="Times New Roman" w:eastAsia="宋体" w:cs="Times New Roman"/>
                <w:b w:val="0"/>
                <w:bCs w:val="0"/>
                <w:i w:val="0"/>
                <w:iCs w:val="0"/>
                <w:color w:val="auto"/>
                <w:kern w:val="0"/>
                <w:sz w:val="18"/>
                <w:szCs w:val="18"/>
                <w:u w:val="none"/>
                <w:lang w:val="en-US" w:eastAsia="zh-CN" w:bidi="ar"/>
              </w:rPr>
              <w:t>补签</w:t>
            </w:r>
            <w:r>
              <w:rPr>
                <w:rFonts w:hint="default" w:ascii="Times New Roman" w:hAnsi="Times New Roman" w:eastAsia="宋体" w:cs="Times New Roman"/>
                <w:b w:val="0"/>
                <w:bCs w:val="0"/>
                <w:i w:val="0"/>
                <w:iCs w:val="0"/>
                <w:color w:val="auto"/>
                <w:kern w:val="0"/>
                <w:sz w:val="18"/>
                <w:szCs w:val="18"/>
                <w:u w:val="none"/>
                <w:lang w:val="en-US" w:eastAsia="zh-CN" w:bidi="ar"/>
              </w:rPr>
              <w:t>合同</w:t>
            </w:r>
            <w:r>
              <w:rPr>
                <w:rFonts w:hint="eastAsia" w:ascii="Times New Roman" w:hAnsi="Times New Roman" w:eastAsia="宋体" w:cs="Times New Roman"/>
                <w:b w:val="0"/>
                <w:bCs w:val="0"/>
                <w:i w:val="0"/>
                <w:iCs w:val="0"/>
                <w:color w:val="auto"/>
                <w:kern w:val="0"/>
                <w:sz w:val="18"/>
                <w:szCs w:val="18"/>
                <w:u w:val="none"/>
                <w:lang w:val="en-US" w:eastAsia="zh-CN" w:bidi="ar"/>
              </w:rPr>
              <w:t>应支付</w:t>
            </w:r>
            <w:r>
              <w:rPr>
                <w:rFonts w:hint="default" w:ascii="Times New Roman" w:hAnsi="Times New Roman" w:eastAsia="宋体" w:cs="Times New Roman"/>
                <w:b w:val="0"/>
                <w:bCs w:val="0"/>
                <w:i w:val="0"/>
                <w:iCs w:val="0"/>
                <w:color w:val="auto"/>
                <w:kern w:val="0"/>
                <w:sz w:val="18"/>
                <w:szCs w:val="18"/>
                <w:u w:val="none"/>
                <w:lang w:val="en-US" w:eastAsia="zh-CN" w:bidi="ar"/>
              </w:rPr>
              <w:t>价</w:t>
            </w:r>
            <w:r>
              <w:rPr>
                <w:rFonts w:hint="eastAsia" w:ascii="Times New Roman" w:hAnsi="Times New Roman" w:eastAsia="宋体" w:cs="Times New Roman"/>
                <w:b w:val="0"/>
                <w:bCs w:val="0"/>
                <w:i w:val="0"/>
                <w:iCs w:val="0"/>
                <w:color w:val="auto"/>
                <w:kern w:val="0"/>
                <w:sz w:val="18"/>
                <w:szCs w:val="18"/>
                <w:u w:val="none"/>
                <w:lang w:val="en-US" w:eastAsia="zh-CN" w:bidi="ar"/>
              </w:rPr>
              <w:t>款</w:t>
            </w:r>
          </w:p>
        </w:tc>
        <w:tc>
          <w:tcPr>
            <w:tcW w:w="51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lang w:val="en-US" w:eastAsia="zh-CN"/>
              </w:rPr>
            </w:pPr>
            <w:r>
              <w:rPr>
                <w:rFonts w:hint="eastAsia" w:ascii="Times New Roman" w:hAnsi="Times New Roman" w:eastAsia="宋体" w:cs="Times New Roman"/>
                <w:b w:val="0"/>
                <w:bCs w:val="0"/>
                <w:i w:val="0"/>
                <w:iCs w:val="0"/>
                <w:color w:val="auto"/>
                <w:sz w:val="18"/>
                <w:szCs w:val="18"/>
                <w:u w:val="none"/>
                <w:lang w:val="en-US" w:eastAsia="zh-CN"/>
              </w:rPr>
              <w:t>实际应支付合同款</w:t>
            </w:r>
          </w:p>
        </w:tc>
        <w:tc>
          <w:tcPr>
            <w:tcW w:w="5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b w:val="0"/>
                <w:bCs w:val="0"/>
                <w:i w:val="0"/>
                <w:iCs w:val="0"/>
                <w:color w:val="auto"/>
                <w:kern w:val="0"/>
                <w:sz w:val="18"/>
                <w:szCs w:val="18"/>
                <w:u w:val="none"/>
                <w:lang w:val="en-US" w:eastAsia="zh-CN" w:bidi="ar"/>
              </w:rPr>
            </w:pPr>
            <w:r>
              <w:rPr>
                <w:rFonts w:hint="eastAsia" w:eastAsia="宋体" w:cs="Times New Roman"/>
                <w:b w:val="0"/>
                <w:bCs w:val="0"/>
                <w:i w:val="0"/>
                <w:iCs w:val="0"/>
                <w:color w:val="auto"/>
                <w:kern w:val="0"/>
                <w:sz w:val="18"/>
                <w:szCs w:val="18"/>
                <w:u w:val="none"/>
                <w:lang w:val="en-US" w:eastAsia="zh-CN" w:bidi="ar"/>
              </w:rPr>
              <w:t>2022年度</w:t>
            </w:r>
            <w:r>
              <w:rPr>
                <w:rFonts w:hint="eastAsia" w:ascii="Times New Roman" w:hAnsi="Times New Roman" w:eastAsia="宋体" w:cs="Times New Roman"/>
                <w:b w:val="0"/>
                <w:bCs w:val="0"/>
                <w:i w:val="0"/>
                <w:iCs w:val="0"/>
                <w:color w:val="auto"/>
                <w:kern w:val="0"/>
                <w:sz w:val="18"/>
                <w:szCs w:val="18"/>
                <w:u w:val="none"/>
                <w:lang w:val="en-US" w:eastAsia="zh-CN" w:bidi="ar"/>
              </w:rPr>
              <w:t>实际支付价款</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2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w:t>
            </w:r>
          </w:p>
        </w:tc>
        <w:tc>
          <w:tcPr>
            <w:tcW w:w="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湖南仁仁洁国际清洁科技集团股份有限公司</w:t>
            </w:r>
          </w:p>
        </w:tc>
        <w:tc>
          <w:tcPr>
            <w:tcW w:w="1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《邵阳市北塔区城市环卫清扫保洁清运服务外包项目</w:t>
            </w:r>
            <w:r>
              <w:rPr>
                <w:rFonts w:hint="eastAsia" w:ascii="Times New Roman" w:hAnsi="Times New Roman" w:eastAsia="宋体" w:cs="Times New Roman"/>
                <w:b w:val="0"/>
                <w:bCs w:val="0"/>
                <w:i w:val="0"/>
                <w:iCs w:val="0"/>
                <w:color w:val="auto"/>
                <w:sz w:val="18"/>
                <w:szCs w:val="18"/>
                <w:u w:val="none"/>
                <w:lang w:val="en-US" w:eastAsia="zh-CN"/>
              </w:rPr>
              <w:t>包一</w:t>
            </w:r>
            <w:r>
              <w:rPr>
                <w:rFonts w:hint="default" w:ascii="Times New Roman" w:hAnsi="Times New Roman" w:eastAsia="宋体" w:cs="Times New Roman"/>
                <w:b w:val="0"/>
                <w:bCs w:val="0"/>
                <w:i w:val="0"/>
                <w:iCs w:val="0"/>
                <w:color w:val="auto"/>
                <w:sz w:val="18"/>
                <w:szCs w:val="18"/>
                <w:u w:val="none"/>
              </w:rPr>
              <w:t>承包合同书》</w:t>
            </w:r>
          </w:p>
        </w:tc>
        <w:tc>
          <w:tcPr>
            <w:tcW w:w="7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b w:val="0"/>
                <w:bCs w:val="0"/>
                <w:i w:val="0"/>
                <w:iCs w:val="0"/>
                <w:color w:val="auto"/>
                <w:sz w:val="18"/>
                <w:szCs w:val="18"/>
                <w:u w:val="none"/>
                <w:lang w:val="en-US" w:eastAsia="zh-CN"/>
              </w:rPr>
            </w:pPr>
            <w:r>
              <w:rPr>
                <w:rFonts w:hint="eastAsia" w:ascii="Times New Roman" w:hAnsi="Times New Roman" w:eastAsia="宋体" w:cs="Times New Roman"/>
                <w:b w:val="0"/>
                <w:bCs w:val="0"/>
                <w:i w:val="0"/>
                <w:iCs w:val="0"/>
                <w:color w:val="auto"/>
                <w:sz w:val="18"/>
                <w:szCs w:val="18"/>
                <w:u w:val="none"/>
                <w:lang w:val="en-US" w:eastAsia="zh-CN"/>
              </w:rPr>
              <w:t>公开招标</w:t>
            </w:r>
          </w:p>
        </w:tc>
        <w:tc>
          <w:tcPr>
            <w:tcW w:w="62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202.8</w:t>
            </w:r>
          </w:p>
        </w:tc>
        <w:tc>
          <w:tcPr>
            <w:tcW w:w="51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811.2</w:t>
            </w:r>
          </w:p>
        </w:tc>
        <w:tc>
          <w:tcPr>
            <w:tcW w:w="5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i w:val="0"/>
                <w:iCs w:val="0"/>
                <w:color w:val="000000"/>
                <w:kern w:val="0"/>
                <w:sz w:val="18"/>
                <w:szCs w:val="20"/>
                <w:u w:val="none"/>
                <w:lang w:val="en-US" w:eastAsia="zh-CN" w:bidi="ar"/>
              </w:rPr>
              <w:t>755.14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2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鸿鑫环境科技有限公司</w:t>
            </w:r>
          </w:p>
        </w:tc>
        <w:tc>
          <w:tcPr>
            <w:tcW w:w="1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《邵阳市北塔区城市环卫清扫保洁清运服务外包项目</w:t>
            </w:r>
            <w:r>
              <w:rPr>
                <w:rFonts w:hint="eastAsia" w:ascii="Times New Roman" w:hAnsi="Times New Roman" w:eastAsia="宋体" w:cs="Times New Roman"/>
                <w:b w:val="0"/>
                <w:bCs w:val="0"/>
                <w:i w:val="0"/>
                <w:iCs w:val="0"/>
                <w:color w:val="auto"/>
                <w:sz w:val="18"/>
                <w:szCs w:val="18"/>
                <w:u w:val="none"/>
                <w:lang w:val="en-US" w:eastAsia="zh-CN"/>
              </w:rPr>
              <w:t>包</w:t>
            </w:r>
            <w:r>
              <w:rPr>
                <w:rFonts w:hint="eastAsia" w:eastAsia="宋体" w:cs="Times New Roman"/>
                <w:b w:val="0"/>
                <w:bCs w:val="0"/>
                <w:i w:val="0"/>
                <w:iCs w:val="0"/>
                <w:color w:val="auto"/>
                <w:sz w:val="18"/>
                <w:szCs w:val="18"/>
                <w:u w:val="none"/>
                <w:lang w:val="en-US" w:eastAsia="zh-CN"/>
              </w:rPr>
              <w:t>二</w:t>
            </w:r>
            <w:r>
              <w:rPr>
                <w:rFonts w:hint="default" w:ascii="Times New Roman" w:hAnsi="Times New Roman" w:eastAsia="宋体" w:cs="Times New Roman"/>
                <w:b w:val="0"/>
                <w:bCs w:val="0"/>
                <w:i w:val="0"/>
                <w:iCs w:val="0"/>
                <w:color w:val="auto"/>
                <w:sz w:val="18"/>
                <w:szCs w:val="18"/>
                <w:u w:val="none"/>
              </w:rPr>
              <w:t>承包合同书》</w:t>
            </w:r>
          </w:p>
        </w:tc>
        <w:tc>
          <w:tcPr>
            <w:tcW w:w="70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eastAsia="宋体" w:cs="Times New Roman"/>
                <w:b w:val="0"/>
                <w:bCs w:val="0"/>
                <w:i w:val="0"/>
                <w:iCs w:val="0"/>
                <w:color w:val="auto"/>
                <w:sz w:val="18"/>
                <w:szCs w:val="18"/>
                <w:u w:val="none"/>
                <w:lang w:val="en-US" w:eastAsia="zh-CN"/>
              </w:rPr>
              <w:t>公开招标</w:t>
            </w:r>
          </w:p>
        </w:tc>
        <w:tc>
          <w:tcPr>
            <w:tcW w:w="62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206.52</w:t>
            </w:r>
          </w:p>
        </w:tc>
        <w:tc>
          <w:tcPr>
            <w:tcW w:w="51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826.07</w:t>
            </w:r>
          </w:p>
        </w:tc>
        <w:tc>
          <w:tcPr>
            <w:tcW w:w="5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i w:val="0"/>
                <w:iCs w:val="0"/>
                <w:color w:val="000000"/>
                <w:kern w:val="0"/>
                <w:sz w:val="18"/>
                <w:szCs w:val="20"/>
                <w:u w:val="none"/>
                <w:lang w:val="en-US" w:eastAsia="zh-CN" w:bidi="ar"/>
              </w:rPr>
              <w:t>741.03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2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w:t>
            </w:r>
          </w:p>
        </w:tc>
        <w:tc>
          <w:tcPr>
            <w:tcW w:w="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湖南碧泰环保科技有限责任公司</w:t>
            </w:r>
          </w:p>
        </w:tc>
        <w:tc>
          <w:tcPr>
            <w:tcW w:w="1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sz w:val="18"/>
                <w:szCs w:val="18"/>
                <w:u w:val="none"/>
              </w:rPr>
              <w:t>《邵阳市北塔区城市环卫清扫保洁清运服务外包项目</w:t>
            </w:r>
            <w:r>
              <w:rPr>
                <w:rFonts w:hint="eastAsia" w:ascii="Times New Roman" w:hAnsi="Times New Roman" w:eastAsia="宋体" w:cs="Times New Roman"/>
                <w:b w:val="0"/>
                <w:bCs w:val="0"/>
                <w:i w:val="0"/>
                <w:iCs w:val="0"/>
                <w:color w:val="auto"/>
                <w:sz w:val="18"/>
                <w:szCs w:val="18"/>
                <w:u w:val="none"/>
                <w:lang w:val="en-US" w:eastAsia="zh-CN"/>
              </w:rPr>
              <w:t>包</w:t>
            </w:r>
            <w:r>
              <w:rPr>
                <w:rFonts w:hint="eastAsia" w:eastAsia="宋体" w:cs="Times New Roman"/>
                <w:b w:val="0"/>
                <w:bCs w:val="0"/>
                <w:i w:val="0"/>
                <w:iCs w:val="0"/>
                <w:color w:val="auto"/>
                <w:sz w:val="18"/>
                <w:szCs w:val="18"/>
                <w:u w:val="none"/>
                <w:lang w:val="en-US" w:eastAsia="zh-CN"/>
              </w:rPr>
              <w:t>三</w:t>
            </w:r>
            <w:r>
              <w:rPr>
                <w:rFonts w:hint="default" w:ascii="Times New Roman" w:hAnsi="Times New Roman" w:eastAsia="宋体" w:cs="Times New Roman"/>
                <w:b w:val="0"/>
                <w:bCs w:val="0"/>
                <w:i w:val="0"/>
                <w:iCs w:val="0"/>
                <w:color w:val="auto"/>
                <w:sz w:val="18"/>
                <w:szCs w:val="18"/>
                <w:u w:val="none"/>
              </w:rPr>
              <w:t>承包合同书》</w:t>
            </w:r>
          </w:p>
        </w:tc>
        <w:tc>
          <w:tcPr>
            <w:tcW w:w="70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eastAsia="宋体" w:cs="Times New Roman"/>
                <w:b w:val="0"/>
                <w:bCs w:val="0"/>
                <w:i w:val="0"/>
                <w:iCs w:val="0"/>
                <w:color w:val="auto"/>
                <w:sz w:val="18"/>
                <w:szCs w:val="18"/>
                <w:u w:val="none"/>
                <w:lang w:val="en-US" w:eastAsia="zh-CN"/>
              </w:rPr>
              <w:t>公开招标</w:t>
            </w:r>
          </w:p>
        </w:tc>
        <w:tc>
          <w:tcPr>
            <w:tcW w:w="62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61.48</w:t>
            </w:r>
          </w:p>
        </w:tc>
        <w:tc>
          <w:tcPr>
            <w:tcW w:w="51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245.92</w:t>
            </w:r>
          </w:p>
        </w:tc>
        <w:tc>
          <w:tcPr>
            <w:tcW w:w="5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i w:val="0"/>
                <w:iCs w:val="0"/>
                <w:color w:val="000000"/>
                <w:kern w:val="0"/>
                <w:sz w:val="18"/>
                <w:szCs w:val="20"/>
                <w:u w:val="none"/>
                <w:lang w:val="en-US" w:eastAsia="zh-CN" w:bidi="ar"/>
              </w:rPr>
              <w:t>227.99</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340" w:hRule="atLeast"/>
          <w:jc w:val="center"/>
        </w:trPr>
        <w:tc>
          <w:tcPr>
            <w:tcW w:w="1194"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val="0"/>
                <w:bCs w:val="0"/>
                <w:i w:val="0"/>
                <w:iCs w:val="0"/>
                <w:color w:val="auto"/>
                <w:sz w:val="18"/>
                <w:szCs w:val="18"/>
                <w:u w:val="none"/>
              </w:rPr>
            </w:pPr>
            <w:r>
              <w:rPr>
                <w:rStyle w:val="21"/>
                <w:rFonts w:hint="default" w:ascii="Times New Roman" w:hAnsi="Times New Roman" w:eastAsia="宋体" w:cs="Times New Roman"/>
                <w:b w:val="0"/>
                <w:bCs w:val="0"/>
                <w:color w:val="auto"/>
                <w:sz w:val="18"/>
                <w:szCs w:val="18"/>
                <w:lang w:val="en-US" w:eastAsia="zh-CN" w:bidi="ar"/>
              </w:rPr>
              <w:t>合计</w:t>
            </w:r>
          </w:p>
        </w:tc>
        <w:tc>
          <w:tcPr>
            <w:tcW w:w="13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default" w:ascii="Times New Roman" w:hAnsi="Times New Roman" w:eastAsia="宋体" w:cs="Times New Roman"/>
                <w:b w:val="0"/>
                <w:bCs w:val="0"/>
                <w:i w:val="0"/>
                <w:iCs w:val="0"/>
                <w:color w:val="auto"/>
                <w:sz w:val="18"/>
                <w:szCs w:val="18"/>
                <w:u w:val="none"/>
              </w:rPr>
            </w:pPr>
          </w:p>
        </w:tc>
        <w:tc>
          <w:tcPr>
            <w:tcW w:w="70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default" w:ascii="Times New Roman" w:hAnsi="Times New Roman" w:eastAsia="宋体" w:cs="Times New Roman"/>
                <w:b w:val="0"/>
                <w:bCs w:val="0"/>
                <w:i w:val="0"/>
                <w:iCs w:val="0"/>
                <w:color w:val="auto"/>
                <w:sz w:val="18"/>
                <w:szCs w:val="18"/>
                <w:u w:val="none"/>
              </w:rPr>
            </w:pPr>
          </w:p>
        </w:tc>
        <w:tc>
          <w:tcPr>
            <w:tcW w:w="62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b w:val="0"/>
                <w:bCs w:val="0"/>
                <w:i w:val="0"/>
                <w:iCs w:val="0"/>
                <w:color w:val="auto"/>
                <w:sz w:val="18"/>
                <w:szCs w:val="18"/>
                <w:u w:val="none"/>
              </w:rPr>
            </w:pPr>
            <w:r>
              <w:rPr>
                <w:rFonts w:hint="eastAsia" w:ascii="Times New Roman" w:hAnsi="Times New Roman" w:eastAsia="宋体" w:cs="Times New Roman"/>
                <w:i w:val="0"/>
                <w:iCs w:val="0"/>
                <w:color w:val="000000"/>
                <w:kern w:val="0"/>
                <w:sz w:val="18"/>
                <w:szCs w:val="20"/>
                <w:u w:val="none"/>
                <w:lang w:val="en-US" w:eastAsia="zh-CN" w:bidi="ar"/>
              </w:rPr>
              <w:t>470.80</w:t>
            </w:r>
          </w:p>
        </w:tc>
        <w:tc>
          <w:tcPr>
            <w:tcW w:w="51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eastAsia" w:ascii="Times New Roman" w:hAnsi="Times New Roman" w:eastAsia="宋体" w:cs="Times New Roman"/>
                <w:i w:val="0"/>
                <w:iCs w:val="0"/>
                <w:color w:val="000000"/>
                <w:kern w:val="0"/>
                <w:sz w:val="18"/>
                <w:szCs w:val="20"/>
                <w:u w:val="none"/>
                <w:lang w:val="en-US" w:eastAsia="zh-CN" w:bidi="ar"/>
              </w:rPr>
              <w:t>1883.19</w:t>
            </w:r>
          </w:p>
        </w:tc>
        <w:tc>
          <w:tcPr>
            <w:tcW w:w="5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宋体" w:cs="Times New Roman"/>
                <w:i w:val="0"/>
                <w:iCs w:val="0"/>
                <w:color w:val="000000"/>
                <w:kern w:val="0"/>
                <w:sz w:val="18"/>
                <w:szCs w:val="20"/>
                <w:u w:val="none"/>
                <w:lang w:val="en-US" w:eastAsia="zh-CN" w:bidi="ar"/>
              </w:rPr>
            </w:pPr>
            <w:r>
              <w:rPr>
                <w:rFonts w:hint="default" w:ascii="Times New Roman" w:hAnsi="Times New Roman" w:eastAsia="宋体" w:cs="Times New Roman"/>
                <w:i w:val="0"/>
                <w:iCs w:val="0"/>
                <w:color w:val="000000"/>
                <w:kern w:val="0"/>
                <w:sz w:val="18"/>
                <w:szCs w:val="20"/>
                <w:u w:val="none"/>
                <w:lang w:val="en-US" w:eastAsia="zh-CN" w:bidi="ar"/>
              </w:rPr>
              <w:t>1,724.16</w:t>
            </w:r>
          </w:p>
        </w:tc>
      </w:tr>
    </w:tbl>
    <w:p>
      <w:pPr>
        <w:pStyle w:val="10"/>
        <w:rPr>
          <w:rFonts w:hint="default"/>
          <w:lang w:val="en-US" w:eastAsia="zh-CN"/>
        </w:rPr>
      </w:pPr>
    </w:p>
    <w:sectPr>
      <w:headerReference r:id="rId10" w:type="default"/>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20"/>
        <w:tab w:val="right" w:pos="9746"/>
      </w:tabs>
      <w:kinsoku/>
      <w:wordWrap/>
      <w:overflowPunct/>
      <w:topLinePunct w:val="0"/>
      <w:autoSpaceDE/>
      <w:autoSpaceDN/>
      <w:bidi w:val="0"/>
      <w:adjustRightInd/>
      <w:snapToGrid w:val="0"/>
      <w:spacing w:line="240" w:lineRule="auto"/>
      <w:ind w:left="3342" w:leftChars="120" w:hanging="2982" w:hangingChars="1650"/>
      <w:jc w:val="left"/>
      <w:textAlignment w:val="auto"/>
      <w:rPr>
        <w:rFonts w:hint="default" w:ascii="宋体" w:hAnsi="宋体" w:eastAsia="宋体" w:cs="宋体"/>
        <w:b/>
        <w:bCs/>
        <w:i w:val="0"/>
        <w:iCs w:val="0"/>
        <w:sz w:val="18"/>
        <w:szCs w:val="18"/>
        <w:lang w:val="en-US" w:eastAsia="zh-CN"/>
      </w:rPr>
    </w:pPr>
    <w:r>
      <w:rPr>
        <w:rFonts w:hint="eastAsia" w:ascii="宋体" w:hAnsi="宋体" w:eastAsia="宋体" w:cs="宋体"/>
        <w:b/>
        <w:bCs/>
        <w:i w:val="0"/>
        <w:iCs w:val="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top w:val="none" w:color="auto" w:sz="0" w:space="1"/>
        <w:left w:val="none" w:color="auto" w:sz="0" w:space="4"/>
        <w:bottom w:val="thickThinLargeGap" w:color="auto" w:sz="4" w:space="1"/>
        <w:right w:val="none" w:color="auto" w:sz="0" w:space="4"/>
        <w:between w:val="none" w:color="auto" w:sz="0" w:space="0"/>
      </w:pBdr>
      <w:tabs>
        <w:tab w:val="left" w:pos="420"/>
        <w:tab w:val="right" w:pos="9746"/>
      </w:tabs>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i w:val="0"/>
        <w:iCs w:val="0"/>
        <w:sz w:val="18"/>
        <w:szCs w:val="18"/>
        <w:lang w:val="en-US" w:eastAsia="zh-CN"/>
      </w:rPr>
    </w:pPr>
    <w:r>
      <w:rPr>
        <w:rFonts w:hint="eastAsia" w:ascii="楷体" w:hAnsi="楷体" w:eastAsia="楷体" w:cs="楷体"/>
        <w:b/>
        <w:bCs/>
        <w:i/>
        <w:iCs/>
        <w:sz w:val="18"/>
        <w:szCs w:val="18"/>
        <w:lang w:val="en-US" w:eastAsia="zh-CN"/>
      </w:rPr>
      <w:drawing>
        <wp:anchor distT="0" distB="0" distL="114300" distR="114300" simplePos="0" relativeHeight="251664384" behindDoc="0" locked="0" layoutInCell="1" allowOverlap="1">
          <wp:simplePos x="0" y="0"/>
          <wp:positionH relativeFrom="column">
            <wp:posOffset>-33655</wp:posOffset>
          </wp:positionH>
          <wp:positionV relativeFrom="paragraph">
            <wp:posOffset>-77470</wp:posOffset>
          </wp:positionV>
          <wp:extent cx="213995" cy="215900"/>
          <wp:effectExtent l="0" t="0" r="5080" b="3175"/>
          <wp:wrapSquare wrapText="bothSides"/>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anchor>
      </w:drawing>
    </w:r>
    <w:r>
      <w:rPr>
        <w:rFonts w:hint="eastAsia" w:ascii="楷体" w:hAnsi="楷体" w:eastAsia="楷体" w:cs="楷体"/>
        <w:b/>
        <w:bCs/>
        <w:i/>
        <w:iCs/>
        <w:sz w:val="18"/>
        <w:szCs w:val="18"/>
        <w:lang w:val="en-US" w:eastAsia="zh-CN"/>
      </w:rPr>
      <w:t xml:space="preserve">   </w:t>
    </w:r>
    <w:r>
      <w:rPr>
        <w:rFonts w:hint="eastAsia" w:ascii="宋体" w:hAnsi="宋体" w:eastAsia="宋体" w:cs="宋体"/>
        <w:b/>
        <w:bCs/>
        <w:i w:val="0"/>
        <w:iCs w:val="0"/>
        <w:sz w:val="18"/>
        <w:szCs w:val="18"/>
        <w:lang w:val="en-US" w:eastAsia="zh-CN"/>
      </w:rPr>
      <w:t xml:space="preserve">湖南财正会计师事务所（普通合伙）            邵阳市北塔区2022年环卫市场化项目绩效评价报告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top w:val="none" w:color="auto" w:sz="0" w:space="1"/>
        <w:left w:val="none" w:color="auto" w:sz="0" w:space="4"/>
        <w:bottom w:val="thickThinLargeGap" w:color="auto" w:sz="4" w:space="1"/>
        <w:right w:val="none" w:color="auto" w:sz="0" w:space="4"/>
        <w:between w:val="none" w:color="auto" w:sz="0" w:space="0"/>
      </w:pBdr>
      <w:tabs>
        <w:tab w:val="left" w:pos="420"/>
        <w:tab w:val="right" w:pos="9746"/>
      </w:tabs>
      <w:kinsoku/>
      <w:wordWrap/>
      <w:overflowPunct/>
      <w:topLinePunct w:val="0"/>
      <w:autoSpaceDE/>
      <w:autoSpaceDN/>
      <w:bidi w:val="0"/>
      <w:adjustRightInd/>
      <w:snapToGrid w:val="0"/>
      <w:spacing w:line="240" w:lineRule="auto"/>
      <w:ind w:left="3342" w:leftChars="120" w:hanging="2982" w:hangingChars="1650"/>
      <w:jc w:val="left"/>
      <w:textAlignment w:val="auto"/>
      <w:rPr>
        <w:rFonts w:hint="default" w:ascii="宋体" w:hAnsi="宋体" w:eastAsia="宋体" w:cs="宋体"/>
        <w:b/>
        <w:bCs/>
        <w:i w:val="0"/>
        <w:iCs w:val="0"/>
        <w:sz w:val="18"/>
        <w:szCs w:val="18"/>
        <w:lang w:val="en-US" w:eastAsia="zh-CN"/>
      </w:rPr>
    </w:pPr>
    <w:r>
      <w:rPr>
        <w:rFonts w:hint="eastAsia" w:ascii="楷体" w:hAnsi="楷体" w:eastAsia="楷体" w:cs="楷体"/>
        <w:b/>
        <w:bCs/>
        <w:i/>
        <w:iCs/>
        <w:sz w:val="18"/>
        <w:szCs w:val="18"/>
        <w:lang w:val="en-US" w:eastAsia="zh-CN"/>
      </w:rPr>
      <w:drawing>
        <wp:anchor distT="0" distB="0" distL="114300" distR="114300" simplePos="0" relativeHeight="251662336" behindDoc="0" locked="0" layoutInCell="1" allowOverlap="1">
          <wp:simplePos x="0" y="0"/>
          <wp:positionH relativeFrom="column">
            <wp:posOffset>169545</wp:posOffset>
          </wp:positionH>
          <wp:positionV relativeFrom="paragraph">
            <wp:posOffset>-59055</wp:posOffset>
          </wp:positionV>
          <wp:extent cx="213995" cy="215900"/>
          <wp:effectExtent l="0" t="0" r="1905" b="0"/>
          <wp:wrapSquare wrapText="bothSides"/>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anchor>
      </w:drawing>
    </w:r>
    <w:r>
      <w:rPr>
        <w:rFonts w:hint="eastAsia" w:ascii="楷体" w:hAnsi="楷体" w:eastAsia="楷体" w:cs="楷体"/>
        <w:b/>
        <w:bCs/>
        <w:i/>
        <w:iCs/>
        <w:sz w:val="18"/>
        <w:szCs w:val="18"/>
        <w:lang w:val="en-US" w:eastAsia="zh-CN"/>
      </w:rPr>
      <w:t xml:space="preserve">   </w:t>
    </w:r>
    <w:r>
      <w:rPr>
        <w:rFonts w:hint="eastAsia" w:ascii="宋体" w:hAnsi="宋体" w:eastAsia="宋体" w:cs="宋体"/>
        <w:b/>
        <w:bCs/>
        <w:i w:val="0"/>
        <w:iCs w:val="0"/>
        <w:sz w:val="18"/>
        <w:szCs w:val="18"/>
        <w:lang w:val="en-US" w:eastAsia="zh-CN"/>
      </w:rPr>
      <w:t xml:space="preserve">湖南财正会计师事务所（普通合伙）                                                                     邵阳市北塔区2022年环卫市场化项目绩效评价报告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4B8A1"/>
    <w:multiLevelType w:val="singleLevel"/>
    <w:tmpl w:val="A1D4B8A1"/>
    <w:lvl w:ilvl="0" w:tentative="0">
      <w:start w:val="1"/>
      <w:numFmt w:val="decimal"/>
      <w:suff w:val="nothing"/>
      <w:lvlText w:val="%1、"/>
      <w:lvlJc w:val="left"/>
    </w:lvl>
  </w:abstractNum>
  <w:abstractNum w:abstractNumId="1">
    <w:nsid w:val="C1FDC7BF"/>
    <w:multiLevelType w:val="singleLevel"/>
    <w:tmpl w:val="C1FDC7BF"/>
    <w:lvl w:ilvl="0" w:tentative="0">
      <w:start w:val="1"/>
      <w:numFmt w:val="chineseCounting"/>
      <w:suff w:val="nothing"/>
      <w:lvlText w:val="（%1）"/>
      <w:lvlJc w:val="left"/>
      <w:rPr>
        <w:rFonts w:hint="eastAsia"/>
      </w:rPr>
    </w:lvl>
  </w:abstractNum>
  <w:abstractNum w:abstractNumId="2">
    <w:nsid w:val="EA66FE10"/>
    <w:multiLevelType w:val="singleLevel"/>
    <w:tmpl w:val="EA66FE10"/>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B236D4A"/>
    <w:rsid w:val="012470BA"/>
    <w:rsid w:val="01383BA6"/>
    <w:rsid w:val="037B29DB"/>
    <w:rsid w:val="040B4B71"/>
    <w:rsid w:val="060732BA"/>
    <w:rsid w:val="06574338"/>
    <w:rsid w:val="06DA1E87"/>
    <w:rsid w:val="070B1E10"/>
    <w:rsid w:val="0ABA0FCF"/>
    <w:rsid w:val="0AFA095D"/>
    <w:rsid w:val="0CB63A18"/>
    <w:rsid w:val="0CD02AC5"/>
    <w:rsid w:val="0CEE6D0E"/>
    <w:rsid w:val="0D273154"/>
    <w:rsid w:val="0FEE35C3"/>
    <w:rsid w:val="117E0568"/>
    <w:rsid w:val="129D4109"/>
    <w:rsid w:val="12EE60C5"/>
    <w:rsid w:val="12EF64C7"/>
    <w:rsid w:val="131E30B2"/>
    <w:rsid w:val="13AC16D1"/>
    <w:rsid w:val="14041729"/>
    <w:rsid w:val="140432BB"/>
    <w:rsid w:val="140C7637"/>
    <w:rsid w:val="168C647D"/>
    <w:rsid w:val="19F4792E"/>
    <w:rsid w:val="1A5B79AD"/>
    <w:rsid w:val="1B684B2A"/>
    <w:rsid w:val="1C5E1AE6"/>
    <w:rsid w:val="1D4139DB"/>
    <w:rsid w:val="1DEC78E1"/>
    <w:rsid w:val="1EF10B67"/>
    <w:rsid w:val="1F2E4F0B"/>
    <w:rsid w:val="1F95121D"/>
    <w:rsid w:val="201E2A0A"/>
    <w:rsid w:val="22244B28"/>
    <w:rsid w:val="26C37B30"/>
    <w:rsid w:val="26D7485F"/>
    <w:rsid w:val="28180C8B"/>
    <w:rsid w:val="285A468E"/>
    <w:rsid w:val="294C6E3F"/>
    <w:rsid w:val="298F4F7D"/>
    <w:rsid w:val="2ABB0C93"/>
    <w:rsid w:val="2BA42291"/>
    <w:rsid w:val="2C7566AC"/>
    <w:rsid w:val="2F593688"/>
    <w:rsid w:val="2FB92D54"/>
    <w:rsid w:val="2FBD5BFB"/>
    <w:rsid w:val="31C037B3"/>
    <w:rsid w:val="344E43B3"/>
    <w:rsid w:val="356E5D03"/>
    <w:rsid w:val="358F4C83"/>
    <w:rsid w:val="35E548A3"/>
    <w:rsid w:val="36585B09"/>
    <w:rsid w:val="3720098E"/>
    <w:rsid w:val="37B3452D"/>
    <w:rsid w:val="38244B5C"/>
    <w:rsid w:val="39866609"/>
    <w:rsid w:val="39CF634C"/>
    <w:rsid w:val="3A35249F"/>
    <w:rsid w:val="3A8A77C7"/>
    <w:rsid w:val="3B33310B"/>
    <w:rsid w:val="3C7E777C"/>
    <w:rsid w:val="3CD01A4E"/>
    <w:rsid w:val="3D0A15E3"/>
    <w:rsid w:val="3D6E7E61"/>
    <w:rsid w:val="3D875DD4"/>
    <w:rsid w:val="3DC7793C"/>
    <w:rsid w:val="3E4E2A19"/>
    <w:rsid w:val="3E890636"/>
    <w:rsid w:val="3F6D38F9"/>
    <w:rsid w:val="413A4A97"/>
    <w:rsid w:val="42F56341"/>
    <w:rsid w:val="43C46AD5"/>
    <w:rsid w:val="43D47D05"/>
    <w:rsid w:val="447B4624"/>
    <w:rsid w:val="451901AA"/>
    <w:rsid w:val="45D440F4"/>
    <w:rsid w:val="460A2104"/>
    <w:rsid w:val="46704B98"/>
    <w:rsid w:val="4721636D"/>
    <w:rsid w:val="48580F04"/>
    <w:rsid w:val="48DD18B8"/>
    <w:rsid w:val="49321E17"/>
    <w:rsid w:val="49520FBF"/>
    <w:rsid w:val="49F64E79"/>
    <w:rsid w:val="4B236D4A"/>
    <w:rsid w:val="4C4F4DBC"/>
    <w:rsid w:val="4C8F7385"/>
    <w:rsid w:val="4E8021F6"/>
    <w:rsid w:val="4EDC355E"/>
    <w:rsid w:val="4F555643"/>
    <w:rsid w:val="4FA26F09"/>
    <w:rsid w:val="4FF46F9E"/>
    <w:rsid w:val="5019366F"/>
    <w:rsid w:val="511C47AA"/>
    <w:rsid w:val="516C0AAE"/>
    <w:rsid w:val="51AF2438"/>
    <w:rsid w:val="535350EA"/>
    <w:rsid w:val="536A2433"/>
    <w:rsid w:val="545D5AF4"/>
    <w:rsid w:val="5496446C"/>
    <w:rsid w:val="54AD25D8"/>
    <w:rsid w:val="54C94F38"/>
    <w:rsid w:val="54ED0C26"/>
    <w:rsid w:val="56D958F3"/>
    <w:rsid w:val="57C26579"/>
    <w:rsid w:val="580E5A83"/>
    <w:rsid w:val="58CA65C1"/>
    <w:rsid w:val="59B23427"/>
    <w:rsid w:val="5A380B96"/>
    <w:rsid w:val="5B253997"/>
    <w:rsid w:val="5B791B41"/>
    <w:rsid w:val="5B8D0CBD"/>
    <w:rsid w:val="5BDB5C7C"/>
    <w:rsid w:val="5BF75DDE"/>
    <w:rsid w:val="5DC866D4"/>
    <w:rsid w:val="5E0019CA"/>
    <w:rsid w:val="62791D4B"/>
    <w:rsid w:val="636E1B2C"/>
    <w:rsid w:val="65CD2819"/>
    <w:rsid w:val="663A5C95"/>
    <w:rsid w:val="668773A2"/>
    <w:rsid w:val="671F26E5"/>
    <w:rsid w:val="67AB26D0"/>
    <w:rsid w:val="67F0602D"/>
    <w:rsid w:val="68063974"/>
    <w:rsid w:val="6832131A"/>
    <w:rsid w:val="699456BD"/>
    <w:rsid w:val="69A41F85"/>
    <w:rsid w:val="6AA41A69"/>
    <w:rsid w:val="6AC077D3"/>
    <w:rsid w:val="6E367698"/>
    <w:rsid w:val="6E7D7331"/>
    <w:rsid w:val="6F5C0A2B"/>
    <w:rsid w:val="6F5C6722"/>
    <w:rsid w:val="70194B6E"/>
    <w:rsid w:val="71121CE9"/>
    <w:rsid w:val="71A26D57"/>
    <w:rsid w:val="72822E9E"/>
    <w:rsid w:val="734343DB"/>
    <w:rsid w:val="73B9777A"/>
    <w:rsid w:val="75061632"/>
    <w:rsid w:val="75930DC9"/>
    <w:rsid w:val="76B4114C"/>
    <w:rsid w:val="77752FD1"/>
    <w:rsid w:val="778B417D"/>
    <w:rsid w:val="77E048EF"/>
    <w:rsid w:val="78232F8F"/>
    <w:rsid w:val="799E2F6D"/>
    <w:rsid w:val="79D009DB"/>
    <w:rsid w:val="7A5549F4"/>
    <w:rsid w:val="7A793D4E"/>
    <w:rsid w:val="7AF416B1"/>
    <w:rsid w:val="7B4927AB"/>
    <w:rsid w:val="7B6669F4"/>
    <w:rsid w:val="7C3D3992"/>
    <w:rsid w:val="7CC5413D"/>
    <w:rsid w:val="7D0019DC"/>
    <w:rsid w:val="7D553689"/>
    <w:rsid w:val="7E887D7E"/>
    <w:rsid w:val="7F01339C"/>
    <w:rsid w:val="7F8F6BFA"/>
    <w:rsid w:val="FBBB21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仿宋" w:cs="Times New Roman"/>
      <w:kern w:val="2"/>
      <w:sz w:val="30"/>
      <w:szCs w:val="22"/>
      <w:lang w:val="en-US" w:eastAsia="zh-CN" w:bidi="ar-SA"/>
    </w:rPr>
  </w:style>
  <w:style w:type="paragraph" w:styleId="3">
    <w:name w:val="heading 1"/>
    <w:basedOn w:val="1"/>
    <w:next w:val="1"/>
    <w:link w:val="19"/>
    <w:qFormat/>
    <w:uiPriority w:val="0"/>
    <w:pPr>
      <w:keepNext/>
      <w:keepLines/>
      <w:spacing w:beforeLines="0" w:beforeAutospacing="0" w:afterLines="0" w:afterAutospacing="0" w:line="360" w:lineRule="auto"/>
      <w:ind w:firstLine="723" w:firstLineChars="200"/>
      <w:outlineLvl w:val="0"/>
    </w:pPr>
    <w:rPr>
      <w:rFonts w:eastAsia="黑体"/>
      <w:b/>
      <w:kern w:val="44"/>
      <w:sz w:val="32"/>
    </w:rPr>
  </w:style>
  <w:style w:type="paragraph" w:styleId="4">
    <w:name w:val="heading 2"/>
    <w:basedOn w:val="1"/>
    <w:next w:val="1"/>
    <w:unhideWhenUsed/>
    <w:qFormat/>
    <w:uiPriority w:val="0"/>
    <w:pPr>
      <w:keepNext/>
      <w:keepLines/>
      <w:spacing w:beforeLines="0" w:beforeAutospacing="0" w:afterLines="0" w:afterAutospacing="0" w:line="360" w:lineRule="auto"/>
      <w:ind w:firstLine="723" w:firstLineChars="200"/>
      <w:outlineLvl w:val="1"/>
    </w:pPr>
    <w:rPr>
      <w:rFonts w:ascii="Arial" w:hAnsi="Arial" w:eastAsia="楷体"/>
      <w:b/>
      <w:sz w:val="32"/>
    </w:rPr>
  </w:style>
  <w:style w:type="paragraph" w:styleId="5">
    <w:name w:val="heading 3"/>
    <w:basedOn w:val="1"/>
    <w:next w:val="1"/>
    <w:unhideWhenUsed/>
    <w:qFormat/>
    <w:uiPriority w:val="0"/>
    <w:pPr>
      <w:keepNext/>
      <w:keepLines/>
      <w:spacing w:beforeLines="0" w:beforeAutospacing="0" w:afterLines="0" w:afterAutospacing="0" w:line="360" w:lineRule="auto"/>
      <w:ind w:firstLine="723" w:firstLineChars="200"/>
      <w:outlineLvl w:val="2"/>
    </w:pPr>
    <w:rPr>
      <w:rFonts w:ascii="Times New Roman" w:hAnsi="Times New Roman"/>
      <w:b/>
      <w:sz w:val="3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Body Text Indent 2"/>
    <w:basedOn w:val="1"/>
    <w:next w:val="11"/>
    <w:qFormat/>
    <w:uiPriority w:val="0"/>
    <w:pPr>
      <w:spacing w:line="600" w:lineRule="exact"/>
      <w:ind w:firstLine="601"/>
    </w:pPr>
    <w:rPr>
      <w:rFonts w:ascii="仿宋_GB2312" w:eastAsia="仿宋_GB2312"/>
      <w:sz w:val="30"/>
      <w:szCs w:val="30"/>
    </w:rPr>
  </w:style>
  <w:style w:type="paragraph" w:customStyle="1" w:styleId="11">
    <w:name w:val="p0"/>
    <w:next w:val="12"/>
    <w:qFormat/>
    <w:uiPriority w:val="0"/>
    <w:pPr>
      <w:spacing w:line="365" w:lineRule="atLeast"/>
      <w:ind w:left="1"/>
    </w:pPr>
    <w:rPr>
      <w:rFonts w:ascii="Times New Roman" w:hAnsi="Times New Roman" w:eastAsia="宋体" w:cs="Times New Roman"/>
      <w:sz w:val="24"/>
      <w:lang w:val="en-US" w:eastAsia="zh-CN" w:bidi="ar-SA"/>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9">
    <w:name w:val="标题 1 Char"/>
    <w:link w:val="3"/>
    <w:qFormat/>
    <w:uiPriority w:val="0"/>
    <w:rPr>
      <w:rFonts w:eastAsia="黑体"/>
      <w:b/>
      <w:kern w:val="44"/>
      <w:sz w:val="32"/>
    </w:rPr>
  </w:style>
  <w:style w:type="paragraph" w:customStyle="1" w:styleId="20">
    <w:name w:val="List Paragraph"/>
    <w:basedOn w:val="1"/>
    <w:qFormat/>
    <w:uiPriority w:val="0"/>
    <w:pPr>
      <w:ind w:firstLine="420" w:firstLineChars="200"/>
    </w:pPr>
  </w:style>
  <w:style w:type="character" w:customStyle="1" w:styleId="21">
    <w:name w:val="font11"/>
    <w:basedOn w:val="18"/>
    <w:qFormat/>
    <w:uiPriority w:val="0"/>
    <w:rPr>
      <w:rFonts w:hint="default" w:ascii="仿宋_GB2312" w:eastAsia="仿宋_GB2312" w:cs="仿宋_GB2312"/>
      <w:color w:val="000000"/>
      <w:sz w:val="20"/>
      <w:szCs w:val="20"/>
      <w:u w:val="none"/>
    </w:rPr>
  </w:style>
  <w:style w:type="character" w:customStyle="1" w:styleId="22">
    <w:name w:val="font2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11212</Words>
  <Characters>12323</Characters>
  <Lines>0</Lines>
  <Paragraphs>0</Paragraphs>
  <TotalTime>1</TotalTime>
  <ScaleCrop>false</ScaleCrop>
  <LinksUpToDate>false</LinksUpToDate>
  <CharactersWithSpaces>12634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2022-06-15T05:55:00Z</dcterms:created>
  <dc:creator>你只是看起来很努力</dc:creator>
  <cp:lastModifiedBy>lulu</cp:lastModifiedBy>
  <dcterms:modified xsi:type="dcterms:W3CDTF">2023-12-18T02:19:15Z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BFBDEE6D77ED4E5FB04A74311F3CD9D1_13</vt:lpwstr>
  </property>
</Properties>
</file>