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bookmarkStart w:id="1" w:name="_GoBack"/>
      <w:bookmarkEnd w:id="1"/>
    </w:p>
    <w:p>
      <w:pPr>
        <w:rPr>
          <w:rFonts w:ascii="黑体" w:hAnsi="宋体" w:eastAsia="黑体"/>
          <w:sz w:val="32"/>
          <w:szCs w:val="32"/>
        </w:rPr>
      </w:pPr>
    </w:p>
    <w:p>
      <w:pPr>
        <w:jc w:val="center"/>
        <w:rPr>
          <w:rFonts w:ascii="宋体" w:hAnsi="宋体"/>
          <w:sz w:val="44"/>
          <w:szCs w:val="44"/>
        </w:rPr>
      </w:pPr>
      <w:r>
        <w:rPr>
          <w:rFonts w:hint="eastAsia" w:ascii="宋体" w:hAnsi="宋体"/>
          <w:sz w:val="44"/>
          <w:szCs w:val="44"/>
        </w:rPr>
        <w:t xml:space="preserve">部门整体支出绩效评价报告   </w:t>
      </w:r>
    </w:p>
    <w:p>
      <w:pPr>
        <w:jc w:val="center"/>
        <w:rPr>
          <w:rFonts w:ascii="宋体" w:hAnsi="宋体"/>
          <w:sz w:val="44"/>
          <w:szCs w:val="44"/>
        </w:rPr>
      </w:pPr>
      <w:r>
        <w:rPr>
          <w:rFonts w:hint="eastAsia" w:ascii="宋体" w:hAnsi="宋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邵阳市</w:t>
      </w:r>
      <w:r>
        <w:rPr>
          <w:rFonts w:hint="eastAsia"/>
          <w:b/>
          <w:bCs/>
          <w:sz w:val="32"/>
          <w:szCs w:val="32"/>
          <w:u w:val="single"/>
          <w:lang w:val="en-US" w:eastAsia="zh-CN"/>
        </w:rPr>
        <w:t>北塔区</w:t>
      </w:r>
      <w:r>
        <w:rPr>
          <w:rFonts w:hint="eastAsia"/>
          <w:b/>
          <w:bCs/>
          <w:sz w:val="32"/>
          <w:szCs w:val="32"/>
          <w:u w:val="single"/>
        </w:rPr>
        <w:t>城市管理和综合执法局</w:t>
      </w:r>
      <w:r>
        <w:rPr>
          <w:rFonts w:hint="eastAsia"/>
          <w:bCs/>
          <w:sz w:val="32"/>
          <w:szCs w:val="32"/>
        </w:rPr>
        <w:t>（单位公章）</w:t>
      </w:r>
      <w:r>
        <w:rPr>
          <w:rFonts w:hint="eastAsia"/>
          <w:b/>
          <w:bCs/>
          <w:sz w:val="32"/>
          <w:szCs w:val="32"/>
          <w:u w:val="single"/>
        </w:rPr>
        <w:t>　　　　　</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   2022  年　</w:t>
      </w:r>
      <w:r>
        <w:rPr>
          <w:rFonts w:hint="eastAsia" w:ascii="楷体" w:hAnsi="楷体" w:eastAsia="楷体" w:cs="楷体"/>
          <w:sz w:val="36"/>
          <w:lang w:val="en-US" w:eastAsia="zh-CN"/>
        </w:rPr>
        <w:t>9</w:t>
      </w:r>
      <w:r>
        <w:rPr>
          <w:rFonts w:hint="eastAsia" w:ascii="楷体" w:hAnsi="楷体" w:eastAsia="楷体" w:cs="楷体"/>
          <w:sz w:val="36"/>
        </w:rPr>
        <w:t>月　14　日</w:t>
      </w:r>
    </w:p>
    <w:p>
      <w:pPr>
        <w:shd w:val="clear" w:color="auto" w:fill="FFFFFF"/>
        <w:adjustRightInd/>
        <w:snapToGrid/>
        <w:spacing w:after="0"/>
        <w:rPr>
          <w:rFonts w:ascii="宋体" w:hAnsi="宋体" w:eastAsia="宋体" w:cs="宋体"/>
          <w:color w:val="444444"/>
          <w:sz w:val="24"/>
          <w:szCs w:val="24"/>
          <w:shd w:val="clear" w:color="auto" w:fill="FFFFFF"/>
        </w:rPr>
      </w:pPr>
    </w:p>
    <w:p>
      <w:pPr>
        <w:shd w:val="clear" w:color="auto" w:fill="FFFFFF"/>
        <w:adjustRightInd/>
        <w:snapToGrid/>
        <w:spacing w:after="0"/>
        <w:rPr>
          <w:rFonts w:ascii="宋体" w:hAnsi="宋体" w:eastAsia="宋体" w:cs="宋体"/>
          <w:color w:val="444444"/>
          <w:sz w:val="24"/>
          <w:szCs w:val="24"/>
          <w:shd w:val="clear" w:color="auto" w:fill="FFFFFF"/>
        </w:rPr>
      </w:pPr>
    </w:p>
    <w:p>
      <w:pPr>
        <w:shd w:val="clear" w:color="auto" w:fill="FFFFFF"/>
        <w:adjustRightInd/>
        <w:snapToGrid/>
        <w:spacing w:after="0"/>
        <w:rPr>
          <w:rFonts w:ascii="宋体" w:hAnsi="宋体" w:eastAsia="宋体" w:cs="宋体"/>
          <w:color w:val="444444"/>
          <w:sz w:val="24"/>
          <w:szCs w:val="24"/>
          <w:shd w:val="clear" w:color="auto" w:fill="FFFFFF"/>
        </w:rPr>
      </w:pPr>
    </w:p>
    <w:p>
      <w:pPr>
        <w:shd w:val="clear" w:color="auto" w:fill="FFFFFF"/>
        <w:adjustRightInd/>
        <w:snapToGrid/>
        <w:spacing w:after="0"/>
        <w:rPr>
          <w:rFonts w:ascii="宋体" w:hAnsi="宋体" w:eastAsia="宋体" w:cs="宋体"/>
          <w:color w:val="444444"/>
          <w:sz w:val="24"/>
          <w:szCs w:val="24"/>
          <w:shd w:val="clear" w:color="auto" w:fill="FFFFFF"/>
        </w:rPr>
      </w:pPr>
    </w:p>
    <w:p>
      <w:pPr>
        <w:shd w:val="clear" w:color="auto" w:fill="FFFFFF"/>
        <w:adjustRightInd/>
        <w:snapToGrid/>
        <w:spacing w:after="0"/>
        <w:rPr>
          <w:rFonts w:ascii="宋体" w:hAnsi="宋体" w:eastAsia="宋体" w:cs="宋体"/>
          <w:color w:val="444444"/>
          <w:sz w:val="24"/>
          <w:szCs w:val="24"/>
          <w:shd w:val="clear" w:color="auto" w:fill="FFFFFF"/>
        </w:rPr>
      </w:pPr>
    </w:p>
    <w:p>
      <w:pPr>
        <w:shd w:val="clear" w:color="auto" w:fill="FFFFFF"/>
        <w:adjustRightInd/>
        <w:snapToGrid/>
        <w:spacing w:after="0"/>
        <w:rPr>
          <w:rFonts w:ascii="宋体" w:hAnsi="宋体" w:eastAsia="宋体" w:cs="宋体"/>
          <w:color w:val="444444"/>
          <w:sz w:val="24"/>
          <w:szCs w:val="24"/>
          <w:shd w:val="clear" w:color="auto" w:fill="FFFFFF"/>
        </w:rPr>
      </w:pPr>
    </w:p>
    <w:p>
      <w:pPr>
        <w:shd w:val="clear" w:color="auto" w:fill="FFFFFF"/>
        <w:adjustRightInd/>
        <w:snapToGrid/>
        <w:spacing w:after="0"/>
        <w:ind w:firstLine="2161" w:firstLineChars="800"/>
        <w:rPr>
          <w:rFonts w:ascii="微软雅黑" w:hAnsi="微软雅黑" w:cs="宋体"/>
          <w:color w:val="444444"/>
          <w:sz w:val="24"/>
          <w:szCs w:val="24"/>
        </w:rPr>
      </w:pPr>
      <w:r>
        <w:rPr>
          <w:rFonts w:hint="eastAsia" w:ascii="Times New Roman" w:hAnsi="Times New Roman" w:cs="Times New Roman"/>
          <w:b/>
          <w:bCs/>
          <w:color w:val="444444"/>
          <w:sz w:val="27"/>
        </w:rPr>
        <w:t>2</w:t>
      </w:r>
      <w:r>
        <w:rPr>
          <w:rFonts w:ascii="Times New Roman" w:hAnsi="Times New Roman" w:cs="Times New Roman"/>
          <w:b/>
          <w:bCs/>
          <w:color w:val="444444"/>
          <w:sz w:val="27"/>
        </w:rPr>
        <w:t>02</w:t>
      </w:r>
      <w:r>
        <w:rPr>
          <w:rFonts w:hint="eastAsia" w:ascii="Times New Roman" w:hAnsi="Times New Roman" w:cs="Times New Roman"/>
          <w:b/>
          <w:bCs/>
          <w:color w:val="444444"/>
          <w:sz w:val="27"/>
        </w:rPr>
        <w:t>1</w:t>
      </w:r>
      <w:r>
        <w:rPr>
          <w:rFonts w:hint="eastAsia" w:ascii="宋体" w:hAnsi="宋体" w:eastAsia="宋体" w:cs="宋体"/>
          <w:b/>
          <w:bCs/>
          <w:color w:val="444444"/>
          <w:sz w:val="27"/>
        </w:rPr>
        <w:t>年度部门整体支出绩效评价报告</w:t>
      </w:r>
    </w:p>
    <w:p>
      <w:pPr>
        <w:shd w:val="clear" w:color="auto" w:fill="FFFFFF"/>
        <w:adjustRightInd/>
        <w:snapToGrid/>
        <w:spacing w:after="0" w:line="480" w:lineRule="atLeast"/>
        <w:ind w:firstLine="542"/>
        <w:rPr>
          <w:rFonts w:ascii="微软雅黑" w:hAnsi="微软雅黑" w:cs="宋体"/>
          <w:color w:val="444444"/>
          <w:sz w:val="24"/>
          <w:szCs w:val="24"/>
        </w:rPr>
      </w:pPr>
      <w:r>
        <w:rPr>
          <w:rFonts w:hint="eastAsia" w:ascii="宋体" w:hAnsi="宋体" w:eastAsia="宋体" w:cs="宋体"/>
          <w:b/>
          <w:bCs/>
          <w:color w:val="444444"/>
          <w:sz w:val="27"/>
          <w:szCs w:val="27"/>
        </w:rPr>
        <w:t>一、部门概况</w:t>
      </w:r>
    </w:p>
    <w:p>
      <w:pPr>
        <w:shd w:val="clear" w:color="auto" w:fill="FFFFFF"/>
        <w:adjustRightInd/>
        <w:snapToGrid/>
        <w:spacing w:after="0" w:line="480" w:lineRule="atLeast"/>
        <w:ind w:firstLine="640"/>
        <w:rPr>
          <w:rFonts w:ascii="微软雅黑" w:hAnsi="微软雅黑" w:cs="宋体"/>
          <w:color w:val="444444"/>
          <w:sz w:val="24"/>
          <w:szCs w:val="24"/>
        </w:rPr>
      </w:pPr>
      <w:r>
        <w:rPr>
          <w:rFonts w:hint="eastAsia" w:ascii="宋体" w:hAnsi="宋体" w:eastAsia="宋体" w:cs="宋体"/>
          <w:color w:val="444444"/>
          <w:sz w:val="27"/>
          <w:szCs w:val="27"/>
          <w:shd w:val="clear" w:color="auto" w:fill="FFFFFF"/>
        </w:rPr>
        <w:t>（一）部门基本情况</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北塔区城市管理和综合执法局内设机构6个，即：办公室、政工股、政策法规股、财务装备股、市容管理股(加挂行政审批服务股牌子)、数字化信息股。 所属事业单位3个，即:北塔区城市管理综合行政执法大队、北塔区环境卫生服务中心、北塔区城镇绿化站。</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主要职责是：</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（1）行使市容环境卫生管理方面法律、法规、规章规定的行政处罚权，强制拆除不符合城市容貌标准、环境卫生标准的违法建筑或者设施；</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2）行使工商行政管理方面法律、法规规定的对无照商贩，以及有照但不按执法规定场地经营而进行店外经营、店外作业的商贩的行政处罚权，行使对违规设置户外广告行为以及对影响市容的破损、残缺广告的所有者或经营者的行政处罚权；</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（3）行使食品药品监管方面法律、法规、规章规定的，户外公共场所食品销售和餐饮摊点无证经营，以及户外违法回收贩卖药品等的行政处罚权；</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4）行使城市公安管理方面法律、法规、规章规定的，对乱停乱放车辆、当路摆摊设点、堆物及占道作业等侵占城市道路和公共场地行为的行政处罚权；行使城区内违反烟花爆竹管理规定行为的行政处罚权；行使在城区违法违规养犬、算命等影响治安和城市管理秩序行为的行政处罚权；</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（5）行使市政管理方面法律、法规、规章规定的行政处罚权（不含城市燃气、城市用水、城市路灯、渣土、大型户外广告的行政处罚权）；</w:t>
      </w:r>
    </w:p>
    <w:p>
      <w:pPr>
        <w:shd w:val="clear" w:color="auto" w:fill="FFFFFF"/>
        <w:adjustRightInd/>
        <w:snapToGrid/>
        <w:spacing w:after="0" w:line="480" w:lineRule="atLeast"/>
        <w:ind w:firstLine="810" w:firstLineChars="30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（6）行使水务管理方面法律、法规、规章规定的，向城市河道和水域倾倒废弃物和垃圾及违规取土、城市河道违法建筑物拆除等的行政处罚权；</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（7）行使殡葬管理方面法律、法规、规章规定的行政处罚权；</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（8）行使城市园林绿化管理方面法律、法规、规章规定的行政处罚权；</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（9）行使环境保护管理方面法律、法规、规章规定的，在市区经营、作业产生超标噪音的行政处罚权；在城市人口集中区因焚烧、运输和经营餐饮等行为而产生的有毒、有害气体或烟尘的行政处罚权；</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(10)行使城市规划管理方面法律、法规、规章规定的在城市规划区内未取得建设工程规划许可证和违反许可证规定进行建设的行政处罚权；</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(11)行使住房城乡建设领域法律、法规、规章规定的全部行政处罚权。</w:t>
      </w:r>
    </w:p>
    <w:p>
      <w:pPr>
        <w:shd w:val="clear" w:color="auto" w:fill="FFFFFF"/>
        <w:adjustRightInd/>
        <w:snapToGrid/>
        <w:spacing w:after="0" w:line="480" w:lineRule="atLeast"/>
        <w:ind w:firstLine="542"/>
        <w:rPr>
          <w:rFonts w:hint="eastAsia" w:ascii="宋体" w:hAnsi="宋体" w:eastAsia="宋体" w:cs="宋体"/>
          <w:color w:val="444444"/>
          <w:sz w:val="27"/>
          <w:szCs w:val="27"/>
          <w:lang w:eastAsia="zh-CN"/>
        </w:rPr>
      </w:pPr>
      <w:r>
        <w:rPr>
          <w:rFonts w:hint="eastAsia" w:ascii="宋体" w:hAnsi="宋体" w:eastAsia="宋体" w:cs="宋体"/>
          <w:color w:val="444444"/>
          <w:sz w:val="27"/>
          <w:szCs w:val="27"/>
        </w:rPr>
        <w:t>2021年主要工作完成情况</w:t>
      </w:r>
      <w:r>
        <w:rPr>
          <w:rFonts w:hint="eastAsia" w:ascii="宋体" w:hAnsi="宋体" w:eastAsia="宋体" w:cs="宋体"/>
          <w:color w:val="444444"/>
          <w:sz w:val="27"/>
          <w:szCs w:val="27"/>
          <w:lang w:eastAsia="zh-CN"/>
        </w:rPr>
        <w:t>：</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w:t>
      </w:r>
      <w:r>
        <w:rPr>
          <w:rFonts w:hint="eastAsia" w:ascii="宋体" w:hAnsi="宋体" w:eastAsia="宋体" w:cs="宋体"/>
          <w:color w:val="444444"/>
          <w:sz w:val="27"/>
          <w:szCs w:val="27"/>
          <w:lang w:val="en-US" w:eastAsia="zh-CN"/>
        </w:rPr>
        <w:t>一</w:t>
      </w:r>
      <w:r>
        <w:rPr>
          <w:rFonts w:hint="eastAsia" w:ascii="宋体" w:hAnsi="宋体" w:eastAsia="宋体" w:cs="宋体"/>
          <w:color w:val="444444"/>
          <w:sz w:val="27"/>
          <w:szCs w:val="27"/>
        </w:rPr>
        <w:t>）市容环境工作</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我区魏源路、资江北路连续两年荣获全市“十大最美街巷”荣誉称号，今年以来，我区市容环境卫生考核排名在全市的考核排名获得5个第一，生活垃圾分类排名月月第一。</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1.规范网格化管理。一是落实“门前三包”制度，进一步规范店铺经营秩序。今年度累计清理乱吊乱挂、乱堆乱放947处，规劝进店经营697起。二是加强流动摊贩整治。取缔乱摆摊设点、占道经营1897起。三是开展校园周边整治。今年度共教育劝导流动摊贩741起，收缴广告宣传单24000余份。四是开展农贸市场大整顿。今年度共暂扣经营工具41件，取缔12个临时地摊点，规范出店经营539家，处罚多次劝导和屡教不改的经营者42家。五是开展杂物清理行动。今年度共清理城区乱堆乱放杂物550余车。</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2.提升城市形象。一是为杜绝“小广告”城市环境的“牛皮癣”，做到发现一起、解决一起，并加大巡查，防止“牛皮癣”死灰复燃。二是对辖区城区范围内主次干道上，未经批准擅自设置以及其他设置不合理的各类户外广告进行全面整治。今年度共对辖区内违规户外广告下达责令拆除通知书42份，拆除龙山路恒大华府大型营销广告1处，康桥名门楼盘楼顶镂空字及二楼以上店招16处，拆除不合格广告牌371处，拆除遮阳蓬545处。</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 xml:space="preserve">3.提高环卫保洁水平。每天出动环卫工人约359人次，实行机冲、机洗、机扫、人洗、人抹联合化和精细化作业，实现全天候保洁，彻底清洗卫生死角。建立撤桶机制，共撤掉主干道，西湖北路、魏源路、资江北路、北塔大道、龙山路垃圾桶160个、垃圾板车20辆、撤除钩臂箱15个。实现了城市美观的同时做到了垃圾日产日清。 </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4.完善环卫基础设施。对汽车北站、十八栋、高撑、云山路4座公厕示范点位的基础设施进行升级，改造4座无障碍公厕（蹲便器改座便器），更换公厕无障碍标识、增置扶手、缘石坡道、门帘等。新增公厕指引牌20余块，更换了所有未标注距离的公厕指引牌。安装垃圾中转站摄像头10个。每日加强公厕清扫保洁，防虫除臭。</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5.疏通地下管网。清理粪水横流、严重影响人民正常生活的化粪池12个，清洗下水道流程井130余个，疏通下水道820余米，抽运污水18车、抽运粪水10车、清运污泥16车。</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6.推进生活垃圾分类。我区田江街道代表市城区圆满完成了省评估组对生活垃圾分类示范片区的评估检查，得到了高度好评。现已设置垃圾分类收集运输车2辆、转运车1辆，新建厨余垃圾中转站1座、分类垃圾屋1座、分类垃圾收集亭45个、环保小屋2个、大件垃圾、有害垃圾、可回收垃圾暂存点2个；在居民院落、新老320设置垃圾四分类收集点30个，背街小巷新置换240升二分类垃圾桶400余个，贴标其他和厨余收垃圾两分类收集桶100个；现已覆盖16个小区、5所学校、无物业居民院落2个、2个卫生院、1个企业和全区所有机关院落，前端分类投放和中端分类运输目前已正常运行。</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7.加强对保洁公司的考核。我局根据步行和驾车实时拍照、群众投诉及上级机关检查发现的问题，对相关保洁公司进行处罚，今年度共对三家清扫保洁公司处罚52600元。</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8.优化智慧数字化管理。数字化城管指挥中心数控平台2021年1-10月共接到58016条案件，微信平台接到案件23649条，结案率达到100%。12345服务热线接到投诉举报407件，处理回复407件，重办34件，回复当事人392件，群众满意384件，有23件属于恶意投诉已向政务中心说明。依托志愿城管综合执法岗亭为市民开展便民服务活动680起、好人好事28起、接待回访市民投诉60起、开展学雷锋活动6起，提升了城市的幸福指数。</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9.园林绿化管理。一是查漏补缺。替换补种二广高速连接线坏死的桂花、银杏、杜英共计126棵，按市创森办要求完成2个园林式小区的申报。二是维护小游园。对联通公司游园、高撑游园、公安局沿河游园、北站口游园、皇家壹号游园、西湖社区游园、观音庵社区游园的绿植和草坪进行全面修剪，更换西湖桥下游园二十四组破烂座位及其它被损毁的小设施。</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w:t>
      </w:r>
      <w:r>
        <w:rPr>
          <w:rFonts w:hint="eastAsia" w:ascii="宋体" w:hAnsi="宋体" w:eastAsia="宋体" w:cs="宋体"/>
          <w:color w:val="444444"/>
          <w:sz w:val="27"/>
          <w:szCs w:val="27"/>
          <w:lang w:val="en-US" w:eastAsia="zh-CN"/>
        </w:rPr>
        <w:t>二</w:t>
      </w:r>
      <w:r>
        <w:rPr>
          <w:rFonts w:hint="eastAsia" w:ascii="宋体" w:hAnsi="宋体" w:eastAsia="宋体" w:cs="宋体"/>
          <w:color w:val="444444"/>
          <w:sz w:val="27"/>
          <w:szCs w:val="27"/>
        </w:rPr>
        <w:t>）蓝天保卫战工作</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1.积极开展“四车整治”。我局对在建项目车辆进出情况、辖区内主要路段和隐蔽运输线路进行了详细的排查，及时拟定了工作计划和巡查路线，并采取不定时巡逻与设点拦截相结合的方式进行执法检查，有效解决工地污染、渣土污染、扬尘污染问题。今年共整治渣土车52辆、流散体车25辆、混泥土罐车27辆，批评教育各类司机70余人次；按照“六个百分百”要求加强工地督查，下达行政处罚决定书11份，共处罚金27500元。</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2.全面落实禁炮等工作。以“蓝天保卫战”和“环保成果大巩固”工作为中心，在春节、元宵、清明、中元等期间，开展4次禁炮集中行动，制止垃圾焚烧47起，熏制腊菜121起，收缴烟花爆竹38箱，制止欲燃放烟花爆竹行为15起，实现炮火“零警情”。</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3.狠抓在建项目安全文明施工。我局分别于3月和7月份利用15个工作日，到建设项目与各主体单位负责人进行面对面宣传，并发放宣传资料和法律法规知识宣传册，要求各项目严格按照我市蓝天卫战在建项目“六个百分百”落实安全文明施工，我辖区内各在建项目按照市、区要求进行安全文明施工情况得到了很大的改善。</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4.油烟、噪声环境污染专项执法整治成效明显。开展餐饮油烟专项整治，处理信访投诉案件30起（餐饮油烟25家，环境噪声5起），立案查处16起（其中油烟污染案件15起，环境噪声污染案件1起），共处罚金 14万元已到位。对8家未正常使用油烟净化设施下达限期整改通知书，已全部改正到位，实现主次干道餐饮业油烟净化设施100％安装。</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w:t>
      </w:r>
      <w:r>
        <w:rPr>
          <w:rFonts w:hint="eastAsia" w:ascii="宋体" w:hAnsi="宋体" w:eastAsia="宋体" w:cs="宋体"/>
          <w:color w:val="444444"/>
          <w:sz w:val="27"/>
          <w:szCs w:val="27"/>
          <w:lang w:val="en-US" w:eastAsia="zh-CN"/>
        </w:rPr>
        <w:t>三</w:t>
      </w:r>
      <w:r>
        <w:rPr>
          <w:rFonts w:hint="eastAsia" w:ascii="宋体" w:hAnsi="宋体" w:eastAsia="宋体" w:cs="宋体"/>
          <w:color w:val="444444"/>
          <w:sz w:val="27"/>
          <w:szCs w:val="27"/>
        </w:rPr>
        <w:t>）行政执法工作</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1.依法行政工作稳步开展。一是做好政协提案办理，今年我局共承办政协委员提案3件，均取得满意答复。二是开展律师驻队模式，严格执法程序。今年开展一般程序案件立案25件，联合执法10余起。三是以控为主，严控新增违章建筑。对新增违法建设坚决“零容忍”。今年度共拆除违法建设39049平方米，其中存量违法建设37370平方米，新增违法建设1679平方米，下发交办单97件。四是做好行政审批管理服务。今年度主动公开10篇信息稿件。按要求完成“互联网+监管平台”行政检查、处罚、强制、征收等执法信息的录入。完成4件市长信箱、区长信箱投诉件的答复。12345服务热线共计接到投诉举报392件，有9件投诉属于恶意投诉，我局已向政务中心说明，其它案件和投诉均按时办结。</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2.平安建设、信访维稳工作积极应对。一是对资园社区进行综治走访，开展反诈骗宣传和禁毒宣传，指导群众853人安装国家反诈中心软件。分别于5月和11月在联点资园社区开展民情恳谈会，收集群众意见11条。二是全局干部职工安装了国家反诈中心软件，组织干部职工学习禁毒知识、参加禁毒竞赛考试，全体干部职工进行了毛发吸毒检测，通过临街LID屏进行禁毒知识宣传。三是8月新冠疫情期间在资园社区协助抗疫，通过发放宣传单、联合开展关停麻将馆、棋牌室行动、监管江北夜宵一条街餐桌椅间距、劝离广场舞群众，协助社区开展资园农贸市场进出人员健康码核查、疫苗接种入户清零摸排等行动支援社区抗疫。四是组织干部职工学习国家安全知识，在两会、国庆等重点时间开展不稳定因素排查。今年度共上报网络舆情88条，处理回复网络舆情8条、市民来电来访投诉35个、市区、区长信箱投诉4件。</w:t>
      </w:r>
    </w:p>
    <w:p>
      <w:pPr>
        <w:shd w:val="clear" w:color="auto" w:fill="FFFFFF"/>
        <w:adjustRightInd/>
        <w:snapToGrid/>
        <w:spacing w:after="0" w:line="480" w:lineRule="atLeast"/>
        <w:ind w:firstLine="542"/>
        <w:rPr>
          <w:rFonts w:hint="eastAsia" w:ascii="宋体" w:hAnsi="宋体" w:eastAsia="宋体" w:cs="宋体"/>
          <w:color w:val="444444"/>
          <w:sz w:val="27"/>
          <w:szCs w:val="27"/>
        </w:rPr>
      </w:pPr>
      <w:r>
        <w:rPr>
          <w:rFonts w:hint="eastAsia" w:ascii="宋体" w:hAnsi="宋体" w:eastAsia="宋体" w:cs="宋体"/>
          <w:color w:val="444444"/>
          <w:sz w:val="27"/>
          <w:szCs w:val="27"/>
        </w:rPr>
        <w:t>3.做好安全生产和风险防控。我局牵头起草了《北塔区城镇燃气安全隐患大排查大整治工作实施方案》和《北塔区城镇燃气入户检查工作方案》，召开了专题培训会，积极协调、配合市局、燃气公司开展入户检查，扎实推进燃气安全隐患大排查大整治行动。共排查非居民天然气用户151家；区内共有居民天然气用户24007户，现已排查16000余户；排查瓶装液化气销售网点9家。</w:t>
      </w:r>
    </w:p>
    <w:p>
      <w:pPr>
        <w:shd w:val="clear" w:color="auto" w:fill="FFFFFF"/>
        <w:adjustRightInd/>
        <w:snapToGrid/>
        <w:spacing w:after="0" w:line="480" w:lineRule="atLeast"/>
        <w:ind w:firstLine="542"/>
        <w:rPr>
          <w:rFonts w:ascii="微软雅黑" w:hAnsi="微软雅黑" w:cs="宋体"/>
          <w:color w:val="444444"/>
          <w:sz w:val="24"/>
          <w:szCs w:val="24"/>
        </w:rPr>
      </w:pPr>
      <w:r>
        <w:rPr>
          <w:rFonts w:hint="eastAsia" w:ascii="宋体" w:hAnsi="宋体" w:eastAsia="宋体" w:cs="宋体"/>
          <w:b/>
          <w:bCs/>
          <w:color w:val="444444"/>
          <w:sz w:val="27"/>
          <w:szCs w:val="27"/>
        </w:rPr>
        <w:t>二、部门整体支出管理及使用情况</w:t>
      </w:r>
    </w:p>
    <w:p>
      <w:pPr>
        <w:shd w:val="clear" w:color="auto" w:fill="FFFFFF"/>
        <w:adjustRightInd/>
        <w:snapToGrid/>
        <w:spacing w:after="0" w:line="480" w:lineRule="atLeast"/>
        <w:ind w:firstLine="542"/>
        <w:rPr>
          <w:rFonts w:ascii="微软雅黑" w:hAnsi="微软雅黑" w:cs="宋体"/>
          <w:color w:val="444444"/>
          <w:sz w:val="24"/>
          <w:szCs w:val="24"/>
        </w:rPr>
      </w:pPr>
      <w:r>
        <w:rPr>
          <w:rFonts w:hint="eastAsia" w:ascii="宋体" w:hAnsi="宋体" w:eastAsia="宋体" w:cs="宋体"/>
          <w:bCs/>
          <w:color w:val="444444"/>
          <w:sz w:val="27"/>
          <w:szCs w:val="27"/>
        </w:rPr>
        <w:t>（一）预算执行情况</w:t>
      </w:r>
    </w:p>
    <w:p>
      <w:pPr>
        <w:shd w:val="clear" w:color="auto" w:fill="FFFFFF"/>
        <w:adjustRightInd/>
        <w:snapToGrid/>
        <w:spacing w:after="0" w:line="480" w:lineRule="atLeast"/>
        <w:ind w:firstLine="540"/>
        <w:rPr>
          <w:rFonts w:ascii="宋体" w:hAnsi="宋体" w:eastAsia="宋体" w:cs="宋体"/>
          <w:color w:val="444444"/>
          <w:sz w:val="27"/>
          <w:szCs w:val="27"/>
        </w:rPr>
      </w:pPr>
      <w:r>
        <w:rPr>
          <w:rFonts w:hint="eastAsia" w:ascii="宋体" w:hAnsi="宋体" w:eastAsia="宋体" w:cs="宋体"/>
          <w:color w:val="444444"/>
          <w:sz w:val="27"/>
          <w:szCs w:val="27"/>
        </w:rPr>
        <w:t>2021年收入</w:t>
      </w:r>
      <w:r>
        <w:rPr>
          <w:rFonts w:hint="eastAsia" w:ascii="宋体" w:hAnsi="宋体" w:eastAsia="宋体" w:cs="宋体"/>
          <w:color w:val="444444"/>
          <w:sz w:val="27"/>
          <w:szCs w:val="27"/>
          <w:lang w:val="en-US" w:eastAsia="zh-CN"/>
        </w:rPr>
        <w:t>3640.48</w:t>
      </w:r>
      <w:r>
        <w:rPr>
          <w:rFonts w:hint="eastAsia" w:ascii="宋体" w:hAnsi="宋体" w:eastAsia="宋体" w:cs="宋体"/>
          <w:color w:val="444444"/>
          <w:sz w:val="27"/>
          <w:szCs w:val="27"/>
        </w:rPr>
        <w:t>万元，包括一般公共预算财政拨款收入</w:t>
      </w:r>
      <w:r>
        <w:rPr>
          <w:rFonts w:hint="eastAsia" w:ascii="宋体" w:hAnsi="宋体" w:eastAsia="宋体" w:cs="宋体"/>
          <w:color w:val="444444"/>
          <w:sz w:val="27"/>
          <w:szCs w:val="27"/>
          <w:lang w:val="en-US" w:eastAsia="zh-CN"/>
        </w:rPr>
        <w:t>2847.08</w:t>
      </w:r>
      <w:r>
        <w:rPr>
          <w:rFonts w:hint="eastAsia" w:ascii="宋体" w:hAnsi="宋体" w:eastAsia="宋体" w:cs="宋体"/>
          <w:color w:val="444444"/>
          <w:sz w:val="27"/>
          <w:szCs w:val="27"/>
        </w:rPr>
        <w:t>万元，</w:t>
      </w:r>
      <w:r>
        <w:rPr>
          <w:rFonts w:hint="eastAsia" w:ascii="宋体" w:hAnsi="宋体" w:eastAsia="宋体" w:cs="宋体"/>
          <w:color w:val="444444"/>
          <w:sz w:val="27"/>
          <w:szCs w:val="27"/>
          <w:lang w:val="en-US" w:eastAsia="zh-CN"/>
        </w:rPr>
        <w:t>其他</w:t>
      </w:r>
      <w:r>
        <w:rPr>
          <w:rFonts w:hint="eastAsia" w:ascii="宋体" w:hAnsi="宋体" w:eastAsia="宋体" w:cs="宋体"/>
          <w:color w:val="444444"/>
          <w:sz w:val="27"/>
          <w:szCs w:val="27"/>
        </w:rPr>
        <w:t>收入</w:t>
      </w:r>
      <w:r>
        <w:rPr>
          <w:rFonts w:hint="eastAsia" w:ascii="宋体" w:hAnsi="宋体" w:eastAsia="宋体" w:cs="宋体"/>
          <w:color w:val="444444"/>
          <w:sz w:val="27"/>
          <w:szCs w:val="27"/>
          <w:lang w:val="en-US" w:eastAsia="zh-CN"/>
        </w:rPr>
        <w:t>793.4</w:t>
      </w:r>
      <w:r>
        <w:rPr>
          <w:rFonts w:hint="eastAsia" w:ascii="宋体" w:hAnsi="宋体" w:eastAsia="宋体" w:cs="宋体"/>
          <w:color w:val="444444"/>
          <w:sz w:val="27"/>
          <w:szCs w:val="27"/>
        </w:rPr>
        <w:t>万元</w:t>
      </w:r>
      <w:r>
        <w:rPr>
          <w:rFonts w:hint="eastAsia" w:ascii="宋体" w:hAnsi="宋体" w:eastAsia="宋体" w:cs="宋体"/>
          <w:color w:val="444444"/>
          <w:sz w:val="27"/>
          <w:szCs w:val="27"/>
          <w:lang w:val="en-US" w:eastAsia="zh-CN"/>
        </w:rPr>
        <w:t>.</w:t>
      </w:r>
      <w:r>
        <w:rPr>
          <w:rFonts w:hint="eastAsia" w:ascii="宋体" w:hAnsi="宋体" w:eastAsia="宋体" w:cs="宋体"/>
          <w:color w:val="444444"/>
          <w:sz w:val="27"/>
          <w:szCs w:val="27"/>
        </w:rPr>
        <w:t>2021年经费支出</w:t>
      </w:r>
      <w:r>
        <w:rPr>
          <w:rFonts w:hint="eastAsia" w:ascii="宋体" w:hAnsi="宋体" w:eastAsia="宋体" w:cs="宋体"/>
          <w:color w:val="444444"/>
          <w:sz w:val="27"/>
          <w:szCs w:val="27"/>
          <w:lang w:val="en-US" w:eastAsia="zh-CN"/>
        </w:rPr>
        <w:t>3640.48</w:t>
      </w:r>
      <w:r>
        <w:rPr>
          <w:rFonts w:hint="eastAsia" w:ascii="宋体" w:hAnsi="宋体" w:eastAsia="宋体" w:cs="宋体"/>
          <w:color w:val="444444"/>
          <w:sz w:val="27"/>
          <w:szCs w:val="27"/>
        </w:rPr>
        <w:t>万元，基本支出</w:t>
      </w:r>
      <w:r>
        <w:rPr>
          <w:rFonts w:hint="eastAsia" w:ascii="宋体" w:hAnsi="宋体" w:eastAsia="宋体" w:cs="宋体"/>
          <w:color w:val="444444"/>
          <w:sz w:val="27"/>
          <w:szCs w:val="27"/>
          <w:lang w:val="en-US" w:eastAsia="zh-CN"/>
        </w:rPr>
        <w:t>3640.48</w:t>
      </w:r>
      <w:r>
        <w:rPr>
          <w:rFonts w:hint="eastAsia" w:ascii="宋体" w:hAnsi="宋体" w:eastAsia="宋体" w:cs="宋体"/>
          <w:color w:val="444444"/>
          <w:sz w:val="27"/>
          <w:szCs w:val="27"/>
        </w:rPr>
        <w:t>万元，项目支出</w:t>
      </w:r>
      <w:r>
        <w:rPr>
          <w:rFonts w:hint="eastAsia" w:ascii="宋体" w:hAnsi="宋体" w:eastAsia="宋体" w:cs="宋体"/>
          <w:color w:val="444444"/>
          <w:sz w:val="27"/>
          <w:szCs w:val="27"/>
          <w:lang w:val="en-US" w:eastAsia="zh-CN"/>
        </w:rPr>
        <w:t>0</w:t>
      </w:r>
      <w:r>
        <w:rPr>
          <w:rFonts w:hint="eastAsia" w:ascii="宋体" w:hAnsi="宋体" w:eastAsia="宋体" w:cs="宋体"/>
          <w:color w:val="444444"/>
          <w:sz w:val="27"/>
          <w:szCs w:val="27"/>
        </w:rPr>
        <w:t>万元。</w:t>
      </w:r>
    </w:p>
    <w:p>
      <w:pPr>
        <w:shd w:val="clear" w:color="auto" w:fill="FFFFFF"/>
        <w:adjustRightInd/>
        <w:snapToGrid/>
        <w:spacing w:after="0" w:line="480" w:lineRule="atLeast"/>
        <w:ind w:firstLine="542"/>
        <w:rPr>
          <w:rFonts w:ascii="微软雅黑" w:hAnsi="微软雅黑" w:cs="宋体"/>
          <w:color w:val="444444"/>
          <w:sz w:val="24"/>
          <w:szCs w:val="24"/>
        </w:rPr>
      </w:pPr>
      <w:r>
        <w:rPr>
          <w:rFonts w:hint="eastAsia" w:ascii="宋体" w:hAnsi="宋体" w:eastAsia="宋体" w:cs="宋体"/>
          <w:bCs/>
          <w:color w:val="444444"/>
          <w:sz w:val="27"/>
          <w:szCs w:val="27"/>
        </w:rPr>
        <w:t>（二）基本支出</w:t>
      </w:r>
    </w:p>
    <w:p>
      <w:pPr>
        <w:shd w:val="clear" w:color="auto" w:fill="FFFFFF"/>
        <w:adjustRightInd/>
        <w:snapToGrid/>
        <w:spacing w:after="0" w:line="480" w:lineRule="atLeast"/>
        <w:ind w:firstLine="540"/>
        <w:rPr>
          <w:rFonts w:ascii="微软雅黑" w:hAnsi="微软雅黑" w:cs="宋体"/>
          <w:color w:val="444444"/>
          <w:sz w:val="24"/>
          <w:szCs w:val="24"/>
        </w:rPr>
      </w:pPr>
      <w:r>
        <w:rPr>
          <w:rFonts w:hint="eastAsia" w:ascii="宋体" w:hAnsi="宋体" w:eastAsia="宋体" w:cs="宋体"/>
          <w:color w:val="444444"/>
          <w:sz w:val="27"/>
          <w:szCs w:val="27"/>
        </w:rPr>
        <w:t>基本支出是为保障会机关正常运转、完成日常工作任务而发生的支出，包括人员经费和日常公用经费</w:t>
      </w:r>
      <w:r>
        <w:rPr>
          <w:rFonts w:hint="eastAsia" w:ascii="宋体" w:hAnsi="宋体" w:eastAsia="宋体" w:cs="宋体"/>
          <w:color w:val="444444"/>
          <w:sz w:val="27"/>
          <w:szCs w:val="27"/>
          <w:lang w:eastAsia="zh-CN"/>
        </w:rPr>
        <w:t>。</w:t>
      </w:r>
      <w:r>
        <w:rPr>
          <w:rFonts w:hint="eastAsia" w:ascii="宋体" w:hAnsi="宋体" w:eastAsia="宋体" w:cs="宋体"/>
          <w:color w:val="444444"/>
          <w:sz w:val="27"/>
          <w:szCs w:val="27"/>
        </w:rPr>
        <w:t>2021年度基本支出</w:t>
      </w:r>
      <w:r>
        <w:rPr>
          <w:rFonts w:hint="eastAsia" w:ascii="宋体" w:hAnsi="宋体" w:eastAsia="宋体" w:cs="宋体"/>
          <w:color w:val="444444"/>
          <w:sz w:val="27"/>
          <w:szCs w:val="27"/>
          <w:lang w:val="en-US" w:eastAsia="zh-CN"/>
        </w:rPr>
        <w:t>3640.48</w:t>
      </w:r>
      <w:r>
        <w:rPr>
          <w:rFonts w:hint="eastAsia" w:ascii="宋体" w:hAnsi="宋体" w:eastAsia="宋体" w:cs="宋体"/>
          <w:color w:val="444444"/>
          <w:sz w:val="27"/>
          <w:szCs w:val="27"/>
        </w:rPr>
        <w:t>万元</w:t>
      </w:r>
      <w:r>
        <w:rPr>
          <w:rFonts w:hint="eastAsia" w:ascii="宋体" w:hAnsi="宋体" w:eastAsia="宋体" w:cs="宋体"/>
          <w:color w:val="444444"/>
          <w:sz w:val="27"/>
          <w:szCs w:val="27"/>
          <w:lang w:eastAsia="zh-CN"/>
        </w:rPr>
        <w:t>（</w:t>
      </w:r>
      <w:r>
        <w:rPr>
          <w:rFonts w:hint="eastAsia" w:ascii="宋体" w:hAnsi="宋体" w:eastAsia="宋体" w:cs="宋体"/>
          <w:color w:val="444444"/>
          <w:sz w:val="27"/>
          <w:szCs w:val="27"/>
          <w:lang w:val="en-US" w:eastAsia="zh-CN"/>
        </w:rPr>
        <w:t>包括预算下达保运转的项目支出193.2万元，其中城管支出25.2万元，房屋租金经费12万元，环卫生产经费20万元，临聘人员工资120万元，数字城管维护经费8万元，油烟检测及整治经费8万元）</w:t>
      </w:r>
      <w:r>
        <w:rPr>
          <w:rFonts w:hint="eastAsia" w:ascii="宋体" w:hAnsi="宋体" w:eastAsia="宋体" w:cs="宋体"/>
          <w:color w:val="444444"/>
          <w:sz w:val="27"/>
          <w:szCs w:val="27"/>
        </w:rPr>
        <w:t>，主要包括基本工资福利支出</w:t>
      </w:r>
      <w:r>
        <w:rPr>
          <w:rFonts w:hint="eastAsia" w:ascii="宋体" w:hAnsi="宋体" w:eastAsia="宋体" w:cs="宋体"/>
          <w:color w:val="444444"/>
          <w:sz w:val="27"/>
          <w:szCs w:val="27"/>
          <w:lang w:val="en-US" w:eastAsia="zh-CN"/>
        </w:rPr>
        <w:t>809.23</w:t>
      </w:r>
      <w:r>
        <w:rPr>
          <w:rFonts w:hint="eastAsia" w:ascii="宋体" w:hAnsi="宋体" w:eastAsia="宋体" w:cs="宋体"/>
          <w:color w:val="444444"/>
          <w:sz w:val="27"/>
          <w:szCs w:val="27"/>
        </w:rPr>
        <w:t>万元，商品和服务支出</w:t>
      </w:r>
      <w:r>
        <w:rPr>
          <w:rFonts w:hint="eastAsia" w:ascii="宋体" w:hAnsi="宋体" w:eastAsia="宋体" w:cs="宋体"/>
          <w:color w:val="444444"/>
          <w:sz w:val="27"/>
          <w:szCs w:val="27"/>
          <w:lang w:val="en-US" w:eastAsia="zh-CN"/>
        </w:rPr>
        <w:t>2757.45</w:t>
      </w:r>
      <w:r>
        <w:rPr>
          <w:rFonts w:hint="eastAsia" w:ascii="宋体" w:hAnsi="宋体" w:eastAsia="宋体" w:cs="宋体"/>
          <w:color w:val="444444"/>
          <w:sz w:val="27"/>
          <w:szCs w:val="27"/>
        </w:rPr>
        <w:t>万元，对个人和家庭的补助支出</w:t>
      </w:r>
      <w:r>
        <w:rPr>
          <w:rFonts w:hint="eastAsia" w:ascii="宋体" w:hAnsi="宋体" w:eastAsia="宋体" w:cs="宋体"/>
          <w:color w:val="444444"/>
          <w:sz w:val="27"/>
          <w:szCs w:val="27"/>
          <w:lang w:val="en-US" w:eastAsia="zh-CN"/>
        </w:rPr>
        <w:t>6.45</w:t>
      </w:r>
      <w:r>
        <w:rPr>
          <w:rFonts w:hint="eastAsia" w:ascii="宋体" w:hAnsi="宋体" w:eastAsia="宋体" w:cs="宋体"/>
          <w:color w:val="444444"/>
          <w:sz w:val="27"/>
          <w:szCs w:val="27"/>
        </w:rPr>
        <w:t>万元，资本性支出</w:t>
      </w:r>
      <w:r>
        <w:rPr>
          <w:rFonts w:hint="eastAsia" w:ascii="宋体" w:hAnsi="宋体" w:eastAsia="宋体" w:cs="宋体"/>
          <w:color w:val="444444"/>
          <w:sz w:val="27"/>
          <w:szCs w:val="27"/>
          <w:lang w:val="en-US" w:eastAsia="zh-CN"/>
        </w:rPr>
        <w:t>67.35</w:t>
      </w:r>
      <w:r>
        <w:rPr>
          <w:rFonts w:hint="eastAsia" w:ascii="宋体" w:hAnsi="宋体" w:eastAsia="宋体" w:cs="宋体"/>
          <w:color w:val="444444"/>
          <w:sz w:val="27"/>
          <w:szCs w:val="27"/>
        </w:rPr>
        <w:t>万元。</w:t>
      </w:r>
    </w:p>
    <w:p>
      <w:pPr>
        <w:shd w:val="clear" w:color="auto" w:fill="FFFFFF"/>
        <w:adjustRightInd/>
        <w:snapToGrid/>
        <w:spacing w:after="0" w:line="480" w:lineRule="atLeast"/>
        <w:ind w:firstLine="540"/>
        <w:rPr>
          <w:rFonts w:hint="default" w:ascii="微软雅黑" w:hAnsi="微软雅黑" w:eastAsia="宋体" w:cs="宋体"/>
          <w:color w:val="444444"/>
          <w:sz w:val="24"/>
          <w:szCs w:val="24"/>
          <w:lang w:val="en-US" w:eastAsia="zh-CN"/>
        </w:rPr>
      </w:pPr>
      <w:r>
        <w:rPr>
          <w:rFonts w:hint="eastAsia" w:ascii="宋体" w:hAnsi="宋体" w:eastAsia="宋体" w:cs="宋体"/>
          <w:color w:val="444444"/>
          <w:sz w:val="27"/>
          <w:szCs w:val="27"/>
        </w:rPr>
        <w:t>为严控“三公经费”的使用，我局制定了公务用车管理办法、公务接待工作管理办法和因公出国管理规定，规范了“三公经费”开支。2021年“三公”经费支出总额为</w:t>
      </w:r>
      <w:r>
        <w:rPr>
          <w:rFonts w:hint="eastAsia" w:ascii="宋体" w:hAnsi="宋体" w:eastAsia="宋体" w:cs="宋体"/>
          <w:color w:val="444444"/>
          <w:sz w:val="27"/>
          <w:szCs w:val="27"/>
          <w:lang w:val="en-US" w:eastAsia="zh-CN"/>
        </w:rPr>
        <w:t>45.06</w:t>
      </w:r>
      <w:r>
        <w:rPr>
          <w:rFonts w:hint="eastAsia" w:ascii="宋体" w:hAnsi="宋体" w:eastAsia="宋体" w:cs="宋体"/>
          <w:color w:val="444444"/>
          <w:sz w:val="27"/>
          <w:szCs w:val="27"/>
        </w:rPr>
        <w:t>万元。其中：因公出国（境）费0万元，因公出国（境）0批次0人次。公务用车购置及运行费为</w:t>
      </w:r>
      <w:r>
        <w:rPr>
          <w:rFonts w:hint="eastAsia" w:ascii="宋体" w:hAnsi="宋体" w:eastAsia="宋体" w:cs="宋体"/>
          <w:color w:val="444444"/>
          <w:sz w:val="27"/>
          <w:szCs w:val="27"/>
          <w:lang w:val="en-US" w:eastAsia="zh-CN"/>
        </w:rPr>
        <w:t>44.16</w:t>
      </w:r>
      <w:r>
        <w:rPr>
          <w:rFonts w:hint="eastAsia" w:ascii="宋体" w:hAnsi="宋体" w:eastAsia="宋体" w:cs="宋体"/>
          <w:color w:val="444444"/>
          <w:sz w:val="27"/>
          <w:szCs w:val="27"/>
        </w:rPr>
        <w:t>万元，公务接待费为</w:t>
      </w:r>
      <w:r>
        <w:rPr>
          <w:rFonts w:hint="eastAsia" w:ascii="宋体" w:hAnsi="宋体" w:eastAsia="宋体" w:cs="宋体"/>
          <w:color w:val="444444"/>
          <w:sz w:val="27"/>
          <w:szCs w:val="27"/>
          <w:lang w:val="en-US" w:eastAsia="zh-CN"/>
        </w:rPr>
        <w:t>0.9</w:t>
      </w:r>
      <w:r>
        <w:rPr>
          <w:rFonts w:hint="eastAsia" w:ascii="宋体" w:hAnsi="宋体" w:eastAsia="宋体" w:cs="宋体"/>
          <w:color w:val="444444"/>
          <w:sz w:val="27"/>
          <w:szCs w:val="27"/>
        </w:rPr>
        <w:t>万元。2021年“三公”经费与2020年“三公经费</w:t>
      </w:r>
      <w:r>
        <w:rPr>
          <w:rFonts w:ascii="宋体" w:hAnsi="宋体" w:eastAsia="宋体" w:cs="宋体"/>
          <w:color w:val="444444"/>
          <w:sz w:val="27"/>
          <w:szCs w:val="27"/>
        </w:rPr>
        <w:t>”</w:t>
      </w:r>
      <w:r>
        <w:rPr>
          <w:rFonts w:hint="eastAsia" w:ascii="宋体" w:hAnsi="宋体" w:eastAsia="宋体" w:cs="宋体"/>
          <w:color w:val="444444"/>
          <w:sz w:val="27"/>
          <w:szCs w:val="27"/>
        </w:rPr>
        <w:t>相比</w:t>
      </w:r>
      <w:r>
        <w:rPr>
          <w:rFonts w:hint="eastAsia" w:ascii="宋体" w:hAnsi="宋体" w:eastAsia="宋体" w:cs="宋体"/>
          <w:color w:val="444444"/>
          <w:sz w:val="27"/>
          <w:szCs w:val="27"/>
          <w:lang w:val="en-US" w:eastAsia="zh-CN"/>
        </w:rPr>
        <w:t>增加0.84</w:t>
      </w:r>
      <w:r>
        <w:rPr>
          <w:rFonts w:hint="eastAsia" w:ascii="宋体" w:hAnsi="宋体" w:eastAsia="宋体" w:cs="宋体"/>
          <w:color w:val="444444"/>
          <w:sz w:val="27"/>
          <w:szCs w:val="27"/>
        </w:rPr>
        <w:t>万元，原因为我局</w:t>
      </w:r>
      <w:r>
        <w:rPr>
          <w:rFonts w:hint="eastAsia" w:ascii="宋体" w:hAnsi="宋体" w:eastAsia="宋体" w:cs="宋体"/>
          <w:color w:val="444444"/>
          <w:sz w:val="27"/>
          <w:szCs w:val="27"/>
          <w:lang w:val="en-US" w:eastAsia="zh-CN"/>
        </w:rPr>
        <w:t>执法车辆老化油料费和维修费增加</w:t>
      </w:r>
    </w:p>
    <w:p>
      <w:pPr>
        <w:shd w:val="clear" w:color="auto" w:fill="FFFFFF"/>
        <w:adjustRightInd/>
        <w:snapToGrid/>
        <w:spacing w:after="0" w:line="480" w:lineRule="atLeast"/>
        <w:ind w:firstLine="542"/>
        <w:rPr>
          <w:rFonts w:ascii="微软雅黑" w:hAnsi="微软雅黑" w:cs="宋体"/>
          <w:color w:val="444444"/>
          <w:sz w:val="24"/>
          <w:szCs w:val="24"/>
        </w:rPr>
      </w:pPr>
      <w:r>
        <w:rPr>
          <w:rFonts w:hint="eastAsia" w:ascii="宋体" w:hAnsi="宋体" w:eastAsia="宋体" w:cs="宋体"/>
          <w:bCs/>
          <w:color w:val="444444"/>
          <w:sz w:val="27"/>
          <w:szCs w:val="27"/>
        </w:rPr>
        <w:t>（三）专项支出</w:t>
      </w:r>
    </w:p>
    <w:p>
      <w:pPr>
        <w:shd w:val="clear" w:color="auto" w:fill="FFFFFF"/>
        <w:adjustRightInd/>
        <w:snapToGrid/>
        <w:spacing w:after="0" w:line="480" w:lineRule="atLeast"/>
        <w:ind w:firstLine="540"/>
        <w:rPr>
          <w:rFonts w:ascii="微软雅黑" w:hAnsi="微软雅黑" w:cs="宋体"/>
          <w:color w:val="444444"/>
          <w:sz w:val="24"/>
          <w:szCs w:val="24"/>
        </w:rPr>
      </w:pPr>
      <w:r>
        <w:rPr>
          <w:rFonts w:hint="eastAsia" w:ascii="宋体" w:hAnsi="宋体" w:eastAsia="宋体" w:cs="宋体"/>
          <w:color w:val="444444"/>
          <w:sz w:val="27"/>
          <w:szCs w:val="27"/>
        </w:rPr>
        <w:t>1.专项资金（包括财政资金、自筹资金等）安排落实、总投入等情况分析。</w:t>
      </w:r>
    </w:p>
    <w:p>
      <w:pPr>
        <w:shd w:val="clear" w:color="auto" w:fill="FFFFFF"/>
        <w:adjustRightInd/>
        <w:snapToGrid/>
        <w:spacing w:after="0" w:line="480" w:lineRule="atLeast"/>
        <w:ind w:firstLine="540"/>
        <w:rPr>
          <w:rFonts w:hint="eastAsia" w:ascii="宋体" w:hAnsi="宋体" w:eastAsia="宋体" w:cs="宋体"/>
          <w:color w:val="444444"/>
          <w:sz w:val="27"/>
          <w:szCs w:val="27"/>
          <w:lang w:val="en-US" w:eastAsia="zh-CN"/>
        </w:rPr>
      </w:pPr>
      <w:r>
        <w:rPr>
          <w:rFonts w:hint="eastAsia" w:ascii="宋体" w:hAnsi="宋体" w:eastAsia="宋体" w:cs="宋体"/>
          <w:color w:val="444444"/>
          <w:sz w:val="27"/>
          <w:szCs w:val="27"/>
        </w:rPr>
        <w:t>2021年项目收入为</w:t>
      </w:r>
      <w:r>
        <w:rPr>
          <w:rFonts w:hint="eastAsia" w:ascii="宋体" w:hAnsi="宋体" w:eastAsia="宋体" w:cs="宋体"/>
          <w:color w:val="444444"/>
          <w:sz w:val="27"/>
          <w:szCs w:val="27"/>
          <w:lang w:val="en-US" w:eastAsia="zh-CN"/>
        </w:rPr>
        <w:t>0</w:t>
      </w:r>
      <w:r>
        <w:rPr>
          <w:rFonts w:hint="eastAsia" w:ascii="宋体" w:hAnsi="宋体" w:eastAsia="宋体" w:cs="宋体"/>
          <w:color w:val="444444"/>
          <w:sz w:val="27"/>
          <w:szCs w:val="27"/>
        </w:rPr>
        <w:t>万元，一般公共预算财政拨款收入</w:t>
      </w:r>
      <w:r>
        <w:rPr>
          <w:rFonts w:hint="eastAsia" w:ascii="宋体" w:hAnsi="宋体" w:eastAsia="宋体" w:cs="宋体"/>
          <w:color w:val="444444"/>
          <w:sz w:val="27"/>
          <w:szCs w:val="27"/>
          <w:lang w:val="en-US" w:eastAsia="zh-CN"/>
        </w:rPr>
        <w:t>0</w:t>
      </w:r>
      <w:r>
        <w:rPr>
          <w:rFonts w:hint="eastAsia" w:ascii="宋体" w:hAnsi="宋体" w:eastAsia="宋体" w:cs="宋体"/>
          <w:color w:val="444444"/>
          <w:sz w:val="27"/>
          <w:szCs w:val="27"/>
        </w:rPr>
        <w:t>万元，政府性基金预算财政拨款收入</w:t>
      </w:r>
      <w:r>
        <w:rPr>
          <w:rFonts w:hint="eastAsia" w:ascii="宋体" w:hAnsi="宋体" w:eastAsia="宋体" w:cs="宋体"/>
          <w:color w:val="444444"/>
          <w:sz w:val="27"/>
          <w:szCs w:val="27"/>
          <w:lang w:val="en-US" w:eastAsia="zh-CN"/>
        </w:rPr>
        <w:t>0</w:t>
      </w:r>
      <w:r>
        <w:rPr>
          <w:rFonts w:hint="eastAsia" w:ascii="宋体" w:hAnsi="宋体" w:eastAsia="宋体" w:cs="宋体"/>
          <w:color w:val="444444"/>
          <w:sz w:val="27"/>
          <w:szCs w:val="27"/>
        </w:rPr>
        <w:t>万元。项目支出</w:t>
      </w:r>
      <w:r>
        <w:rPr>
          <w:rFonts w:hint="eastAsia" w:ascii="宋体" w:hAnsi="宋体" w:eastAsia="宋体" w:cs="宋体"/>
          <w:color w:val="444444"/>
          <w:sz w:val="27"/>
          <w:szCs w:val="27"/>
          <w:lang w:val="en-US" w:eastAsia="zh-CN"/>
        </w:rPr>
        <w:t>0</w:t>
      </w:r>
      <w:r>
        <w:rPr>
          <w:rFonts w:hint="eastAsia" w:ascii="宋体" w:hAnsi="宋体" w:eastAsia="宋体" w:cs="宋体"/>
          <w:color w:val="444444"/>
          <w:sz w:val="27"/>
          <w:szCs w:val="27"/>
        </w:rPr>
        <w:t>万元</w:t>
      </w:r>
      <w:r>
        <w:rPr>
          <w:rFonts w:hint="eastAsia" w:ascii="宋体" w:hAnsi="宋体" w:eastAsia="宋体" w:cs="宋体"/>
          <w:color w:val="444444"/>
          <w:sz w:val="27"/>
          <w:szCs w:val="27"/>
          <w:lang w:val="en-US" w:eastAsia="zh-CN"/>
        </w:rPr>
        <w:t>.</w:t>
      </w:r>
    </w:p>
    <w:p>
      <w:pPr>
        <w:shd w:val="clear" w:color="auto" w:fill="FFFFFF"/>
        <w:adjustRightInd/>
        <w:snapToGrid/>
        <w:spacing w:after="0" w:line="480" w:lineRule="atLeast"/>
        <w:ind w:firstLine="542"/>
        <w:rPr>
          <w:rFonts w:ascii="微软雅黑" w:hAnsi="微软雅黑" w:cs="宋体"/>
          <w:color w:val="444444"/>
          <w:sz w:val="24"/>
          <w:szCs w:val="24"/>
        </w:rPr>
      </w:pPr>
      <w:r>
        <w:rPr>
          <w:rFonts w:hint="eastAsia" w:ascii="宋体" w:hAnsi="宋体" w:eastAsia="宋体" w:cs="宋体"/>
          <w:b/>
          <w:bCs/>
          <w:color w:val="444444"/>
          <w:sz w:val="27"/>
          <w:szCs w:val="27"/>
        </w:rPr>
        <w:t>三、资产管理情况</w:t>
      </w:r>
    </w:p>
    <w:p>
      <w:pPr>
        <w:shd w:val="clear" w:color="auto" w:fill="FFFFFF"/>
        <w:adjustRightInd/>
        <w:snapToGrid/>
        <w:spacing w:after="0" w:line="480" w:lineRule="atLeast"/>
        <w:ind w:firstLine="540"/>
        <w:rPr>
          <w:rFonts w:ascii="微软雅黑" w:hAnsi="微软雅黑" w:cs="宋体"/>
          <w:color w:val="444444"/>
          <w:sz w:val="24"/>
          <w:szCs w:val="24"/>
        </w:rPr>
      </w:pPr>
      <w:r>
        <w:rPr>
          <w:rFonts w:hint="eastAsia" w:ascii="宋体" w:hAnsi="宋体" w:eastAsia="宋体" w:cs="宋体"/>
          <w:color w:val="444444"/>
          <w:sz w:val="27"/>
          <w:szCs w:val="27"/>
        </w:rPr>
        <w:t>截至2021年12月31日，邵阳市</w:t>
      </w:r>
      <w:r>
        <w:rPr>
          <w:rFonts w:hint="eastAsia" w:ascii="宋体" w:hAnsi="宋体" w:eastAsia="宋体" w:cs="宋体"/>
          <w:color w:val="444444"/>
          <w:sz w:val="27"/>
          <w:szCs w:val="27"/>
          <w:lang w:val="en-US" w:eastAsia="zh-CN"/>
        </w:rPr>
        <w:t>北塔区</w:t>
      </w:r>
      <w:r>
        <w:rPr>
          <w:rFonts w:hint="eastAsia" w:ascii="宋体" w:hAnsi="宋体" w:eastAsia="宋体" w:cs="宋体"/>
          <w:color w:val="444444"/>
          <w:sz w:val="27"/>
          <w:szCs w:val="27"/>
        </w:rPr>
        <w:t>城市管理和综合执法局资产总额</w:t>
      </w:r>
      <w:r>
        <w:rPr>
          <w:rFonts w:hint="eastAsia" w:ascii="宋体" w:hAnsi="宋体" w:eastAsia="宋体" w:cs="宋体"/>
          <w:color w:val="444444"/>
          <w:sz w:val="27"/>
          <w:szCs w:val="27"/>
          <w:lang w:val="en-US" w:eastAsia="zh-CN"/>
        </w:rPr>
        <w:t>163.79</w:t>
      </w:r>
      <w:r>
        <w:rPr>
          <w:rFonts w:hint="eastAsia" w:ascii="宋体" w:hAnsi="宋体" w:eastAsia="宋体" w:cs="宋体"/>
          <w:color w:val="444444"/>
          <w:sz w:val="27"/>
          <w:szCs w:val="27"/>
        </w:rPr>
        <w:t>万元，主要由以下部分构成，流动资产</w:t>
      </w:r>
      <w:r>
        <w:rPr>
          <w:rFonts w:hint="eastAsia" w:ascii="宋体" w:hAnsi="宋体" w:eastAsia="宋体" w:cs="宋体"/>
          <w:color w:val="444444"/>
          <w:sz w:val="27"/>
          <w:szCs w:val="27"/>
          <w:lang w:val="en-US" w:eastAsia="zh-CN"/>
        </w:rPr>
        <w:t>22.35</w:t>
      </w:r>
      <w:r>
        <w:rPr>
          <w:rFonts w:hint="eastAsia" w:ascii="宋体" w:hAnsi="宋体" w:eastAsia="宋体" w:cs="宋体"/>
          <w:color w:val="444444"/>
          <w:sz w:val="27"/>
          <w:szCs w:val="27"/>
        </w:rPr>
        <w:t>万元，占资产总额的</w:t>
      </w:r>
      <w:r>
        <w:rPr>
          <w:rFonts w:hint="eastAsia" w:ascii="宋体" w:hAnsi="宋体" w:eastAsia="宋体" w:cs="宋体"/>
          <w:color w:val="444444"/>
          <w:sz w:val="27"/>
          <w:szCs w:val="27"/>
          <w:lang w:val="en-US" w:eastAsia="zh-CN"/>
        </w:rPr>
        <w:t>13.64</w:t>
      </w:r>
      <w:r>
        <w:rPr>
          <w:rFonts w:hint="eastAsia" w:ascii="宋体" w:hAnsi="宋体" w:eastAsia="宋体" w:cs="宋体"/>
          <w:color w:val="444444"/>
          <w:sz w:val="27"/>
          <w:szCs w:val="27"/>
        </w:rPr>
        <w:t>%，非流动资产</w:t>
      </w:r>
      <w:r>
        <w:rPr>
          <w:rFonts w:hint="eastAsia" w:ascii="宋体" w:hAnsi="宋体" w:eastAsia="宋体" w:cs="宋体"/>
          <w:color w:val="444444"/>
          <w:sz w:val="27"/>
          <w:szCs w:val="27"/>
          <w:lang w:val="en-US" w:eastAsia="zh-CN"/>
        </w:rPr>
        <w:t>141.44</w:t>
      </w:r>
      <w:r>
        <w:rPr>
          <w:rFonts w:hint="eastAsia" w:ascii="宋体" w:hAnsi="宋体" w:eastAsia="宋体" w:cs="宋体"/>
          <w:color w:val="444444"/>
          <w:sz w:val="27"/>
          <w:szCs w:val="27"/>
        </w:rPr>
        <w:t>万元，占资产总额的</w:t>
      </w:r>
      <w:r>
        <w:rPr>
          <w:rFonts w:hint="eastAsia" w:ascii="宋体" w:hAnsi="宋体" w:eastAsia="宋体" w:cs="宋体"/>
          <w:color w:val="444444"/>
          <w:sz w:val="27"/>
          <w:szCs w:val="27"/>
          <w:lang w:val="en-US" w:eastAsia="zh-CN"/>
        </w:rPr>
        <w:t>86.36</w:t>
      </w:r>
      <w:r>
        <w:rPr>
          <w:rFonts w:hint="eastAsia" w:ascii="宋体" w:hAnsi="宋体" w:eastAsia="宋体" w:cs="宋体"/>
          <w:color w:val="444444"/>
          <w:sz w:val="27"/>
          <w:szCs w:val="27"/>
        </w:rPr>
        <w:t>%。非流动资产中，其中固定资产净值</w:t>
      </w:r>
      <w:r>
        <w:rPr>
          <w:rFonts w:hint="eastAsia" w:ascii="宋体" w:hAnsi="宋体" w:eastAsia="宋体" w:cs="宋体"/>
          <w:color w:val="444444"/>
          <w:sz w:val="27"/>
          <w:szCs w:val="27"/>
          <w:lang w:val="en-US" w:eastAsia="zh-CN"/>
        </w:rPr>
        <w:t>141.44</w:t>
      </w:r>
      <w:r>
        <w:rPr>
          <w:rFonts w:hint="eastAsia" w:ascii="宋体" w:hAnsi="宋体" w:eastAsia="宋体" w:cs="宋体"/>
          <w:color w:val="444444"/>
          <w:sz w:val="27"/>
          <w:szCs w:val="27"/>
        </w:rPr>
        <w:t>万元，占非流动资产总额的</w:t>
      </w:r>
      <w:r>
        <w:rPr>
          <w:rFonts w:hint="eastAsia" w:ascii="宋体" w:hAnsi="宋体" w:eastAsia="宋体" w:cs="宋体"/>
          <w:color w:val="444444"/>
          <w:sz w:val="27"/>
          <w:szCs w:val="27"/>
          <w:lang w:val="en-US" w:eastAsia="zh-CN"/>
        </w:rPr>
        <w:t>100</w:t>
      </w:r>
      <w:r>
        <w:rPr>
          <w:rFonts w:hint="eastAsia" w:ascii="宋体" w:hAnsi="宋体" w:eastAsia="宋体" w:cs="宋体"/>
          <w:color w:val="444444"/>
          <w:sz w:val="27"/>
          <w:szCs w:val="27"/>
        </w:rPr>
        <w:t>%，包括办公设备、专用设备、通用设备等。为加强国有资产管理，提高资产使用效益，按照《行政单位国有资产管理办法》的指导精神，结合单位实际情况，对固定资产进行登记，财务及时入账，并定期进行账实核对，严格资产审批制度，规范资产处置行为。</w:t>
      </w:r>
    </w:p>
    <w:p>
      <w:pPr>
        <w:shd w:val="clear" w:color="auto" w:fill="FFFFFF"/>
        <w:adjustRightInd/>
        <w:snapToGrid/>
        <w:spacing w:after="0" w:line="480" w:lineRule="atLeast"/>
        <w:ind w:firstLine="542"/>
        <w:rPr>
          <w:rFonts w:ascii="微软雅黑" w:hAnsi="微软雅黑" w:cs="宋体"/>
          <w:color w:val="444444"/>
          <w:sz w:val="24"/>
          <w:szCs w:val="24"/>
        </w:rPr>
      </w:pPr>
      <w:r>
        <w:rPr>
          <w:rFonts w:hint="eastAsia" w:ascii="宋体" w:hAnsi="宋体" w:eastAsia="宋体" w:cs="宋体"/>
          <w:b/>
          <w:bCs/>
          <w:color w:val="444444"/>
          <w:sz w:val="27"/>
          <w:szCs w:val="27"/>
        </w:rPr>
        <w:t>四、绩效评价工作情况</w:t>
      </w:r>
    </w:p>
    <w:p>
      <w:pPr>
        <w:shd w:val="clear" w:color="auto" w:fill="FFFFFF"/>
        <w:adjustRightInd/>
        <w:snapToGrid/>
        <w:spacing w:after="0" w:line="480" w:lineRule="atLeast"/>
        <w:ind w:firstLine="540"/>
        <w:rPr>
          <w:rFonts w:ascii="微软雅黑" w:hAnsi="微软雅黑" w:cs="宋体"/>
          <w:color w:val="444444"/>
          <w:sz w:val="24"/>
          <w:szCs w:val="24"/>
        </w:rPr>
      </w:pPr>
      <w:r>
        <w:rPr>
          <w:rFonts w:hint="eastAsia" w:ascii="宋体" w:hAnsi="宋体" w:eastAsia="宋体" w:cs="宋体"/>
          <w:color w:val="444444"/>
          <w:sz w:val="27"/>
          <w:szCs w:val="27"/>
        </w:rPr>
        <w:t>根据相关文件要求，我局对本单位的预算配置、执行情况、预算管理、职责履行、履职效益等方面的执行情况进行了自评，于9月14日完成自评工作。绩效评价工作主要如下：</w:t>
      </w:r>
    </w:p>
    <w:p>
      <w:pPr>
        <w:shd w:val="clear" w:color="auto" w:fill="FFFFFF"/>
        <w:adjustRightInd/>
        <w:snapToGrid/>
        <w:spacing w:after="0" w:line="480" w:lineRule="atLeast"/>
        <w:ind w:firstLine="540"/>
        <w:rPr>
          <w:rFonts w:ascii="微软雅黑" w:hAnsi="微软雅黑" w:cs="宋体"/>
          <w:color w:val="444444"/>
          <w:sz w:val="24"/>
          <w:szCs w:val="24"/>
        </w:rPr>
      </w:pPr>
      <w:r>
        <w:rPr>
          <w:rFonts w:hint="eastAsia" w:ascii="宋体" w:hAnsi="宋体" w:eastAsia="宋体" w:cs="宋体"/>
          <w:color w:val="444444"/>
          <w:sz w:val="27"/>
          <w:szCs w:val="27"/>
        </w:rPr>
        <w:t>（一）核实数据。对2021年度部门整体支出数据的准确性、真实性进行核实。</w:t>
      </w:r>
    </w:p>
    <w:p>
      <w:pPr>
        <w:shd w:val="clear" w:color="auto" w:fill="FFFFFF"/>
        <w:adjustRightInd/>
        <w:snapToGrid/>
        <w:spacing w:after="0" w:line="480" w:lineRule="atLeast"/>
        <w:ind w:firstLine="540"/>
        <w:rPr>
          <w:rFonts w:ascii="微软雅黑" w:hAnsi="微软雅黑" w:cs="宋体"/>
          <w:color w:val="444444"/>
          <w:sz w:val="24"/>
          <w:szCs w:val="24"/>
        </w:rPr>
      </w:pPr>
      <w:r>
        <w:rPr>
          <w:rFonts w:hint="eastAsia" w:ascii="宋体" w:hAnsi="宋体" w:eastAsia="宋体" w:cs="宋体"/>
          <w:color w:val="444444"/>
          <w:sz w:val="27"/>
          <w:szCs w:val="27"/>
        </w:rPr>
        <w:t>（二）查阅资料。查阅2021年度预算安排、预算追加、资金管理、经费支出、资产管理等相关文件资料和财务凭证。</w:t>
      </w:r>
    </w:p>
    <w:p>
      <w:pPr>
        <w:shd w:val="clear" w:color="auto" w:fill="FFFFFF"/>
        <w:adjustRightInd/>
        <w:snapToGrid/>
        <w:spacing w:after="0" w:line="480" w:lineRule="atLeast"/>
        <w:ind w:firstLine="540"/>
        <w:rPr>
          <w:rFonts w:ascii="微软雅黑" w:hAnsi="微软雅黑" w:cs="宋体"/>
          <w:color w:val="444444"/>
          <w:sz w:val="24"/>
          <w:szCs w:val="24"/>
        </w:rPr>
      </w:pPr>
      <w:r>
        <w:rPr>
          <w:rFonts w:hint="eastAsia" w:ascii="宋体" w:hAnsi="宋体" w:eastAsia="宋体" w:cs="宋体"/>
          <w:color w:val="444444"/>
          <w:sz w:val="27"/>
          <w:szCs w:val="27"/>
        </w:rPr>
        <w:t>（三）归纳汇总。对收集的评价材料结合本单位情况进行综合分析、归纳汇总。</w:t>
      </w:r>
    </w:p>
    <w:p>
      <w:pPr>
        <w:shd w:val="clear" w:color="auto" w:fill="FFFFFF"/>
        <w:adjustRightInd/>
        <w:snapToGrid/>
        <w:spacing w:after="0" w:line="480" w:lineRule="atLeast"/>
        <w:ind w:firstLine="540"/>
        <w:rPr>
          <w:rFonts w:ascii="微软雅黑" w:hAnsi="微软雅黑" w:cs="宋体"/>
          <w:color w:val="444444"/>
          <w:sz w:val="24"/>
          <w:szCs w:val="24"/>
        </w:rPr>
      </w:pPr>
      <w:r>
        <w:rPr>
          <w:rFonts w:hint="eastAsia" w:ascii="宋体" w:hAnsi="宋体" w:eastAsia="宋体" w:cs="宋体"/>
          <w:color w:val="444444"/>
          <w:sz w:val="27"/>
          <w:szCs w:val="27"/>
        </w:rPr>
        <w:t>（四）发放调查问卷。对履行职责情况的公众满意度进行调查。</w:t>
      </w:r>
    </w:p>
    <w:p>
      <w:pPr>
        <w:shd w:val="clear" w:color="auto" w:fill="FFFFFF"/>
        <w:adjustRightInd/>
        <w:snapToGrid/>
        <w:spacing w:after="0" w:line="480" w:lineRule="atLeast"/>
        <w:ind w:firstLine="540"/>
        <w:rPr>
          <w:rFonts w:ascii="微软雅黑" w:hAnsi="微软雅黑" w:cs="宋体"/>
          <w:color w:val="444444"/>
          <w:sz w:val="24"/>
          <w:szCs w:val="24"/>
        </w:rPr>
      </w:pPr>
      <w:r>
        <w:rPr>
          <w:rFonts w:hint="eastAsia" w:ascii="宋体" w:hAnsi="宋体" w:eastAsia="宋体" w:cs="宋体"/>
          <w:color w:val="444444"/>
          <w:sz w:val="27"/>
          <w:szCs w:val="27"/>
        </w:rPr>
        <w:t>（五）根据评价材料结合各项评价指标进行分析评分。</w:t>
      </w:r>
    </w:p>
    <w:p>
      <w:pPr>
        <w:shd w:val="clear" w:color="auto" w:fill="FFFFFF"/>
        <w:adjustRightInd/>
        <w:snapToGrid/>
        <w:spacing w:after="0" w:line="480" w:lineRule="atLeast"/>
        <w:ind w:firstLine="540"/>
        <w:rPr>
          <w:rFonts w:ascii="微软雅黑" w:hAnsi="微软雅黑" w:cs="宋体"/>
          <w:color w:val="444444"/>
          <w:sz w:val="24"/>
          <w:szCs w:val="24"/>
        </w:rPr>
      </w:pPr>
      <w:r>
        <w:rPr>
          <w:rFonts w:hint="eastAsia" w:ascii="宋体" w:hAnsi="宋体" w:eastAsia="宋体" w:cs="宋体"/>
          <w:color w:val="444444"/>
          <w:sz w:val="27"/>
          <w:szCs w:val="27"/>
        </w:rPr>
        <w:t>（六）形成绩效评价自评报告。</w:t>
      </w:r>
    </w:p>
    <w:p>
      <w:pPr>
        <w:shd w:val="clear" w:color="auto" w:fill="FFFFFF"/>
        <w:adjustRightInd/>
        <w:snapToGrid/>
        <w:spacing w:after="0" w:line="480" w:lineRule="atLeast"/>
        <w:ind w:firstLine="542"/>
        <w:rPr>
          <w:rFonts w:ascii="微软雅黑" w:hAnsi="微软雅黑" w:cs="宋体"/>
          <w:color w:val="444444"/>
          <w:sz w:val="24"/>
          <w:szCs w:val="24"/>
        </w:rPr>
      </w:pPr>
      <w:r>
        <w:rPr>
          <w:rFonts w:hint="eastAsia" w:ascii="宋体" w:hAnsi="宋体" w:eastAsia="宋体" w:cs="宋体"/>
          <w:b/>
          <w:bCs/>
          <w:color w:val="444444"/>
          <w:sz w:val="27"/>
          <w:szCs w:val="27"/>
        </w:rPr>
        <w:t>五、综合评价情况及评价结论</w:t>
      </w:r>
    </w:p>
    <w:p>
      <w:pPr>
        <w:shd w:val="clear" w:color="auto" w:fill="FFFFFF"/>
        <w:adjustRightInd/>
        <w:snapToGrid/>
        <w:spacing w:after="0" w:line="480" w:lineRule="atLeast"/>
        <w:ind w:firstLine="540"/>
        <w:rPr>
          <w:rFonts w:ascii="微软雅黑" w:hAnsi="微软雅黑" w:cs="宋体"/>
          <w:color w:val="444444"/>
          <w:sz w:val="24"/>
          <w:szCs w:val="24"/>
        </w:rPr>
      </w:pPr>
      <w:r>
        <w:rPr>
          <w:rFonts w:hint="eastAsia" w:ascii="宋体" w:hAnsi="宋体" w:eastAsia="宋体" w:cs="宋体"/>
          <w:color w:val="444444"/>
          <w:sz w:val="27"/>
          <w:szCs w:val="27"/>
        </w:rPr>
        <w:t>邵阳市城市管理和综合执法局开源节流，将有限的资金产生最大的效益。2021年日常财务管理工作实行统一核算，统一账户，统一管理。“三公经费”预算数为</w:t>
      </w:r>
      <w:r>
        <w:rPr>
          <w:rFonts w:hint="eastAsia" w:ascii="宋体" w:hAnsi="宋体" w:eastAsia="宋体" w:cs="宋体"/>
          <w:color w:val="444444"/>
          <w:sz w:val="27"/>
          <w:szCs w:val="27"/>
          <w:lang w:val="en-US" w:eastAsia="zh-CN"/>
        </w:rPr>
        <w:t>51.9</w:t>
      </w:r>
      <w:r>
        <w:rPr>
          <w:rFonts w:hint="eastAsia" w:ascii="宋体" w:hAnsi="宋体" w:eastAsia="宋体" w:cs="宋体"/>
          <w:color w:val="444444"/>
          <w:sz w:val="27"/>
          <w:szCs w:val="27"/>
        </w:rPr>
        <w:t>万元，实际支出数为</w:t>
      </w:r>
      <w:r>
        <w:rPr>
          <w:rFonts w:hint="eastAsia" w:ascii="宋体" w:hAnsi="宋体" w:eastAsia="宋体" w:cs="宋体"/>
          <w:color w:val="444444"/>
          <w:sz w:val="27"/>
          <w:szCs w:val="27"/>
          <w:lang w:val="en-US" w:eastAsia="zh-CN"/>
        </w:rPr>
        <w:t>45.06</w:t>
      </w:r>
      <w:r>
        <w:rPr>
          <w:rFonts w:hint="eastAsia" w:ascii="宋体" w:hAnsi="宋体" w:eastAsia="宋体" w:cs="宋体"/>
          <w:color w:val="444444"/>
          <w:sz w:val="27"/>
          <w:szCs w:val="27"/>
        </w:rPr>
        <w:t>万元，支出2021年比2020年有所下降，主要原因是单位将全面落实厉行节约的相关政策和措施，严格执行预算，继续严控经费开支。政府采购方面，严格执行《邵阳市政府采购目录及政府采购限额标准和公开招标数额标准》的规定，严格申报，严格按照采购标准进行采购，提高财政资金的使用效率。采购过程中严格执行《政府采购法》。制定了资产管理制度，对报废资产严格按照处置程序审批和核销。整体支出符合国家财政法规和财务管理制度规定。资金拨付有完整的审批程序，支出严格按部门预算批复的用途执行，资金使用无截留、挤占、挪用、虚列支出、随意借用、大额现金支付等情况。按规定内容、时限公开了预决算信息。开展了2021年度部门整体支出绩效自评，并在规定时间内上报自评报告材料。根据绩效评价规定内容，单位自评为97分，评价结果为优秀。（详见附件1）</w:t>
      </w:r>
    </w:p>
    <w:p>
      <w:pPr>
        <w:shd w:val="clear" w:color="auto" w:fill="FFFFFF"/>
        <w:adjustRightInd/>
        <w:snapToGrid/>
        <w:spacing w:after="0" w:line="480" w:lineRule="atLeast"/>
        <w:ind w:firstLine="542"/>
        <w:rPr>
          <w:rFonts w:ascii="微软雅黑" w:hAnsi="微软雅黑" w:cs="宋体"/>
          <w:color w:val="444444"/>
          <w:sz w:val="24"/>
          <w:szCs w:val="24"/>
        </w:rPr>
      </w:pPr>
      <w:r>
        <w:rPr>
          <w:rFonts w:hint="eastAsia" w:ascii="宋体" w:hAnsi="宋体" w:eastAsia="宋体" w:cs="宋体"/>
          <w:b/>
          <w:bCs/>
          <w:color w:val="444444"/>
          <w:sz w:val="27"/>
          <w:szCs w:val="27"/>
        </w:rPr>
        <w:t>六、部门整体支出主要绩效</w:t>
      </w:r>
      <w:r>
        <w:rPr>
          <w:rFonts w:hint="eastAsia" w:ascii="宋体" w:hAnsi="宋体" w:eastAsia="宋体" w:cs="宋体"/>
          <w:color w:val="444444"/>
          <w:sz w:val="27"/>
          <w:szCs w:val="27"/>
        </w:rPr>
        <w:t xml:space="preserve">  </w:t>
      </w:r>
    </w:p>
    <w:p>
      <w:pPr>
        <w:shd w:val="clear" w:color="auto" w:fill="FFFFFF"/>
        <w:adjustRightInd/>
        <w:snapToGrid/>
        <w:spacing w:after="0" w:line="480" w:lineRule="atLeast"/>
        <w:ind w:firstLine="540"/>
        <w:rPr>
          <w:rFonts w:ascii="微软雅黑" w:hAnsi="微软雅黑" w:cs="宋体"/>
          <w:color w:val="444444"/>
          <w:sz w:val="24"/>
          <w:szCs w:val="24"/>
        </w:rPr>
      </w:pPr>
      <w:r>
        <w:rPr>
          <w:rFonts w:hint="eastAsia" w:ascii="宋体" w:hAnsi="宋体" w:eastAsia="宋体" w:cs="宋体"/>
          <w:color w:val="444444"/>
          <w:sz w:val="27"/>
          <w:szCs w:val="27"/>
        </w:rPr>
        <w:t>1.提高环卫保洁水平。每天出动环卫工人约359人次，实行机冲、机洗、机扫、人洗、人抹联合化和精细化作业，实现全天候保洁，彻底清洗卫生死角。建立撤桶机制，共撤掉主干道，西湖北路、魏源路、资江北路、北塔大道、龙山路垃圾桶160个、垃圾板车20辆、撤除钩臂箱15个。实现了城市美观的同时做到了垃圾日产日清。。</w:t>
      </w:r>
    </w:p>
    <w:p>
      <w:pPr>
        <w:shd w:val="clear" w:color="auto" w:fill="FFFFFF"/>
        <w:adjustRightInd/>
        <w:snapToGrid/>
        <w:spacing w:after="0" w:line="480" w:lineRule="atLeast"/>
        <w:ind w:firstLine="540"/>
        <w:rPr>
          <w:rFonts w:ascii="微软雅黑" w:hAnsi="微软雅黑" w:cs="宋体"/>
          <w:color w:val="444444"/>
          <w:sz w:val="24"/>
          <w:szCs w:val="24"/>
        </w:rPr>
      </w:pPr>
      <w:r>
        <w:rPr>
          <w:rFonts w:hint="eastAsia" w:ascii="宋体" w:hAnsi="宋体" w:eastAsia="宋体" w:cs="宋体"/>
          <w:color w:val="444444"/>
          <w:sz w:val="27"/>
          <w:szCs w:val="27"/>
        </w:rPr>
        <w:t>2.优化智慧数字化管理。数字化城管指挥中心数控平台2021年1-10月共接到58016条案件，微信平台接到案件23649条，结案率达到100%。12345服务热线接到投诉举报407件，处理回复407件，重办34件，回复当事人392件，群众满意384件，有23件属于恶意投诉已向政务中心说明。依托志愿城管综合执法岗亭为市民开展便民服务活动680起、好人好事28起、接待回访市民投诉60起、开展学雷锋活动6起，提升了城市的幸福指数。</w:t>
      </w:r>
    </w:p>
    <w:p>
      <w:pPr>
        <w:shd w:val="clear" w:color="auto" w:fill="FFFFFF"/>
        <w:adjustRightInd/>
        <w:snapToGrid/>
        <w:spacing w:after="0" w:line="480" w:lineRule="atLeast"/>
        <w:ind w:firstLine="540"/>
        <w:rPr>
          <w:rFonts w:hint="eastAsia" w:ascii="宋体" w:hAnsi="宋体" w:eastAsia="宋体" w:cs="宋体"/>
          <w:color w:val="444444"/>
          <w:sz w:val="27"/>
          <w:szCs w:val="27"/>
        </w:rPr>
      </w:pPr>
      <w:r>
        <w:rPr>
          <w:rFonts w:hint="eastAsia" w:ascii="宋体" w:hAnsi="宋体" w:eastAsia="宋体" w:cs="宋体"/>
          <w:color w:val="444444"/>
          <w:sz w:val="27"/>
          <w:szCs w:val="27"/>
        </w:rPr>
        <w:t>3.推进生活垃圾分类。我区田江街道代表市城区圆满完成了省评估组对生活垃圾分类示范片区的评估检查，得到了高度好评。现已设置垃圾分类收集运输车2辆、转运车1辆，新建厨余垃圾中转站1座、分类垃圾屋1座、分类垃圾收集亭45个、环保小屋2个、大件垃圾、有害垃圾、可回收垃圾暂存点2个；在居民院落、新老320设置垃圾四分类收集点30个，背街小巷新置换240升二分类垃圾桶400余个，贴标其他和厨余收垃圾两分类收集桶100个；现已覆盖16个小区、5所学校、无物业居民院落2个、2个卫生院、1个企业和全区所有机关院落，前端分类投放和中端分类运输目前已正常运行。</w:t>
      </w:r>
    </w:p>
    <w:p>
      <w:pPr>
        <w:shd w:val="clear" w:color="auto" w:fill="FFFFFF"/>
        <w:adjustRightInd/>
        <w:snapToGrid/>
        <w:spacing w:after="0" w:line="480" w:lineRule="atLeast"/>
        <w:ind w:firstLine="542"/>
        <w:rPr>
          <w:rFonts w:ascii="微软雅黑" w:hAnsi="微软雅黑" w:cs="宋体"/>
          <w:color w:val="444444"/>
          <w:sz w:val="24"/>
          <w:szCs w:val="24"/>
        </w:rPr>
      </w:pPr>
      <w:r>
        <w:rPr>
          <w:rFonts w:hint="eastAsia" w:ascii="宋体" w:hAnsi="宋体" w:eastAsia="宋体" w:cs="宋体"/>
          <w:b/>
          <w:bCs/>
          <w:color w:val="444444"/>
          <w:sz w:val="27"/>
          <w:szCs w:val="27"/>
        </w:rPr>
        <w:t>七、存在的问题</w:t>
      </w:r>
    </w:p>
    <w:p>
      <w:pPr>
        <w:shd w:val="clear" w:color="auto" w:fill="FFFFFF"/>
        <w:adjustRightInd/>
        <w:snapToGrid/>
        <w:spacing w:after="0" w:line="480" w:lineRule="atLeast"/>
        <w:ind w:firstLine="540"/>
        <w:rPr>
          <w:rFonts w:ascii="微软雅黑" w:hAnsi="微软雅黑" w:cs="宋体"/>
          <w:color w:val="444444"/>
          <w:sz w:val="24"/>
          <w:szCs w:val="24"/>
        </w:rPr>
      </w:pPr>
      <w:r>
        <w:rPr>
          <w:rFonts w:hint="eastAsia" w:ascii="微软雅黑" w:hAnsi="微软雅黑" w:cs="宋体"/>
          <w:color w:val="444444"/>
          <w:sz w:val="24"/>
          <w:szCs w:val="24"/>
        </w:rPr>
        <w:t>一是</w:t>
      </w:r>
      <w:r>
        <w:rPr>
          <w:rFonts w:hint="eastAsia" w:ascii="宋体" w:hAnsi="宋体" w:eastAsia="宋体" w:cs="宋体"/>
          <w:color w:val="444444"/>
          <w:sz w:val="27"/>
          <w:szCs w:val="27"/>
        </w:rPr>
        <w:t>资产管理效率有待高。第二是单位往来账款的管理有待加强。</w:t>
      </w:r>
    </w:p>
    <w:p>
      <w:pPr>
        <w:shd w:val="clear" w:color="auto" w:fill="FFFFFF"/>
        <w:adjustRightInd/>
        <w:snapToGrid/>
        <w:spacing w:after="0" w:line="480" w:lineRule="atLeast"/>
        <w:ind w:firstLine="542"/>
        <w:rPr>
          <w:rFonts w:ascii="微软雅黑" w:hAnsi="微软雅黑" w:cs="宋体"/>
          <w:color w:val="444444"/>
          <w:sz w:val="24"/>
          <w:szCs w:val="24"/>
        </w:rPr>
      </w:pPr>
      <w:r>
        <w:rPr>
          <w:rFonts w:hint="eastAsia" w:ascii="宋体" w:hAnsi="宋体" w:eastAsia="宋体" w:cs="宋体"/>
          <w:b/>
          <w:bCs/>
          <w:color w:val="444444"/>
          <w:sz w:val="27"/>
          <w:szCs w:val="27"/>
        </w:rPr>
        <w:t>八、改进措施和有关建议</w:t>
      </w:r>
    </w:p>
    <w:p>
      <w:pPr>
        <w:shd w:val="clear" w:color="auto" w:fill="FFFFFF"/>
        <w:adjustRightInd/>
        <w:snapToGrid/>
        <w:spacing w:after="0" w:line="480" w:lineRule="atLeast"/>
        <w:ind w:firstLine="540"/>
        <w:rPr>
          <w:rFonts w:hint="eastAsia" w:ascii="宋体" w:hAnsi="宋体" w:eastAsia="宋体" w:cs="宋体"/>
          <w:color w:val="444444"/>
          <w:sz w:val="27"/>
          <w:szCs w:val="27"/>
        </w:rPr>
      </w:pPr>
      <w:r>
        <w:rPr>
          <w:rFonts w:hint="eastAsia" w:ascii="宋体" w:hAnsi="宋体" w:eastAsia="宋体" w:cs="宋体"/>
          <w:color w:val="444444"/>
          <w:sz w:val="27"/>
          <w:szCs w:val="27"/>
        </w:rPr>
        <w:t>一是加强对资产管理人员技能培训，充分提高资产管理效率。</w:t>
      </w:r>
    </w:p>
    <w:p>
      <w:pPr>
        <w:shd w:val="clear" w:color="auto" w:fill="FFFFFF"/>
        <w:adjustRightInd/>
        <w:snapToGrid/>
        <w:spacing w:after="0" w:line="480" w:lineRule="atLeast"/>
        <w:ind w:firstLine="540"/>
        <w:rPr>
          <w:rFonts w:ascii="宋体" w:hAnsi="宋体" w:eastAsia="宋体" w:cs="宋体"/>
          <w:color w:val="444444"/>
          <w:sz w:val="27"/>
          <w:szCs w:val="27"/>
        </w:rPr>
      </w:pPr>
      <w:r>
        <w:rPr>
          <w:rFonts w:hint="eastAsia" w:ascii="宋体" w:hAnsi="宋体" w:eastAsia="宋体" w:cs="宋体"/>
          <w:color w:val="444444"/>
          <w:sz w:val="27"/>
          <w:szCs w:val="27"/>
        </w:rPr>
        <w:t>二是加大资产监管力度，完善资产管理制度，定期对资产进行清查。</w:t>
      </w:r>
    </w:p>
    <w:p>
      <w:pPr>
        <w:shd w:val="clear" w:color="auto" w:fill="FFFFFF"/>
        <w:adjustRightInd/>
        <w:snapToGrid/>
        <w:spacing w:after="0" w:line="480" w:lineRule="atLeast"/>
        <w:ind w:firstLine="540"/>
        <w:rPr>
          <w:rFonts w:ascii="宋体" w:hAnsi="宋体" w:eastAsia="宋体" w:cs="宋体"/>
          <w:color w:val="444444"/>
          <w:sz w:val="27"/>
          <w:szCs w:val="27"/>
        </w:rPr>
      </w:pPr>
      <w:r>
        <w:rPr>
          <w:rFonts w:hint="eastAsia" w:ascii="宋体" w:hAnsi="宋体" w:eastAsia="宋体" w:cs="宋体"/>
          <w:color w:val="444444"/>
          <w:sz w:val="27"/>
          <w:szCs w:val="27"/>
          <w:lang w:val="en-US" w:eastAsia="zh-CN"/>
        </w:rPr>
        <w:t>三是</w:t>
      </w:r>
      <w:r>
        <w:rPr>
          <w:rFonts w:hint="eastAsia" w:ascii="宋体" w:hAnsi="宋体" w:eastAsia="宋体" w:cs="宋体"/>
          <w:color w:val="444444"/>
          <w:sz w:val="27"/>
          <w:szCs w:val="27"/>
        </w:rPr>
        <w:t>应加强单位往来账款的核算及管理。财务应做到记账清楚、余额准确、账表相符，每月列出往来款项清单，并及时提供给有关部门组织清收或及时报账清算。</w:t>
      </w:r>
    </w:p>
    <w:p>
      <w:pPr>
        <w:spacing w:line="220" w:lineRule="atLeast"/>
      </w:pPr>
    </w:p>
    <w:p>
      <w:pPr>
        <w:spacing w:line="600" w:lineRule="exact"/>
        <w:rPr>
          <w:rFonts w:ascii="宋体" w:hAnsi="宋体" w:cs="宋体"/>
          <w:sz w:val="32"/>
          <w:szCs w:val="32"/>
        </w:rPr>
      </w:pPr>
      <w:bookmarkStart w:id="0" w:name="RANGE!A1:H22"/>
      <w:r>
        <w:rPr>
          <w:rFonts w:hint="eastAsia" w:ascii="黑体" w:hAnsi="宋体" w:eastAsia="黑体" w:cs="宋体"/>
          <w:sz w:val="32"/>
          <w:szCs w:val="32"/>
        </w:rPr>
        <w:t>附件</w:t>
      </w:r>
      <w:bookmarkEnd w:id="0"/>
      <w:r>
        <w:rPr>
          <w:rFonts w:hint="eastAsia" w:ascii="黑体" w:hAnsi="宋体" w:eastAsia="黑体" w:cs="宋体"/>
          <w:sz w:val="32"/>
          <w:szCs w:val="32"/>
        </w:rPr>
        <w:t>1</w:t>
      </w:r>
      <w:r>
        <w:rPr>
          <w:rFonts w:ascii="黑体" w:hAnsi="宋体" w:eastAsia="黑体" w:cs="宋体"/>
          <w:sz w:val="32"/>
          <w:szCs w:val="32"/>
        </w:rPr>
        <w:tab/>
      </w:r>
      <w:r>
        <w:rPr>
          <w:rFonts w:ascii="宋体" w:hAnsi="宋体" w:cs="宋体"/>
          <w:sz w:val="32"/>
          <w:szCs w:val="32"/>
        </w:rPr>
        <w:tab/>
      </w:r>
      <w:r>
        <w:rPr>
          <w:rFonts w:ascii="宋体" w:hAnsi="宋体" w:cs="宋体"/>
          <w:sz w:val="32"/>
          <w:szCs w:val="32"/>
        </w:rPr>
        <w:tab/>
      </w:r>
      <w:r>
        <w:rPr>
          <w:rFonts w:ascii="宋体" w:hAnsi="宋体" w:cs="宋体"/>
          <w:sz w:val="32"/>
          <w:szCs w:val="32"/>
        </w:rPr>
        <w:tab/>
      </w:r>
      <w:r>
        <w:rPr>
          <w:rFonts w:ascii="宋体" w:hAnsi="宋体" w:cs="宋体"/>
          <w:sz w:val="32"/>
          <w:szCs w:val="32"/>
        </w:rPr>
        <w:tab/>
      </w:r>
      <w:r>
        <w:rPr>
          <w:rFonts w:ascii="宋体" w:hAnsi="宋体" w:cs="宋体"/>
          <w:sz w:val="32"/>
          <w:szCs w:val="32"/>
        </w:rPr>
        <w:tab/>
      </w:r>
      <w:r>
        <w:rPr>
          <w:rFonts w:ascii="宋体" w:hAnsi="宋体" w:cs="宋体"/>
          <w:sz w:val="32"/>
          <w:szCs w:val="32"/>
        </w:rPr>
        <w:tab/>
      </w:r>
    </w:p>
    <w:p>
      <w:pPr>
        <w:ind w:left="93"/>
        <w:jc w:val="center"/>
        <w:rPr>
          <w:rFonts w:ascii="宋体" w:hAnsi="宋体" w:cs="宋体"/>
          <w:bCs/>
          <w:sz w:val="32"/>
          <w:szCs w:val="32"/>
        </w:rPr>
      </w:pPr>
      <w:r>
        <w:rPr>
          <w:rFonts w:hint="eastAsia" w:ascii="宋体" w:hAnsi="宋体" w:cs="宋体"/>
          <w:bCs/>
          <w:sz w:val="32"/>
          <w:szCs w:val="32"/>
        </w:rPr>
        <w:t>部门整体支出绩效评价指标评分表</w:t>
      </w:r>
    </w:p>
    <w:tbl>
      <w:tblPr>
        <w:tblStyle w:val="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rPr>
                <w:rFonts w:ascii="宋体" w:hAnsi="宋体" w:cs="宋体"/>
                <w:b/>
                <w:bCs/>
                <w:sz w:val="20"/>
                <w:szCs w:val="20"/>
              </w:rPr>
            </w:pPr>
            <w:r>
              <w:rPr>
                <w:rFonts w:hint="eastAsia" w:ascii="宋体" w:hAnsi="宋体" w:cs="宋体"/>
                <w:b/>
                <w:bCs/>
                <w:sz w:val="20"/>
                <w:szCs w:val="20"/>
              </w:rPr>
              <w:t>一级指标</w:t>
            </w:r>
          </w:p>
        </w:tc>
        <w:tc>
          <w:tcPr>
            <w:tcW w:w="429" w:type="dxa"/>
            <w:vAlign w:val="center"/>
          </w:tcPr>
          <w:p>
            <w:pPr>
              <w:jc w:val="center"/>
              <w:rPr>
                <w:rFonts w:ascii="宋体" w:hAnsi="宋体" w:cs="宋体"/>
                <w:b/>
                <w:bCs/>
                <w:sz w:val="20"/>
                <w:szCs w:val="20"/>
              </w:rPr>
            </w:pPr>
            <w:r>
              <w:rPr>
                <w:rFonts w:hint="eastAsia" w:ascii="宋体" w:hAnsi="宋体" w:cs="宋体"/>
                <w:b/>
                <w:bCs/>
                <w:sz w:val="20"/>
                <w:szCs w:val="20"/>
              </w:rPr>
              <w:t>二级指标</w:t>
            </w:r>
          </w:p>
        </w:tc>
        <w:tc>
          <w:tcPr>
            <w:tcW w:w="567" w:type="dxa"/>
            <w:vAlign w:val="center"/>
          </w:tcPr>
          <w:p>
            <w:pPr>
              <w:jc w:val="center"/>
              <w:rPr>
                <w:rFonts w:ascii="宋体" w:hAnsi="宋体" w:cs="宋体"/>
                <w:b/>
                <w:bCs/>
                <w:sz w:val="20"/>
                <w:szCs w:val="20"/>
              </w:rPr>
            </w:pPr>
            <w:r>
              <w:rPr>
                <w:rFonts w:hint="eastAsia" w:ascii="宋体" w:hAnsi="宋体" w:cs="宋体"/>
                <w:b/>
                <w:bCs/>
                <w:sz w:val="20"/>
                <w:szCs w:val="20"/>
              </w:rPr>
              <w:t>分值</w:t>
            </w:r>
          </w:p>
        </w:tc>
        <w:tc>
          <w:tcPr>
            <w:tcW w:w="851" w:type="dxa"/>
            <w:vAlign w:val="center"/>
          </w:tcPr>
          <w:p>
            <w:pPr>
              <w:jc w:val="center"/>
              <w:rPr>
                <w:rFonts w:ascii="宋体" w:hAnsi="宋体" w:cs="宋体"/>
                <w:b/>
                <w:bCs/>
                <w:sz w:val="20"/>
                <w:szCs w:val="20"/>
              </w:rPr>
            </w:pPr>
            <w:r>
              <w:rPr>
                <w:rFonts w:hint="eastAsia" w:ascii="宋体" w:hAnsi="宋体" w:cs="宋体"/>
                <w:b/>
                <w:bCs/>
                <w:sz w:val="20"/>
                <w:szCs w:val="20"/>
              </w:rPr>
              <w:t>三级   指标</w:t>
            </w:r>
          </w:p>
        </w:tc>
        <w:tc>
          <w:tcPr>
            <w:tcW w:w="567" w:type="dxa"/>
            <w:vAlign w:val="center"/>
          </w:tcPr>
          <w:p>
            <w:pPr>
              <w:jc w:val="center"/>
              <w:rPr>
                <w:rFonts w:ascii="宋体" w:hAnsi="宋体" w:cs="宋体"/>
                <w:b/>
                <w:bCs/>
                <w:sz w:val="20"/>
                <w:szCs w:val="20"/>
              </w:rPr>
            </w:pPr>
            <w:r>
              <w:rPr>
                <w:rFonts w:hint="eastAsia" w:ascii="宋体" w:hAnsi="宋体" w:cs="宋体"/>
                <w:b/>
                <w:bCs/>
                <w:sz w:val="20"/>
                <w:szCs w:val="20"/>
              </w:rPr>
              <w:t>分值</w:t>
            </w:r>
          </w:p>
        </w:tc>
        <w:tc>
          <w:tcPr>
            <w:tcW w:w="3118" w:type="dxa"/>
            <w:vAlign w:val="center"/>
          </w:tcPr>
          <w:p>
            <w:pPr>
              <w:jc w:val="center"/>
              <w:rPr>
                <w:rFonts w:ascii="宋体" w:hAnsi="宋体" w:cs="宋体"/>
                <w:b/>
                <w:bCs/>
                <w:sz w:val="20"/>
                <w:szCs w:val="20"/>
              </w:rPr>
            </w:pPr>
            <w:r>
              <w:rPr>
                <w:rFonts w:hint="eastAsia" w:ascii="宋体" w:hAnsi="宋体" w:cs="宋体"/>
                <w:b/>
                <w:bCs/>
                <w:sz w:val="20"/>
                <w:szCs w:val="20"/>
              </w:rPr>
              <w:t>评价标准</w:t>
            </w:r>
          </w:p>
        </w:tc>
        <w:tc>
          <w:tcPr>
            <w:tcW w:w="3472" w:type="dxa"/>
            <w:vAlign w:val="center"/>
          </w:tcPr>
          <w:p>
            <w:pPr>
              <w:jc w:val="center"/>
              <w:rPr>
                <w:rFonts w:ascii="宋体" w:hAnsi="宋体" w:cs="宋体"/>
                <w:b/>
                <w:bCs/>
                <w:sz w:val="20"/>
                <w:szCs w:val="20"/>
              </w:rPr>
            </w:pPr>
            <w:r>
              <w:rPr>
                <w:rFonts w:hint="eastAsia" w:ascii="宋体" w:hAnsi="宋体" w:cs="宋体"/>
                <w:b/>
                <w:bCs/>
                <w:sz w:val="20"/>
                <w:szCs w:val="20"/>
              </w:rPr>
              <w:t>备注</w:t>
            </w:r>
          </w:p>
        </w:tc>
        <w:tc>
          <w:tcPr>
            <w:tcW w:w="617" w:type="dxa"/>
            <w:vAlign w:val="center"/>
          </w:tcPr>
          <w:p>
            <w:pPr>
              <w:jc w:val="center"/>
              <w:rPr>
                <w:rFonts w:ascii="宋体" w:hAnsi="宋体" w:cs="宋体"/>
                <w:b/>
                <w:bCs/>
                <w:sz w:val="20"/>
                <w:szCs w:val="20"/>
              </w:rPr>
            </w:pPr>
            <w:r>
              <w:rPr>
                <w:rFonts w:hint="eastAsia" w:ascii="宋体" w:hAnsi="宋体" w:cs="宋体"/>
                <w:b/>
                <w:bCs/>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tcPr>
          <w:p>
            <w:pPr>
              <w:jc w:val="center"/>
              <w:rPr>
                <w:rFonts w:ascii="仿宋_GB2312" w:hAnsi="宋体" w:eastAsia="仿宋_GB2312" w:cs="宋体"/>
                <w:sz w:val="20"/>
                <w:szCs w:val="20"/>
              </w:rPr>
            </w:pPr>
            <w:r>
              <w:rPr>
                <w:rFonts w:hint="eastAsia" w:ascii="仿宋_GB2312" w:hAnsi="宋体" w:eastAsia="仿宋_GB2312" w:cs="宋体"/>
                <w:sz w:val="20"/>
                <w:szCs w:val="20"/>
              </w:rPr>
              <w:t>投    入</w:t>
            </w:r>
          </w:p>
        </w:tc>
        <w:tc>
          <w:tcPr>
            <w:tcW w:w="429" w:type="dxa"/>
            <w:vMerge w:val="restart"/>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预算配置</w:t>
            </w:r>
          </w:p>
        </w:tc>
        <w:tc>
          <w:tcPr>
            <w:tcW w:w="567" w:type="dxa"/>
            <w:vMerge w:val="restart"/>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18</w:t>
            </w:r>
          </w:p>
        </w:tc>
        <w:tc>
          <w:tcPr>
            <w:tcW w:w="851"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“三公经费”</w:t>
            </w:r>
          </w:p>
          <w:p>
            <w:pPr>
              <w:jc w:val="center"/>
              <w:rPr>
                <w:rFonts w:ascii="仿宋_GB2312" w:hAnsi="宋体" w:eastAsia="仿宋_GB2312" w:cs="宋体"/>
                <w:sz w:val="20"/>
                <w:szCs w:val="20"/>
              </w:rPr>
            </w:pPr>
            <w:r>
              <w:rPr>
                <w:rFonts w:hint="eastAsia" w:ascii="仿宋_GB2312" w:hAnsi="宋体" w:eastAsia="仿宋_GB2312" w:cs="宋体"/>
                <w:sz w:val="20"/>
                <w:szCs w:val="20"/>
              </w:rPr>
              <w:t>变动率</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3</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“三公经费”变动率</w:t>
            </w:r>
            <w:r>
              <w:rPr>
                <w:rFonts w:hint="eastAsia" w:ascii="仿宋_GB2312" w:hAnsi="Arial" w:eastAsia="仿宋_GB2312" w:cs="Arial"/>
                <w:sz w:val="20"/>
                <w:szCs w:val="20"/>
              </w:rPr>
              <w:t>≤</w:t>
            </w:r>
            <w:r>
              <w:rPr>
                <w:rFonts w:hint="eastAsia" w:ascii="仿宋_GB2312" w:hAnsi="宋体" w:eastAsia="仿宋_GB2312" w:cs="宋体"/>
                <w:sz w:val="20"/>
                <w:szCs w:val="20"/>
              </w:rPr>
              <w:t>0,计3分；“三公经费”＞0，每超过一个百分点扣0.3分，扣完为止。</w:t>
            </w:r>
          </w:p>
        </w:tc>
        <w:tc>
          <w:tcPr>
            <w:tcW w:w="3472"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“三公经费”变动率=[（本年度“三公经费”总额-上年度“三公经费”总额）/上年度“三公经费”总额]×100%。</w:t>
            </w:r>
          </w:p>
          <w:p>
            <w:pPr>
              <w:jc w:val="center"/>
              <w:rPr>
                <w:rFonts w:ascii="仿宋_GB2312" w:hAnsi="宋体" w:eastAsia="仿宋_GB2312" w:cs="宋体"/>
                <w:sz w:val="20"/>
                <w:szCs w:val="20"/>
              </w:rPr>
            </w:pPr>
            <w:r>
              <w:rPr>
                <w:rFonts w:hint="eastAsia" w:ascii="仿宋_GB2312" w:hAnsi="宋体" w:eastAsia="仿宋_GB2312" w:cs="宋体"/>
                <w:sz w:val="20"/>
                <w:szCs w:val="20"/>
              </w:rPr>
              <w:t>“三公经费”：指政府部门人员因公出国（境）经费、公务车购置及运行费、公务招待费产生的消费。</w:t>
            </w:r>
          </w:p>
        </w:tc>
        <w:tc>
          <w:tcPr>
            <w:tcW w:w="617" w:type="dxa"/>
            <w:vAlign w:val="center"/>
          </w:tcPr>
          <w:p>
            <w:pPr>
              <w:jc w:val="center"/>
              <w:rPr>
                <w:rFonts w:ascii="宋体" w:hAnsi="宋体" w:eastAsia="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tcPr>
          <w:p>
            <w:pPr>
              <w:rPr>
                <w:rFonts w:ascii="仿宋_GB2312" w:hAnsi="宋体" w:eastAsia="仿宋_GB2312" w:cs="宋体"/>
                <w:sz w:val="20"/>
                <w:szCs w:val="20"/>
              </w:rPr>
            </w:pPr>
          </w:p>
        </w:tc>
        <w:tc>
          <w:tcPr>
            <w:tcW w:w="429" w:type="dxa"/>
            <w:vMerge w:val="continue"/>
          </w:tcPr>
          <w:p>
            <w:pPr>
              <w:rPr>
                <w:rFonts w:ascii="仿宋_GB2312" w:hAnsi="宋体" w:eastAsia="仿宋_GB2312" w:cs="宋体"/>
                <w:sz w:val="20"/>
                <w:szCs w:val="20"/>
              </w:rPr>
            </w:pPr>
          </w:p>
        </w:tc>
        <w:tc>
          <w:tcPr>
            <w:tcW w:w="567" w:type="dxa"/>
            <w:vMerge w:val="continue"/>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“三公经费”   管理</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3</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①招待费用明确招待标准和招待人数,1分;②车辆维护、燃油使用政府定点，1分。③</w:t>
            </w:r>
            <w:r>
              <w:rPr>
                <w:rFonts w:hint="eastAsia" w:ascii="仿宋_GB2312" w:hAnsi="仿宋" w:eastAsia="仿宋_GB2312" w:cs="仿宋"/>
                <w:sz w:val="20"/>
                <w:szCs w:val="20"/>
              </w:rPr>
              <w:t>制定“三公经费”管理办法，1分，每少一项扣1分，扣完为止。</w:t>
            </w:r>
          </w:p>
        </w:tc>
        <w:tc>
          <w:tcPr>
            <w:tcW w:w="3472" w:type="dxa"/>
            <w:vAlign w:val="center"/>
          </w:tcPr>
          <w:p>
            <w:pPr>
              <w:jc w:val="center"/>
              <w:rPr>
                <w:rFonts w:ascii="仿宋_GB2312" w:hAnsi="宋体" w:eastAsia="仿宋_GB2312" w:cs="宋体"/>
                <w:sz w:val="20"/>
                <w:szCs w:val="20"/>
              </w:rPr>
            </w:pPr>
          </w:p>
        </w:tc>
        <w:tc>
          <w:tcPr>
            <w:tcW w:w="617" w:type="dxa"/>
            <w:vAlign w:val="center"/>
          </w:tcPr>
          <w:p>
            <w:pPr>
              <w:jc w:val="center"/>
              <w:rPr>
                <w:rFonts w:ascii="宋体" w:hAnsi="宋体" w:eastAsia="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tcPr>
          <w:p>
            <w:pPr>
              <w:rPr>
                <w:rFonts w:ascii="仿宋_GB2312" w:hAnsi="宋体" w:eastAsia="仿宋_GB2312" w:cs="宋体"/>
                <w:sz w:val="20"/>
                <w:szCs w:val="20"/>
              </w:rPr>
            </w:pPr>
          </w:p>
        </w:tc>
        <w:tc>
          <w:tcPr>
            <w:tcW w:w="429" w:type="dxa"/>
            <w:vMerge w:val="continue"/>
          </w:tcPr>
          <w:p>
            <w:pPr>
              <w:rPr>
                <w:rFonts w:ascii="仿宋_GB2312" w:hAnsi="宋体" w:eastAsia="仿宋_GB2312" w:cs="宋体"/>
                <w:sz w:val="20"/>
                <w:szCs w:val="20"/>
              </w:rPr>
            </w:pPr>
          </w:p>
        </w:tc>
        <w:tc>
          <w:tcPr>
            <w:tcW w:w="567" w:type="dxa"/>
            <w:vMerge w:val="continue"/>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公务</w:t>
            </w:r>
          </w:p>
          <w:p>
            <w:pPr>
              <w:jc w:val="center"/>
              <w:rPr>
                <w:rFonts w:ascii="仿宋_GB2312" w:hAnsi="宋体" w:eastAsia="仿宋_GB2312" w:cs="宋体"/>
                <w:sz w:val="20"/>
                <w:szCs w:val="20"/>
              </w:rPr>
            </w:pPr>
            <w:r>
              <w:rPr>
                <w:rFonts w:hint="eastAsia" w:ascii="仿宋_GB2312" w:hAnsi="宋体" w:eastAsia="仿宋_GB2312" w:cs="宋体"/>
                <w:sz w:val="20"/>
                <w:szCs w:val="20"/>
              </w:rPr>
              <w:t>招待费变动率</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“公务招待费”变动率</w:t>
            </w:r>
            <w:r>
              <w:rPr>
                <w:rFonts w:hint="eastAsia" w:ascii="仿宋_GB2312" w:hAnsi="Arial" w:eastAsia="仿宋_GB2312" w:cs="Arial"/>
                <w:sz w:val="20"/>
                <w:szCs w:val="20"/>
              </w:rPr>
              <w:t>≤</w:t>
            </w:r>
            <w:r>
              <w:rPr>
                <w:rFonts w:hint="eastAsia" w:ascii="仿宋_GB2312" w:hAnsi="宋体" w:eastAsia="仿宋_GB2312" w:cs="宋体"/>
                <w:sz w:val="20"/>
                <w:szCs w:val="20"/>
              </w:rPr>
              <w:t>0,计2分；“公务招待费变动率”＞0，每超过一个百分点扣0.2分，扣完为止。</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公务招待费变动率=[（本年度“公务招待费”总额-上年度“公务招待费”总额）/上年度“公务招待费”总额]×100%。</w:t>
            </w:r>
          </w:p>
        </w:tc>
        <w:tc>
          <w:tcPr>
            <w:tcW w:w="617" w:type="dxa"/>
            <w:vAlign w:val="center"/>
          </w:tcPr>
          <w:p>
            <w:pPr>
              <w:jc w:val="center"/>
              <w:rPr>
                <w:rFonts w:ascii="宋体" w:hAnsi="宋体" w:eastAsia="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tcPr>
          <w:p>
            <w:pPr>
              <w:rPr>
                <w:rFonts w:ascii="仿宋_GB2312" w:hAnsi="宋体" w:eastAsia="仿宋_GB2312" w:cs="宋体"/>
                <w:sz w:val="20"/>
                <w:szCs w:val="20"/>
              </w:rPr>
            </w:pPr>
          </w:p>
        </w:tc>
        <w:tc>
          <w:tcPr>
            <w:tcW w:w="429" w:type="dxa"/>
            <w:vMerge w:val="continue"/>
          </w:tcPr>
          <w:p>
            <w:pPr>
              <w:rPr>
                <w:rFonts w:ascii="仿宋_GB2312" w:hAnsi="宋体" w:eastAsia="仿宋_GB2312" w:cs="宋体"/>
                <w:sz w:val="20"/>
                <w:szCs w:val="20"/>
              </w:rPr>
            </w:pPr>
          </w:p>
        </w:tc>
        <w:tc>
          <w:tcPr>
            <w:tcW w:w="567" w:type="dxa"/>
            <w:vMerge w:val="continue"/>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公务用车购置</w:t>
            </w:r>
          </w:p>
          <w:p>
            <w:pPr>
              <w:jc w:val="center"/>
              <w:rPr>
                <w:rFonts w:ascii="仿宋_GB2312" w:hAnsi="宋体" w:eastAsia="仿宋_GB2312" w:cs="宋体"/>
                <w:sz w:val="20"/>
                <w:szCs w:val="20"/>
              </w:rPr>
            </w:pPr>
            <w:r>
              <w:rPr>
                <w:rFonts w:hint="eastAsia" w:ascii="仿宋_GB2312" w:hAnsi="宋体" w:eastAsia="仿宋_GB2312" w:cs="宋体"/>
                <w:sz w:val="20"/>
                <w:szCs w:val="20"/>
              </w:rPr>
              <w:t>运行费</w:t>
            </w:r>
          </w:p>
          <w:p>
            <w:pPr>
              <w:jc w:val="center"/>
              <w:rPr>
                <w:rFonts w:ascii="仿宋_GB2312" w:hAnsi="宋体" w:eastAsia="仿宋_GB2312" w:cs="宋体"/>
                <w:sz w:val="20"/>
                <w:szCs w:val="20"/>
              </w:rPr>
            </w:pPr>
            <w:r>
              <w:rPr>
                <w:rFonts w:hint="eastAsia" w:ascii="仿宋_GB2312" w:hAnsi="宋体" w:eastAsia="仿宋_GB2312" w:cs="宋体"/>
                <w:sz w:val="20"/>
                <w:szCs w:val="20"/>
              </w:rPr>
              <w:t>变动率</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“公务用车购置运行费”变动率</w:t>
            </w:r>
            <w:r>
              <w:rPr>
                <w:rFonts w:hint="eastAsia" w:ascii="仿宋_GB2312" w:hAnsi="Arial" w:eastAsia="仿宋_GB2312" w:cs="Arial"/>
                <w:sz w:val="20"/>
                <w:szCs w:val="20"/>
              </w:rPr>
              <w:t>≤</w:t>
            </w:r>
            <w:r>
              <w:rPr>
                <w:rFonts w:hint="eastAsia" w:ascii="仿宋_GB2312" w:hAnsi="宋体" w:eastAsia="仿宋_GB2312" w:cs="宋体"/>
                <w:sz w:val="20"/>
                <w:szCs w:val="20"/>
              </w:rPr>
              <w:t>0,计2分；“公务用车购置运行费变动率”＞0，每超过一个百分点扣0.2分，扣完为止。</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公务用车购置运行费变动率=[（本年度“公务用车购置运行费”总额-上年度“公务用车购置运行费”总额）/上年度“公务用车购置运行费”总额]×100%。</w:t>
            </w:r>
          </w:p>
        </w:tc>
        <w:tc>
          <w:tcPr>
            <w:tcW w:w="617" w:type="dxa"/>
            <w:vAlign w:val="center"/>
          </w:tcPr>
          <w:p>
            <w:pPr>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tcPr>
          <w:p>
            <w:pPr>
              <w:rPr>
                <w:rFonts w:ascii="仿宋_GB2312" w:hAnsi="宋体" w:eastAsia="仿宋_GB2312" w:cs="宋体"/>
                <w:sz w:val="20"/>
                <w:szCs w:val="20"/>
              </w:rPr>
            </w:pPr>
          </w:p>
        </w:tc>
        <w:tc>
          <w:tcPr>
            <w:tcW w:w="429" w:type="dxa"/>
            <w:vMerge w:val="continue"/>
          </w:tcPr>
          <w:p>
            <w:pPr>
              <w:rPr>
                <w:rFonts w:ascii="仿宋_GB2312" w:hAnsi="宋体" w:eastAsia="仿宋_GB2312" w:cs="宋体"/>
                <w:sz w:val="20"/>
                <w:szCs w:val="20"/>
              </w:rPr>
            </w:pPr>
          </w:p>
        </w:tc>
        <w:tc>
          <w:tcPr>
            <w:tcW w:w="567" w:type="dxa"/>
            <w:vMerge w:val="continue"/>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商品 和服务支出 变动率</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“商品和服务支出”变动率</w:t>
            </w:r>
            <w:r>
              <w:rPr>
                <w:rFonts w:hint="eastAsia" w:ascii="仿宋_GB2312" w:hAnsi="Arial" w:eastAsia="仿宋_GB2312" w:cs="Arial"/>
                <w:sz w:val="20"/>
                <w:szCs w:val="20"/>
              </w:rPr>
              <w:t>≤</w:t>
            </w:r>
            <w:r>
              <w:rPr>
                <w:rFonts w:hint="eastAsia" w:ascii="仿宋_GB2312" w:hAnsi="宋体" w:eastAsia="仿宋_GB2312" w:cs="宋体"/>
                <w:sz w:val="20"/>
                <w:szCs w:val="20"/>
              </w:rPr>
              <w:t>0,计2分；“商品和服务支出”变动率＞0，每超过一个百分点扣0.2分，扣完为止。</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“商品和服务支出”变动率=[（本年度“商品和服务支出”总额-上年度“商品和服务支出”总额）/上年度“商品和服务支出”总额]×100%。</w:t>
            </w:r>
          </w:p>
        </w:tc>
        <w:tc>
          <w:tcPr>
            <w:tcW w:w="617" w:type="dxa"/>
            <w:vAlign w:val="center"/>
          </w:tcPr>
          <w:p>
            <w:pPr>
              <w:jc w:val="center"/>
              <w:rPr>
                <w:rFonts w:ascii="宋体" w:hAnsi="宋体" w:cs="宋体"/>
                <w:sz w:val="24"/>
              </w:rPr>
            </w:pPr>
          </w:p>
          <w:p>
            <w:pPr>
              <w:ind w:firstLine="120" w:firstLineChars="50"/>
              <w:rPr>
                <w:rFonts w:ascii="宋体" w:hAnsi="宋体" w:cs="宋体"/>
                <w:sz w:val="24"/>
              </w:rPr>
            </w:pPr>
            <w:r>
              <w:rPr>
                <w:rFonts w:hint="eastAsia" w:ascii="宋体" w:hAnsi="宋体" w:cs="宋体"/>
                <w:sz w:val="24"/>
              </w:rPr>
              <w:t>2</w:t>
            </w:r>
          </w:p>
          <w:p>
            <w:pPr>
              <w:jc w:val="center"/>
              <w:rPr>
                <w:rFonts w:ascii="宋体" w:hAnsi="宋体" w:cs="宋体"/>
                <w:sz w:val="24"/>
              </w:rPr>
            </w:pPr>
          </w:p>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tcPr>
          <w:p>
            <w:pPr>
              <w:rPr>
                <w:rFonts w:ascii="仿宋_GB2312" w:hAnsi="宋体" w:eastAsia="仿宋_GB2312" w:cs="宋体"/>
                <w:sz w:val="20"/>
                <w:szCs w:val="20"/>
              </w:rPr>
            </w:pPr>
          </w:p>
        </w:tc>
        <w:tc>
          <w:tcPr>
            <w:tcW w:w="429" w:type="dxa"/>
            <w:vMerge w:val="continue"/>
          </w:tcPr>
          <w:p>
            <w:pPr>
              <w:rPr>
                <w:rFonts w:ascii="仿宋_GB2312" w:hAnsi="宋体" w:eastAsia="仿宋_GB2312" w:cs="宋体"/>
                <w:sz w:val="20"/>
                <w:szCs w:val="20"/>
              </w:rPr>
            </w:pPr>
          </w:p>
        </w:tc>
        <w:tc>
          <w:tcPr>
            <w:tcW w:w="567" w:type="dxa"/>
            <w:vMerge w:val="continue"/>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重点  支出  安排率</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重点支出安排率≥90%，计2分；80%（含）-90%，计1分；70%（含）-80%，计0.5分；低于70%不得分。</w:t>
            </w:r>
          </w:p>
        </w:tc>
        <w:tc>
          <w:tcPr>
            <w:tcW w:w="3472"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重点支出安排率=（重点项目支出/项目总支出）×100%</w:t>
            </w:r>
          </w:p>
          <w:p>
            <w:pPr>
              <w:jc w:val="center"/>
              <w:rPr>
                <w:rFonts w:ascii="仿宋_GB2312" w:hAnsi="宋体" w:eastAsia="仿宋_GB2312" w:cs="宋体"/>
                <w:sz w:val="20"/>
                <w:szCs w:val="20"/>
              </w:rPr>
            </w:pPr>
            <w:r>
              <w:rPr>
                <w:rFonts w:hint="eastAsia" w:ascii="仿宋_GB2312" w:hAnsi="宋体" w:eastAsia="仿宋_GB2312" w:cs="宋体"/>
                <w:sz w:val="20"/>
                <w:szCs w:val="20"/>
              </w:rPr>
              <w:t>重点项目支出：市政府确定的为民办实事和部门重点工程与重点工作支出。项目总支出：部门（单位）年度预算安排的项目支出总额。</w:t>
            </w:r>
          </w:p>
        </w:tc>
        <w:tc>
          <w:tcPr>
            <w:tcW w:w="617" w:type="dxa"/>
            <w:vAlign w:val="center"/>
          </w:tcPr>
          <w:p>
            <w:pPr>
              <w:jc w:val="center"/>
              <w:rPr>
                <w:rFonts w:ascii="宋体" w:hAnsi="宋体" w:eastAsia="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tcPr>
          <w:p>
            <w:pPr>
              <w:rPr>
                <w:rFonts w:ascii="仿宋_GB2312" w:hAnsi="宋体" w:eastAsia="仿宋_GB2312" w:cs="宋体"/>
                <w:sz w:val="20"/>
                <w:szCs w:val="20"/>
              </w:rPr>
            </w:pPr>
          </w:p>
        </w:tc>
        <w:tc>
          <w:tcPr>
            <w:tcW w:w="429" w:type="dxa"/>
            <w:vMerge w:val="continue"/>
          </w:tcPr>
          <w:p>
            <w:pPr>
              <w:rPr>
                <w:rFonts w:ascii="仿宋_GB2312" w:hAnsi="宋体" w:eastAsia="仿宋_GB2312" w:cs="宋体"/>
                <w:sz w:val="20"/>
                <w:szCs w:val="20"/>
              </w:rPr>
            </w:pPr>
          </w:p>
        </w:tc>
        <w:tc>
          <w:tcPr>
            <w:tcW w:w="567" w:type="dxa"/>
            <w:vMerge w:val="continue"/>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非税 收入 管理</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①实行收支两条线，1分；</w:t>
            </w:r>
          </w:p>
          <w:p>
            <w:pPr>
              <w:jc w:val="center"/>
              <w:rPr>
                <w:rFonts w:ascii="仿宋_GB2312" w:hAnsi="宋体" w:eastAsia="仿宋_GB2312" w:cs="宋体"/>
                <w:sz w:val="20"/>
                <w:szCs w:val="20"/>
              </w:rPr>
            </w:pPr>
            <w:r>
              <w:rPr>
                <w:rFonts w:hint="eastAsia" w:ascii="仿宋_GB2312" w:hAnsi="宋体" w:eastAsia="仿宋_GB2312" w:cs="宋体"/>
                <w:sz w:val="20"/>
                <w:szCs w:val="20"/>
              </w:rPr>
              <w:t>②未发生截留、坐支或转移，1分。以上每发现一次违规现象扣1分，扣完为止。</w:t>
            </w:r>
          </w:p>
        </w:tc>
        <w:tc>
          <w:tcPr>
            <w:tcW w:w="3472" w:type="dxa"/>
            <w:vAlign w:val="center"/>
          </w:tcPr>
          <w:p>
            <w:pPr>
              <w:jc w:val="center"/>
              <w:rPr>
                <w:rFonts w:ascii="仿宋_GB2312" w:hAnsi="宋体" w:eastAsia="仿宋_GB2312" w:cs="宋体"/>
                <w:sz w:val="20"/>
                <w:szCs w:val="20"/>
              </w:rPr>
            </w:pPr>
          </w:p>
        </w:tc>
        <w:tc>
          <w:tcPr>
            <w:tcW w:w="617" w:type="dxa"/>
            <w:vAlign w:val="center"/>
          </w:tcPr>
          <w:p>
            <w:pPr>
              <w:jc w:val="center"/>
              <w:rPr>
                <w:rFonts w:ascii="宋体" w:hAnsi="宋体" w:eastAsia="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tcPr>
          <w:p>
            <w:pPr>
              <w:rPr>
                <w:rFonts w:ascii="仿宋_GB2312" w:hAnsi="宋体" w:eastAsia="仿宋_GB2312" w:cs="宋体"/>
                <w:sz w:val="20"/>
                <w:szCs w:val="20"/>
              </w:rPr>
            </w:pPr>
          </w:p>
        </w:tc>
        <w:tc>
          <w:tcPr>
            <w:tcW w:w="429" w:type="dxa"/>
            <w:vMerge w:val="continue"/>
          </w:tcPr>
          <w:p>
            <w:pPr>
              <w:rPr>
                <w:rFonts w:ascii="仿宋_GB2312" w:hAnsi="宋体" w:eastAsia="仿宋_GB2312" w:cs="宋体"/>
                <w:sz w:val="20"/>
                <w:szCs w:val="20"/>
              </w:rPr>
            </w:pPr>
          </w:p>
        </w:tc>
        <w:tc>
          <w:tcPr>
            <w:tcW w:w="567" w:type="dxa"/>
            <w:vMerge w:val="continue"/>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非税 收入 完成率</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非税收入完成率100%，2分，每少一个百分点，扣0.1分，扣完为止。</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非税收入完成率=（</w:t>
            </w:r>
            <w:r>
              <w:rPr>
                <w:rFonts w:ascii="仿宋_GB2312" w:hAnsi="宋体" w:eastAsia="仿宋_GB2312" w:cs="宋体"/>
                <w:sz w:val="20"/>
                <w:szCs w:val="20"/>
              </w:rPr>
              <w:t>20</w:t>
            </w:r>
            <w:r>
              <w:rPr>
                <w:rFonts w:hint="eastAsia" w:ascii="仿宋_GB2312" w:hAnsi="宋体" w:eastAsia="仿宋_GB2312" w:cs="宋体"/>
                <w:sz w:val="20"/>
                <w:szCs w:val="20"/>
              </w:rPr>
              <w:t>20年度非税实际收入完成数/</w:t>
            </w:r>
            <w:r>
              <w:rPr>
                <w:rFonts w:ascii="仿宋_GB2312" w:hAnsi="宋体" w:eastAsia="仿宋_GB2312" w:cs="宋体"/>
                <w:sz w:val="20"/>
                <w:szCs w:val="20"/>
              </w:rPr>
              <w:t>20</w:t>
            </w:r>
            <w:r>
              <w:rPr>
                <w:rFonts w:hint="eastAsia" w:ascii="仿宋_GB2312" w:hAnsi="宋体" w:eastAsia="仿宋_GB2312" w:cs="宋体"/>
                <w:sz w:val="20"/>
                <w:szCs w:val="20"/>
              </w:rPr>
              <w:t>20年度非税收入预算数）×100%，有减免因素的，以非税局确定的为准。</w:t>
            </w:r>
          </w:p>
        </w:tc>
        <w:tc>
          <w:tcPr>
            <w:tcW w:w="617" w:type="dxa"/>
            <w:vAlign w:val="center"/>
          </w:tcPr>
          <w:p>
            <w:pPr>
              <w:jc w:val="center"/>
              <w:rPr>
                <w:rFonts w:ascii="宋体" w:hAnsi="宋体" w:eastAsia="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textDirection w:val="tbRlV"/>
          </w:tcPr>
          <w:p>
            <w:pPr>
              <w:jc w:val="center"/>
              <w:rPr>
                <w:rFonts w:ascii="仿宋_GB2312" w:hAnsi="宋体" w:eastAsia="仿宋_GB2312" w:cs="宋体"/>
                <w:sz w:val="20"/>
                <w:szCs w:val="20"/>
              </w:rPr>
            </w:pPr>
          </w:p>
          <w:p>
            <w:pPr>
              <w:jc w:val="center"/>
              <w:rPr>
                <w:rFonts w:ascii="仿宋_GB2312" w:hAnsi="宋体" w:eastAsia="仿宋_GB2312" w:cs="宋体"/>
                <w:sz w:val="20"/>
                <w:szCs w:val="20"/>
              </w:rPr>
            </w:pPr>
          </w:p>
          <w:p>
            <w:pPr>
              <w:jc w:val="center"/>
              <w:rPr>
                <w:rFonts w:ascii="仿宋_GB2312" w:hAnsi="宋体" w:eastAsia="仿宋_GB2312" w:cs="宋体"/>
                <w:sz w:val="20"/>
                <w:szCs w:val="20"/>
              </w:rPr>
            </w:pPr>
            <w:r>
              <w:rPr>
                <w:rFonts w:hint="eastAsia" w:ascii="仿宋_GB2312" w:hAnsi="宋体" w:eastAsia="仿宋_GB2312" w:cs="宋体"/>
                <w:sz w:val="20"/>
                <w:szCs w:val="20"/>
              </w:rPr>
              <w:t>过    程</w:t>
            </w:r>
          </w:p>
          <w:p>
            <w:pPr>
              <w:ind w:left="113" w:right="113"/>
              <w:rPr>
                <w:rFonts w:ascii="仿宋_GB2312" w:hAnsi="宋体" w:eastAsia="仿宋_GB2312" w:cs="宋体"/>
                <w:sz w:val="20"/>
                <w:szCs w:val="20"/>
              </w:rPr>
            </w:pPr>
          </w:p>
          <w:p>
            <w:pPr>
              <w:rPr>
                <w:rFonts w:ascii="仿宋_GB2312" w:hAnsi="宋体" w:eastAsia="仿宋_GB2312" w:cs="宋体"/>
                <w:sz w:val="20"/>
                <w:szCs w:val="20"/>
              </w:rPr>
            </w:pPr>
          </w:p>
          <w:p>
            <w:pPr>
              <w:rPr>
                <w:rFonts w:ascii="仿宋_GB2312" w:hAnsi="宋体" w:eastAsia="仿宋_GB2312" w:cs="宋体"/>
                <w:sz w:val="20"/>
                <w:szCs w:val="20"/>
              </w:rPr>
            </w:pPr>
          </w:p>
          <w:p>
            <w:pPr>
              <w:rPr>
                <w:rFonts w:ascii="仿宋_GB2312" w:hAnsi="宋体" w:eastAsia="仿宋_GB2312" w:cs="宋体"/>
                <w:sz w:val="20"/>
                <w:szCs w:val="20"/>
              </w:rPr>
            </w:pPr>
          </w:p>
          <w:p>
            <w:pPr>
              <w:rPr>
                <w:rFonts w:ascii="仿宋_GB2312" w:hAnsi="宋体" w:eastAsia="仿宋_GB2312" w:cs="宋体"/>
                <w:sz w:val="20"/>
                <w:szCs w:val="20"/>
              </w:rPr>
            </w:pPr>
          </w:p>
          <w:p>
            <w:pPr>
              <w:rPr>
                <w:rFonts w:ascii="仿宋_GB2312" w:hAnsi="宋体" w:eastAsia="仿宋_GB2312" w:cs="宋体"/>
                <w:sz w:val="20"/>
                <w:szCs w:val="20"/>
              </w:rPr>
            </w:pPr>
          </w:p>
          <w:p>
            <w:pPr>
              <w:rPr>
                <w:rFonts w:ascii="仿宋_GB2312" w:hAnsi="宋体" w:eastAsia="仿宋_GB2312" w:cs="宋体"/>
                <w:sz w:val="20"/>
                <w:szCs w:val="20"/>
              </w:rPr>
            </w:pPr>
          </w:p>
          <w:p>
            <w:pPr>
              <w:rPr>
                <w:rFonts w:ascii="仿宋_GB2312" w:hAnsi="宋体" w:eastAsia="仿宋_GB2312" w:cs="宋体"/>
                <w:sz w:val="20"/>
                <w:szCs w:val="20"/>
              </w:rPr>
            </w:pPr>
          </w:p>
          <w:p>
            <w:pPr>
              <w:rPr>
                <w:rFonts w:ascii="仿宋_GB2312" w:hAnsi="宋体" w:eastAsia="仿宋_GB2312" w:cs="宋体"/>
                <w:sz w:val="20"/>
                <w:szCs w:val="20"/>
              </w:rPr>
            </w:pPr>
            <w:r>
              <w:rPr>
                <w:rFonts w:hint="eastAsia" w:ascii="仿宋_GB2312" w:hAnsi="宋体" w:eastAsia="仿宋_GB2312" w:cs="宋体"/>
                <w:sz w:val="20"/>
                <w:szCs w:val="20"/>
              </w:rPr>
              <w:t>过      程</w:t>
            </w:r>
          </w:p>
        </w:tc>
        <w:tc>
          <w:tcPr>
            <w:tcW w:w="429" w:type="dxa"/>
            <w:vMerge w:val="restart"/>
            <w:tcBorders>
              <w:right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预算执行</w:t>
            </w:r>
          </w:p>
        </w:tc>
        <w:tc>
          <w:tcPr>
            <w:tcW w:w="567" w:type="dxa"/>
            <w:vMerge w:val="restart"/>
            <w:tcBorders>
              <w:left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8</w:t>
            </w: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预算  完成率</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完成率&lt;1，计2分，</w:t>
            </w:r>
          </w:p>
          <w:p>
            <w:pPr>
              <w:jc w:val="center"/>
              <w:rPr>
                <w:rFonts w:ascii="仿宋_GB2312" w:hAnsi="宋体" w:eastAsia="仿宋_GB2312" w:cs="宋体"/>
                <w:sz w:val="20"/>
                <w:szCs w:val="20"/>
              </w:rPr>
            </w:pPr>
            <w:r>
              <w:rPr>
                <w:rFonts w:hint="eastAsia" w:ascii="仿宋_GB2312" w:hAnsi="宋体" w:eastAsia="仿宋_GB2312" w:cs="宋体"/>
                <w:sz w:val="20"/>
                <w:szCs w:val="20"/>
              </w:rPr>
              <w:t>完成率=1，计1分，</w:t>
            </w:r>
          </w:p>
          <w:p>
            <w:pPr>
              <w:jc w:val="center"/>
              <w:rPr>
                <w:rFonts w:ascii="仿宋_GB2312" w:hAnsi="宋体" w:eastAsia="仿宋_GB2312" w:cs="宋体"/>
                <w:sz w:val="20"/>
                <w:szCs w:val="20"/>
              </w:rPr>
            </w:pPr>
            <w:r>
              <w:rPr>
                <w:rFonts w:hint="eastAsia" w:ascii="仿宋_GB2312" w:hAnsi="宋体" w:eastAsia="仿宋_GB2312" w:cs="宋体"/>
                <w:sz w:val="20"/>
                <w:szCs w:val="20"/>
              </w:rPr>
              <w:t>完成率&gt;1，不得分。</w:t>
            </w:r>
          </w:p>
          <w:p>
            <w:pPr>
              <w:jc w:val="center"/>
              <w:rPr>
                <w:rFonts w:ascii="仿宋_GB2312" w:hAnsi="宋体" w:eastAsia="仿宋_GB2312" w:cs="宋体"/>
                <w:sz w:val="20"/>
                <w:szCs w:val="20"/>
              </w:rPr>
            </w:pPr>
          </w:p>
        </w:tc>
        <w:tc>
          <w:tcPr>
            <w:tcW w:w="3472" w:type="dxa"/>
            <w:vAlign w:val="center"/>
          </w:tcPr>
          <w:p>
            <w:pPr>
              <w:autoSpaceDN w:val="0"/>
              <w:jc w:val="center"/>
              <w:textAlignment w:val="center"/>
              <w:rPr>
                <w:rFonts w:ascii="仿宋_GB2312" w:hAnsi="宋体" w:eastAsia="仿宋_GB2312" w:cs="宋体"/>
                <w:sz w:val="20"/>
                <w:szCs w:val="20"/>
              </w:rPr>
            </w:pPr>
            <w:r>
              <w:rPr>
                <w:rFonts w:hint="eastAsia" w:ascii="仿宋_GB2312" w:hAnsi="宋体" w:eastAsia="仿宋_GB2312" w:cs="宋体"/>
                <w:sz w:val="20"/>
                <w:szCs w:val="20"/>
              </w:rPr>
              <w:t>预算完成率=（预算完成数/预算数）×100%。预算完成数：部门（单位）本年度实际完成的预算数；预算数：财政部门批复的本年度部门（单位）预算数。</w:t>
            </w:r>
          </w:p>
        </w:tc>
        <w:tc>
          <w:tcPr>
            <w:tcW w:w="617" w:type="dxa"/>
            <w:vAlign w:val="center"/>
          </w:tcPr>
          <w:p>
            <w:pPr>
              <w:jc w:val="center"/>
              <w:rPr>
                <w:rFonts w:ascii="宋体" w:hAnsi="宋体" w:eastAsia="宋体" w:cs="宋体"/>
                <w:sz w:val="24"/>
                <w:highlight w:val="yellow"/>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tcPr>
          <w:p>
            <w:pPr>
              <w:rPr>
                <w:rFonts w:ascii="仿宋_GB2312" w:hAnsi="宋体" w:eastAsia="仿宋_GB2312" w:cs="宋体"/>
                <w:sz w:val="20"/>
                <w:szCs w:val="20"/>
              </w:rPr>
            </w:pPr>
          </w:p>
        </w:tc>
        <w:tc>
          <w:tcPr>
            <w:tcW w:w="429" w:type="dxa"/>
            <w:vMerge w:val="continue"/>
            <w:tcBorders>
              <w:right w:val="single" w:color="auto" w:sz="4" w:space="0"/>
            </w:tcBorders>
          </w:tcPr>
          <w:p>
            <w:pPr>
              <w:rPr>
                <w:rFonts w:ascii="仿宋_GB2312" w:hAnsi="宋体" w:eastAsia="仿宋_GB2312" w:cs="宋体"/>
                <w:sz w:val="20"/>
                <w:szCs w:val="20"/>
              </w:rPr>
            </w:pPr>
          </w:p>
        </w:tc>
        <w:tc>
          <w:tcPr>
            <w:tcW w:w="567" w:type="dxa"/>
            <w:vMerge w:val="continue"/>
            <w:tcBorders>
              <w:left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资金  结余</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结余超过10%（不含），2分；结余在0-10%（含）的，1分；本年超支不得分。</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本项结余不含未完工项目资金的结转数。</w:t>
            </w:r>
          </w:p>
        </w:tc>
        <w:tc>
          <w:tcPr>
            <w:tcW w:w="617"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tcPr>
          <w:p>
            <w:pPr>
              <w:rPr>
                <w:rFonts w:ascii="仿宋_GB2312" w:hAnsi="宋体" w:eastAsia="仿宋_GB2312" w:cs="宋体"/>
                <w:sz w:val="20"/>
                <w:szCs w:val="20"/>
              </w:rPr>
            </w:pPr>
          </w:p>
        </w:tc>
        <w:tc>
          <w:tcPr>
            <w:tcW w:w="429" w:type="dxa"/>
            <w:vMerge w:val="continue"/>
            <w:tcBorders>
              <w:right w:val="single" w:color="auto" w:sz="4" w:space="0"/>
            </w:tcBorders>
          </w:tcPr>
          <w:p>
            <w:pPr>
              <w:rPr>
                <w:rFonts w:ascii="仿宋_GB2312" w:hAnsi="宋体" w:eastAsia="仿宋_GB2312" w:cs="宋体"/>
                <w:sz w:val="20"/>
                <w:szCs w:val="20"/>
              </w:rPr>
            </w:pPr>
          </w:p>
        </w:tc>
        <w:tc>
          <w:tcPr>
            <w:tcW w:w="567" w:type="dxa"/>
            <w:vMerge w:val="continue"/>
            <w:tcBorders>
              <w:left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“三公经费”</w:t>
            </w:r>
          </w:p>
          <w:p>
            <w:pPr>
              <w:jc w:val="center"/>
              <w:rPr>
                <w:rFonts w:ascii="仿宋_GB2312" w:hAnsi="宋体" w:eastAsia="仿宋_GB2312" w:cs="宋体"/>
                <w:sz w:val="20"/>
                <w:szCs w:val="20"/>
              </w:rPr>
            </w:pPr>
            <w:r>
              <w:rPr>
                <w:rFonts w:hint="eastAsia" w:ascii="仿宋_GB2312" w:hAnsi="宋体" w:eastAsia="仿宋_GB2312" w:cs="宋体"/>
                <w:sz w:val="20"/>
                <w:szCs w:val="20"/>
              </w:rPr>
              <w:t>控制率</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以100%为标准。三公经费控制率</w:t>
            </w:r>
            <w:r>
              <w:rPr>
                <w:rFonts w:hint="eastAsia" w:ascii="仿宋_GB2312" w:hAnsi="Arial" w:eastAsia="仿宋_GB2312" w:cs="Arial"/>
                <w:sz w:val="20"/>
                <w:szCs w:val="20"/>
              </w:rPr>
              <w:t>≤</w:t>
            </w:r>
            <w:r>
              <w:rPr>
                <w:rFonts w:hint="eastAsia" w:ascii="仿宋_GB2312" w:hAnsi="宋体" w:eastAsia="仿宋_GB2312" w:cs="宋体"/>
                <w:sz w:val="20"/>
                <w:szCs w:val="20"/>
              </w:rPr>
              <w:t>100%，计2分；每超过一个百分点扣0.2分，扣完为止。单位没有制定“三公”经费预算，该项不得分。</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“三公经费”控制率=（“三公经费”实际支出数/“三公经费”预算安排数）×100%。</w:t>
            </w:r>
          </w:p>
        </w:tc>
        <w:tc>
          <w:tcPr>
            <w:tcW w:w="617" w:type="dxa"/>
            <w:vAlign w:val="center"/>
          </w:tcPr>
          <w:p>
            <w:pPr>
              <w:jc w:val="center"/>
              <w:rPr>
                <w:rFonts w:ascii="宋体" w:hAnsi="宋体" w:eastAsia="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tcPr>
          <w:p>
            <w:pPr>
              <w:rPr>
                <w:rFonts w:ascii="仿宋_GB2312" w:hAnsi="宋体" w:eastAsia="仿宋_GB2312" w:cs="宋体"/>
                <w:sz w:val="20"/>
                <w:szCs w:val="20"/>
              </w:rPr>
            </w:pPr>
          </w:p>
        </w:tc>
        <w:tc>
          <w:tcPr>
            <w:tcW w:w="429" w:type="dxa"/>
            <w:vMerge w:val="continue"/>
            <w:tcBorders>
              <w:bottom w:val="single" w:color="auto" w:sz="4" w:space="0"/>
              <w:right w:val="single" w:color="auto" w:sz="4" w:space="0"/>
            </w:tcBorders>
          </w:tcPr>
          <w:p>
            <w:pPr>
              <w:rPr>
                <w:rFonts w:ascii="仿宋_GB2312" w:hAnsi="宋体" w:eastAsia="仿宋_GB2312" w:cs="宋体"/>
                <w:sz w:val="20"/>
                <w:szCs w:val="20"/>
              </w:rPr>
            </w:pPr>
          </w:p>
        </w:tc>
        <w:tc>
          <w:tcPr>
            <w:tcW w:w="567" w:type="dxa"/>
            <w:vMerge w:val="continue"/>
            <w:tcBorders>
              <w:left w:val="single" w:color="auto" w:sz="4" w:space="0"/>
              <w:bottom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政府</w:t>
            </w:r>
          </w:p>
          <w:p>
            <w:pPr>
              <w:jc w:val="center"/>
              <w:rPr>
                <w:rFonts w:ascii="仿宋_GB2312" w:hAnsi="宋体" w:eastAsia="仿宋_GB2312" w:cs="宋体"/>
                <w:sz w:val="20"/>
                <w:szCs w:val="20"/>
              </w:rPr>
            </w:pPr>
            <w:r>
              <w:rPr>
                <w:rFonts w:hint="eastAsia" w:ascii="仿宋_GB2312" w:hAnsi="宋体" w:eastAsia="仿宋_GB2312" w:cs="宋体"/>
                <w:sz w:val="20"/>
                <w:szCs w:val="20"/>
              </w:rPr>
              <w:t>采购</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 w:hAnsi="仿宋" w:eastAsia="仿宋" w:cs="宋体"/>
                <w:sz w:val="20"/>
                <w:szCs w:val="20"/>
              </w:rPr>
              <w:t>①编</w:t>
            </w:r>
            <w:r>
              <w:rPr>
                <w:rFonts w:hint="eastAsia" w:ascii="仿宋_GB2312" w:hAnsi="宋体" w:eastAsia="仿宋_GB2312" w:cs="宋体"/>
                <w:sz w:val="20"/>
                <w:szCs w:val="20"/>
              </w:rPr>
              <w:t>制政府采购年度预算并上报的，0.5分；②追加并编制政府采购预算的，0.5分；</w:t>
            </w:r>
            <w:r>
              <w:rPr>
                <w:rFonts w:hint="eastAsia" w:ascii="仿宋" w:hAnsi="仿宋" w:eastAsia="仿宋" w:cs="宋体"/>
                <w:sz w:val="20"/>
                <w:szCs w:val="20"/>
              </w:rPr>
              <w:t>③</w:t>
            </w:r>
            <w:r>
              <w:rPr>
                <w:rFonts w:hint="eastAsia" w:ascii="仿宋_GB2312" w:hAnsi="宋体" w:eastAsia="仿宋_GB2312" w:cs="宋体"/>
                <w:sz w:val="20"/>
                <w:szCs w:val="20"/>
              </w:rPr>
              <w:t>政府采购执行率=100%，计1分；每少一个百分点扣0.1分，扣完为止。</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政府采购执行率=（实际实行政府采购金额/应实行政府采购金额）×100%。应实行政府采金额以《湘财购[2012]27号》文件为标准。</w:t>
            </w:r>
          </w:p>
        </w:tc>
        <w:tc>
          <w:tcPr>
            <w:tcW w:w="617" w:type="dxa"/>
            <w:vAlign w:val="center"/>
          </w:tcPr>
          <w:p>
            <w:pPr>
              <w:jc w:val="center"/>
              <w:rPr>
                <w:rFonts w:ascii="宋体" w:hAnsi="宋体" w:eastAsia="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tcPr>
          <w:p>
            <w:pPr>
              <w:rPr>
                <w:rFonts w:ascii="仿宋_GB2312" w:hAnsi="宋体" w:eastAsia="仿宋_GB2312" w:cs="宋体"/>
                <w:sz w:val="20"/>
                <w:szCs w:val="20"/>
              </w:rPr>
            </w:pPr>
          </w:p>
        </w:tc>
        <w:tc>
          <w:tcPr>
            <w:tcW w:w="429" w:type="dxa"/>
            <w:vMerge w:val="restart"/>
            <w:tcBorders>
              <w:top w:val="single" w:color="auto" w:sz="4" w:space="0"/>
              <w:right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预算管理</w:t>
            </w:r>
          </w:p>
        </w:tc>
        <w:tc>
          <w:tcPr>
            <w:tcW w:w="567" w:type="dxa"/>
            <w:vMerge w:val="restart"/>
            <w:tcBorders>
              <w:top w:val="single" w:color="auto" w:sz="4" w:space="0"/>
              <w:left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28</w:t>
            </w:r>
          </w:p>
        </w:tc>
        <w:tc>
          <w:tcPr>
            <w:tcW w:w="851" w:type="dxa"/>
            <w:tcBorders>
              <w:top w:val="single" w:color="auto" w:sz="4" w:space="0"/>
            </w:tcBorders>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管理  制度</w:t>
            </w:r>
          </w:p>
          <w:p>
            <w:pPr>
              <w:jc w:val="center"/>
              <w:rPr>
                <w:rFonts w:ascii="仿宋_GB2312" w:hAnsi="宋体" w:eastAsia="仿宋_GB2312" w:cs="宋体"/>
                <w:sz w:val="20"/>
                <w:szCs w:val="20"/>
              </w:rPr>
            </w:pPr>
            <w:r>
              <w:rPr>
                <w:rFonts w:hint="eastAsia" w:ascii="仿宋_GB2312" w:hAnsi="宋体" w:eastAsia="仿宋_GB2312" w:cs="宋体"/>
                <w:sz w:val="20"/>
                <w:szCs w:val="20"/>
              </w:rPr>
              <w:t>健全性</w:t>
            </w:r>
          </w:p>
        </w:tc>
        <w:tc>
          <w:tcPr>
            <w:tcW w:w="567" w:type="dxa"/>
            <w:tcBorders>
              <w:top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6</w:t>
            </w:r>
          </w:p>
          <w:p>
            <w:pPr>
              <w:jc w:val="center"/>
              <w:rPr>
                <w:rFonts w:ascii="仿宋_GB2312" w:hAnsi="宋体" w:eastAsia="仿宋_GB2312" w:cs="宋体"/>
                <w:sz w:val="20"/>
                <w:szCs w:val="20"/>
              </w:rPr>
            </w:pPr>
          </w:p>
        </w:tc>
        <w:tc>
          <w:tcPr>
            <w:tcW w:w="3118" w:type="dxa"/>
            <w:tcBorders>
              <w:top w:val="single" w:color="auto" w:sz="4" w:space="0"/>
            </w:tcBorders>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①已制定资金管理办法、内部财务管理制度、会计核算制度等管理制度，1分；</w:t>
            </w:r>
          </w:p>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②建立健全单位内部控制制度，1分；</w:t>
            </w:r>
          </w:p>
          <w:p>
            <w:pPr>
              <w:jc w:val="center"/>
              <w:rPr>
                <w:rFonts w:ascii="仿宋_GB2312" w:hAnsi="宋体" w:eastAsia="仿宋_GB2312" w:cs="宋体"/>
                <w:sz w:val="20"/>
                <w:szCs w:val="20"/>
              </w:rPr>
            </w:pPr>
            <w:r>
              <w:rPr>
                <w:rFonts w:hint="eastAsia" w:ascii="仿宋_GB2312" w:hAnsi="宋体" w:eastAsia="仿宋_GB2312" w:cs="宋体"/>
                <w:sz w:val="20"/>
                <w:szCs w:val="20"/>
              </w:rPr>
              <w:t>③会计人员、机构按规定设置，1分；</w:t>
            </w:r>
          </w:p>
          <w:p>
            <w:pPr>
              <w:jc w:val="center"/>
              <w:rPr>
                <w:rFonts w:ascii="仿宋_GB2312" w:hAnsi="宋体" w:eastAsia="仿宋_GB2312" w:cs="宋体"/>
                <w:sz w:val="20"/>
                <w:szCs w:val="20"/>
              </w:rPr>
            </w:pPr>
            <w:r>
              <w:rPr>
                <w:rFonts w:hint="eastAsia" w:ascii="仿宋_GB2312" w:hAnsi="宋体" w:eastAsia="仿宋_GB2312" w:cs="宋体"/>
                <w:sz w:val="20"/>
                <w:szCs w:val="20"/>
              </w:rPr>
              <w:t>④会计基础工作健全，1分；</w:t>
            </w:r>
          </w:p>
          <w:p>
            <w:pPr>
              <w:jc w:val="center"/>
              <w:rPr>
                <w:rFonts w:ascii="仿宋_GB2312" w:hAnsi="宋体" w:eastAsia="仿宋_GB2312" w:cs="宋体"/>
                <w:sz w:val="20"/>
                <w:szCs w:val="20"/>
              </w:rPr>
            </w:pPr>
            <w:r>
              <w:rPr>
                <w:rFonts w:hint="eastAsia" w:ascii="仿宋_GB2312" w:hAnsi="宋体" w:eastAsia="仿宋_GB2312" w:cs="宋体"/>
                <w:sz w:val="20"/>
                <w:szCs w:val="20"/>
              </w:rPr>
              <w:t>⑤会计档案符合规定要求，1分；</w:t>
            </w:r>
          </w:p>
          <w:p>
            <w:pPr>
              <w:jc w:val="center"/>
              <w:rPr>
                <w:rFonts w:ascii="仿宋_GB2312" w:hAnsi="宋体" w:eastAsia="仿宋_GB2312" w:cs="宋体"/>
                <w:sz w:val="20"/>
                <w:szCs w:val="20"/>
              </w:rPr>
            </w:pPr>
            <w:r>
              <w:rPr>
                <w:rFonts w:hint="eastAsia" w:ascii="仿宋_GB2312" w:hAnsi="仿宋" w:eastAsia="仿宋_GB2312" w:cs="仿宋"/>
                <w:sz w:val="20"/>
                <w:szCs w:val="20"/>
              </w:rPr>
              <w:t>⑥项目管理规范（包括项目立项、申报、招投标、制度建立、按时完工等），1分，每发现少一项扣0.2分，扣完为止。</w:t>
            </w:r>
          </w:p>
        </w:tc>
        <w:tc>
          <w:tcPr>
            <w:tcW w:w="3472" w:type="dxa"/>
            <w:tcBorders>
              <w:top w:val="single" w:color="auto" w:sz="4" w:space="0"/>
            </w:tcBorders>
            <w:vAlign w:val="center"/>
          </w:tcPr>
          <w:p>
            <w:pPr>
              <w:jc w:val="center"/>
              <w:rPr>
                <w:rFonts w:ascii="仿宋_GB2312" w:hAnsi="宋体" w:eastAsia="仿宋_GB2312" w:cs="宋体"/>
                <w:sz w:val="20"/>
                <w:szCs w:val="20"/>
              </w:rPr>
            </w:pPr>
          </w:p>
        </w:tc>
        <w:tc>
          <w:tcPr>
            <w:tcW w:w="617" w:type="dxa"/>
            <w:tcBorders>
              <w:top w:val="single" w:color="auto" w:sz="4" w:space="0"/>
            </w:tcBorders>
            <w:vAlign w:val="center"/>
          </w:tcPr>
          <w:p>
            <w:pPr>
              <w:jc w:val="center"/>
              <w:rPr>
                <w:rFonts w:ascii="宋体" w:hAnsi="宋体" w:eastAsia="宋体" w:cs="宋体"/>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tcPr>
          <w:p>
            <w:pPr>
              <w:rPr>
                <w:rFonts w:ascii="仿宋_GB2312" w:hAnsi="宋体" w:eastAsia="仿宋_GB2312" w:cs="宋体"/>
                <w:sz w:val="20"/>
                <w:szCs w:val="20"/>
              </w:rPr>
            </w:pPr>
          </w:p>
        </w:tc>
        <w:tc>
          <w:tcPr>
            <w:tcW w:w="429" w:type="dxa"/>
            <w:vMerge w:val="continue"/>
            <w:tcBorders>
              <w:top w:val="single" w:color="auto" w:sz="4" w:space="0"/>
              <w:right w:val="single" w:color="auto" w:sz="4" w:space="0"/>
            </w:tcBorders>
            <w:vAlign w:val="center"/>
          </w:tcPr>
          <w:p>
            <w:pPr>
              <w:jc w:val="center"/>
              <w:rPr>
                <w:rFonts w:ascii="仿宋_GB2312" w:hAnsi="宋体" w:eastAsia="仿宋_GB2312" w:cs="宋体"/>
                <w:sz w:val="20"/>
                <w:szCs w:val="20"/>
              </w:rPr>
            </w:pPr>
          </w:p>
        </w:tc>
        <w:tc>
          <w:tcPr>
            <w:tcW w:w="567" w:type="dxa"/>
            <w:vMerge w:val="continue"/>
            <w:tcBorders>
              <w:top w:val="single" w:color="auto" w:sz="4" w:space="0"/>
              <w:left w:val="single" w:color="auto" w:sz="4" w:space="0"/>
            </w:tcBorders>
            <w:vAlign w:val="center"/>
          </w:tcPr>
          <w:p>
            <w:pPr>
              <w:jc w:val="center"/>
              <w:rPr>
                <w:rFonts w:ascii="仿宋_GB2312" w:hAnsi="宋体" w:eastAsia="仿宋_GB2312" w:cs="宋体"/>
                <w:sz w:val="20"/>
                <w:szCs w:val="20"/>
              </w:rPr>
            </w:pPr>
          </w:p>
        </w:tc>
        <w:tc>
          <w:tcPr>
            <w:tcW w:w="851" w:type="dxa"/>
            <w:tcBorders>
              <w:top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内控制度情况</w:t>
            </w:r>
          </w:p>
        </w:tc>
        <w:tc>
          <w:tcPr>
            <w:tcW w:w="567" w:type="dxa"/>
            <w:tcBorders>
              <w:top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4分</w:t>
            </w:r>
          </w:p>
        </w:tc>
        <w:tc>
          <w:tcPr>
            <w:tcW w:w="3118" w:type="dxa"/>
            <w:tcBorders>
              <w:top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内部控制制度完全执行，4分，执行过程中，某个环节（节点）执行不到位的，每个环节（节点）扣1分，扣完为止。</w:t>
            </w:r>
          </w:p>
        </w:tc>
        <w:tc>
          <w:tcPr>
            <w:tcW w:w="3472" w:type="dxa"/>
            <w:tcBorders>
              <w:top w:val="single" w:color="auto" w:sz="4" w:space="0"/>
            </w:tcBorders>
            <w:vAlign w:val="center"/>
          </w:tcPr>
          <w:p>
            <w:pPr>
              <w:jc w:val="center"/>
              <w:rPr>
                <w:rFonts w:ascii="仿宋_GB2312" w:hAnsi="宋体" w:eastAsia="仿宋_GB2312" w:cs="宋体"/>
                <w:sz w:val="20"/>
                <w:szCs w:val="20"/>
              </w:rPr>
            </w:pPr>
          </w:p>
        </w:tc>
        <w:tc>
          <w:tcPr>
            <w:tcW w:w="617" w:type="dxa"/>
            <w:tcBorders>
              <w:top w:val="single" w:color="auto" w:sz="4" w:space="0"/>
            </w:tcBorders>
            <w:vAlign w:val="center"/>
          </w:tcPr>
          <w:p>
            <w:pPr>
              <w:jc w:val="center"/>
              <w:rPr>
                <w:rFonts w:ascii="宋体" w:hAnsi="宋体" w:eastAsia="宋体" w:cs="宋体"/>
                <w:sz w:val="24"/>
              </w:rPr>
            </w:pPr>
            <w:r>
              <w:rPr>
                <w:rFonts w:hint="eastAsia" w:ascii="宋体" w:hAnsi="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过程</w:t>
            </w:r>
          </w:p>
        </w:tc>
        <w:tc>
          <w:tcPr>
            <w:tcW w:w="429" w:type="dxa"/>
            <w:vMerge w:val="continue"/>
            <w:tcBorders>
              <w:right w:val="single" w:color="auto" w:sz="4" w:space="0"/>
            </w:tcBorders>
            <w:vAlign w:val="center"/>
          </w:tcPr>
          <w:p>
            <w:pPr>
              <w:jc w:val="center"/>
              <w:rPr>
                <w:rFonts w:ascii="仿宋_GB2312" w:hAnsi="宋体" w:eastAsia="仿宋_GB2312" w:cs="宋体"/>
                <w:sz w:val="20"/>
                <w:szCs w:val="20"/>
              </w:rPr>
            </w:pPr>
          </w:p>
        </w:tc>
        <w:tc>
          <w:tcPr>
            <w:tcW w:w="567" w:type="dxa"/>
            <w:vMerge w:val="continue"/>
            <w:tcBorders>
              <w:left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资金  使用</w:t>
            </w:r>
          </w:p>
          <w:p>
            <w:pPr>
              <w:jc w:val="center"/>
              <w:rPr>
                <w:rFonts w:ascii="仿宋_GB2312" w:hAnsi="宋体" w:eastAsia="仿宋_GB2312" w:cs="宋体"/>
                <w:sz w:val="20"/>
                <w:szCs w:val="20"/>
              </w:rPr>
            </w:pPr>
            <w:r>
              <w:rPr>
                <w:rFonts w:hint="eastAsia" w:ascii="仿宋_GB2312" w:hAnsi="宋体" w:eastAsia="仿宋_GB2312" w:cs="宋体"/>
                <w:sz w:val="20"/>
                <w:szCs w:val="20"/>
              </w:rPr>
              <w:t>合规性</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14</w:t>
            </w:r>
          </w:p>
        </w:tc>
        <w:tc>
          <w:tcPr>
            <w:tcW w:w="3118"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①支出符合国家财经法规和财务管理制度规定以及有关专项资金管理办法的规定；</w:t>
            </w:r>
          </w:p>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②资金（开支）拨付有完整的审批程序和手续；</w:t>
            </w:r>
          </w:p>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③支出符合部门预算批复的用途；</w:t>
            </w:r>
          </w:p>
          <w:p>
            <w:pPr>
              <w:jc w:val="center"/>
              <w:rPr>
                <w:rFonts w:ascii="仿宋_GB2312" w:hAnsi="宋体" w:eastAsia="仿宋_GB2312" w:cs="宋体"/>
                <w:sz w:val="20"/>
                <w:szCs w:val="20"/>
              </w:rPr>
            </w:pPr>
            <w:r>
              <w:rPr>
                <w:rFonts w:hint="eastAsia" w:ascii="仿宋_GB2312" w:hAnsi="宋体" w:eastAsia="仿宋_GB2312" w:cs="宋体"/>
                <w:sz w:val="20"/>
                <w:szCs w:val="20"/>
              </w:rPr>
              <w:t>④资金使用无截留、挤占、挪用、虚列支出、随意借用、大额现金支付等情况。</w:t>
            </w:r>
          </w:p>
          <w:p>
            <w:pPr>
              <w:jc w:val="center"/>
              <w:rPr>
                <w:rFonts w:ascii="仿宋_GB2312" w:hAnsi="仿宋" w:eastAsia="仿宋_GB2312" w:cs="仿宋"/>
                <w:sz w:val="20"/>
                <w:szCs w:val="20"/>
              </w:rPr>
            </w:pPr>
            <w:r>
              <w:rPr>
                <w:rFonts w:hint="eastAsia" w:ascii="仿宋_GB2312" w:hAnsi="微软雅黑" w:eastAsia="仿宋_GB2312" w:cs="微软雅黑"/>
                <w:sz w:val="20"/>
                <w:szCs w:val="20"/>
              </w:rPr>
              <w:t>⑤</w:t>
            </w:r>
            <w:r>
              <w:rPr>
                <w:rFonts w:hint="eastAsia" w:ascii="仿宋_GB2312" w:hAnsi="仿宋" w:eastAsia="仿宋_GB2312" w:cs="仿宋"/>
                <w:sz w:val="20"/>
                <w:szCs w:val="20"/>
              </w:rPr>
              <w:t>重大财务事项经由集体研究决策；</w:t>
            </w:r>
          </w:p>
          <w:p>
            <w:pPr>
              <w:jc w:val="center"/>
              <w:rPr>
                <w:rFonts w:ascii="仿宋_GB2312" w:hAnsi="仿宋" w:eastAsia="仿宋_GB2312" w:cs="仿宋"/>
                <w:sz w:val="20"/>
                <w:szCs w:val="20"/>
              </w:rPr>
            </w:pPr>
            <w:r>
              <w:rPr>
                <w:rFonts w:hint="eastAsia" w:ascii="仿宋_GB2312" w:hAnsi="微软雅黑" w:eastAsia="仿宋_GB2312" w:cs="微软雅黑"/>
                <w:sz w:val="20"/>
                <w:szCs w:val="20"/>
              </w:rPr>
              <w:t>⑥</w:t>
            </w:r>
            <w:r>
              <w:rPr>
                <w:rFonts w:hint="eastAsia" w:ascii="仿宋_GB2312" w:hAnsi="仿宋" w:eastAsia="仿宋_GB2312" w:cs="仿宋"/>
                <w:sz w:val="20"/>
                <w:szCs w:val="20"/>
              </w:rPr>
              <w:t>专项资金做到专款专用；</w:t>
            </w:r>
          </w:p>
          <w:p>
            <w:pPr>
              <w:jc w:val="center"/>
              <w:rPr>
                <w:rFonts w:ascii="仿宋_GB2312" w:hAnsi="仿宋" w:eastAsia="仿宋_GB2312" w:cs="仿宋"/>
                <w:sz w:val="20"/>
                <w:szCs w:val="20"/>
              </w:rPr>
            </w:pPr>
            <w:r>
              <w:rPr>
                <w:rFonts w:hint="eastAsia" w:ascii="仿宋_GB2312" w:hAnsi="微软雅黑" w:eastAsia="仿宋_GB2312" w:cs="微软雅黑"/>
                <w:sz w:val="20"/>
                <w:szCs w:val="20"/>
              </w:rPr>
              <w:t>⑦</w:t>
            </w:r>
            <w:r>
              <w:rPr>
                <w:rFonts w:hint="eastAsia" w:ascii="仿宋_GB2312" w:hAnsi="仿宋" w:eastAsia="仿宋_GB2312" w:cs="仿宋"/>
                <w:sz w:val="20"/>
                <w:szCs w:val="20"/>
              </w:rPr>
              <w:t>原始凭证的取得真实有效；</w:t>
            </w:r>
          </w:p>
          <w:p>
            <w:pPr>
              <w:jc w:val="center"/>
              <w:rPr>
                <w:rFonts w:ascii="仿宋_GB2312" w:hAnsi="仿宋" w:eastAsia="仿宋_GB2312" w:cs="仿宋"/>
                <w:sz w:val="20"/>
                <w:szCs w:val="20"/>
              </w:rPr>
            </w:pPr>
            <w:r>
              <w:rPr>
                <w:rFonts w:hint="eastAsia" w:ascii="仿宋_GB2312" w:hAnsi="微软雅黑" w:eastAsia="仿宋_GB2312" w:cs="微软雅黑"/>
                <w:sz w:val="20"/>
                <w:szCs w:val="20"/>
              </w:rPr>
              <w:t>⑧</w:t>
            </w:r>
            <w:r>
              <w:rPr>
                <w:rFonts w:hint="eastAsia" w:ascii="仿宋_GB2312" w:hAnsi="仿宋" w:eastAsia="仿宋_GB2312" w:cs="仿宋"/>
                <w:sz w:val="20"/>
                <w:szCs w:val="20"/>
              </w:rPr>
              <w:t>无超范围、超预算开支；</w:t>
            </w:r>
          </w:p>
          <w:p>
            <w:pPr>
              <w:jc w:val="center"/>
              <w:rPr>
                <w:rFonts w:hint="eastAsia" w:ascii="仿宋_GB2312" w:hAnsi="仿宋" w:eastAsia="仿宋_GB2312" w:cs="仿宋"/>
                <w:sz w:val="20"/>
                <w:szCs w:val="20"/>
                <w:lang w:eastAsia="zh-CN"/>
              </w:rPr>
            </w:pPr>
            <w:r>
              <w:rPr>
                <w:rFonts w:hint="eastAsia" w:ascii="仿宋" w:hAnsi="仿宋" w:eastAsia="仿宋" w:cs="仿宋"/>
                <w:sz w:val="20"/>
                <w:szCs w:val="20"/>
              </w:rPr>
              <w:t>⑨</w:t>
            </w:r>
            <w:r>
              <w:rPr>
                <w:rFonts w:hint="eastAsia" w:ascii="仿宋_GB2312" w:hAnsi="仿宋" w:eastAsia="仿宋_GB2312" w:cs="仿宋"/>
                <w:sz w:val="20"/>
                <w:szCs w:val="20"/>
              </w:rPr>
              <w:t>无超标准发放津补贴、奖金，无用公款支付应由个人支付的款项。</w:t>
            </w:r>
          </w:p>
          <w:p>
            <w:pPr>
              <w:jc w:val="center"/>
              <w:rPr>
                <w:rFonts w:ascii="仿宋_GB2312" w:hAnsi="宋体" w:eastAsia="仿宋_GB2312" w:cs="宋体"/>
                <w:sz w:val="20"/>
                <w:szCs w:val="20"/>
              </w:rPr>
            </w:pPr>
            <w:r>
              <w:rPr>
                <w:rFonts w:hint="eastAsia" w:ascii="仿宋_GB2312" w:hAnsi="仿宋" w:eastAsia="仿宋_GB2312" w:cs="仿宋"/>
                <w:sz w:val="20"/>
                <w:szCs w:val="20"/>
              </w:rPr>
              <w:t>以上情况每出现一例不</w:t>
            </w:r>
            <w:r>
              <w:rPr>
                <w:rFonts w:hint="eastAsia" w:ascii="仿宋_GB2312" w:hAnsi="宋体" w:eastAsia="仿宋_GB2312" w:cs="宋体"/>
                <w:sz w:val="20"/>
                <w:szCs w:val="20"/>
              </w:rPr>
              <w:t>符合要求的扣2分，扣完为止。</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部门（单位）使用预算资金是否符合相关的预算财务管理制度的规定，用以反映和考核部门（单位）预算资金的规范运行情况。</w:t>
            </w:r>
          </w:p>
        </w:tc>
        <w:tc>
          <w:tcPr>
            <w:tcW w:w="617" w:type="dxa"/>
            <w:vAlign w:val="center"/>
          </w:tcPr>
          <w:p>
            <w:pPr>
              <w:jc w:val="center"/>
              <w:rPr>
                <w:rFonts w:ascii="宋体" w:hAnsi="宋体" w:eastAsia="宋体" w:cs="宋体"/>
                <w:sz w:val="24"/>
              </w:rPr>
            </w:pPr>
            <w:r>
              <w:rPr>
                <w:rFonts w:hint="eastAsia" w:ascii="宋体" w:hAnsi="宋体" w:cs="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tcPr>
          <w:p>
            <w:pPr>
              <w:rPr>
                <w:rFonts w:ascii="仿宋_GB2312" w:hAnsi="宋体" w:eastAsia="仿宋_GB2312" w:cs="宋体"/>
                <w:sz w:val="20"/>
                <w:szCs w:val="20"/>
              </w:rPr>
            </w:pPr>
          </w:p>
        </w:tc>
        <w:tc>
          <w:tcPr>
            <w:tcW w:w="429" w:type="dxa"/>
            <w:vMerge w:val="continue"/>
            <w:tcBorders>
              <w:bottom w:val="single" w:color="auto" w:sz="4" w:space="0"/>
              <w:right w:val="single" w:color="auto" w:sz="4" w:space="0"/>
            </w:tcBorders>
          </w:tcPr>
          <w:p>
            <w:pPr>
              <w:rPr>
                <w:rFonts w:ascii="仿宋_GB2312" w:hAnsi="宋体" w:eastAsia="仿宋_GB2312" w:cs="宋体"/>
                <w:sz w:val="20"/>
                <w:szCs w:val="20"/>
              </w:rPr>
            </w:pPr>
          </w:p>
        </w:tc>
        <w:tc>
          <w:tcPr>
            <w:tcW w:w="567" w:type="dxa"/>
            <w:vMerge w:val="continue"/>
            <w:tcBorders>
              <w:left w:val="single" w:color="auto" w:sz="4" w:space="0"/>
              <w:bottom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预决算信息公开性和完善性</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4</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①按规定内容公开预决算信息，1分；②按规定时限公开预决算信息，1分；③基础数据信息和会计信息资料真实、完整，1分；④基础数据信息和汇集信息资料准确，1分。</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预决算信息是指与部门预算、执行、决算、监督、绩效等管理相关的信息。</w:t>
            </w:r>
          </w:p>
        </w:tc>
        <w:tc>
          <w:tcPr>
            <w:tcW w:w="617" w:type="dxa"/>
            <w:vAlign w:val="center"/>
          </w:tcPr>
          <w:p>
            <w:pPr>
              <w:jc w:val="center"/>
              <w:rPr>
                <w:rFonts w:ascii="宋体" w:hAnsi="宋体" w:eastAsia="宋体" w:cs="宋体"/>
                <w:sz w:val="24"/>
              </w:rPr>
            </w:pPr>
            <w:r>
              <w:rPr>
                <w:rFonts w:hint="eastAsia" w:ascii="宋体" w:hAnsi="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rPr>
                <w:rFonts w:ascii="仿宋_GB2312" w:hAnsi="宋体" w:eastAsia="仿宋_GB2312" w:cs="宋体"/>
                <w:sz w:val="20"/>
                <w:szCs w:val="20"/>
              </w:rPr>
            </w:pPr>
          </w:p>
        </w:tc>
        <w:tc>
          <w:tcPr>
            <w:tcW w:w="429" w:type="dxa"/>
            <w:vMerge w:val="restart"/>
            <w:tcBorders>
              <w:top w:val="single" w:color="auto" w:sz="4" w:space="0"/>
              <w:bottom w:val="single" w:color="auto" w:sz="4" w:space="0"/>
              <w:right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20</w:t>
            </w:r>
          </w:p>
        </w:tc>
        <w:tc>
          <w:tcPr>
            <w:tcW w:w="851"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管理  制度</w:t>
            </w:r>
          </w:p>
          <w:p>
            <w:pPr>
              <w:jc w:val="center"/>
              <w:rPr>
                <w:rFonts w:ascii="仿宋_GB2312" w:hAnsi="宋体" w:eastAsia="仿宋_GB2312" w:cs="宋体"/>
                <w:sz w:val="20"/>
                <w:szCs w:val="20"/>
              </w:rPr>
            </w:pPr>
            <w:r>
              <w:rPr>
                <w:rFonts w:hint="eastAsia" w:ascii="仿宋_GB2312" w:hAnsi="宋体" w:eastAsia="仿宋_GB2312" w:cs="宋体"/>
                <w:sz w:val="20"/>
                <w:szCs w:val="20"/>
              </w:rPr>
              <w:t>健全性</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①已制定资产管理制度，1分；</w:t>
            </w:r>
          </w:p>
          <w:p>
            <w:pPr>
              <w:jc w:val="center"/>
              <w:rPr>
                <w:rFonts w:ascii="仿宋_GB2312" w:hAnsi="宋体" w:eastAsia="仿宋_GB2312" w:cs="宋体"/>
                <w:sz w:val="20"/>
                <w:szCs w:val="20"/>
              </w:rPr>
            </w:pPr>
            <w:r>
              <w:rPr>
                <w:rFonts w:hint="eastAsia" w:ascii="仿宋_GB2312" w:hAnsi="宋体" w:eastAsia="仿宋_GB2312" w:cs="宋体"/>
                <w:sz w:val="20"/>
                <w:szCs w:val="20"/>
              </w:rPr>
              <w:t>②相关资产管理制度得到有效执行，1分。</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tcPr>
          <w:p>
            <w:pPr>
              <w:rPr>
                <w:rFonts w:ascii="仿宋_GB2312" w:hAnsi="宋体" w:eastAsia="仿宋_GB2312" w:cs="宋体"/>
                <w:sz w:val="20"/>
                <w:szCs w:val="20"/>
              </w:rPr>
            </w:pPr>
            <w:r>
              <w:rPr>
                <w:rFonts w:hint="eastAsia" w:ascii="仿宋_GB2312" w:hAnsi="宋体" w:eastAsia="仿宋_GB2312" w:cs="宋体"/>
                <w:sz w:val="20"/>
                <w:szCs w:val="20"/>
              </w:rPr>
              <w:t>2</w:t>
            </w:r>
          </w:p>
        </w:tc>
        <w:tc>
          <w:tcPr>
            <w:tcW w:w="429" w:type="dxa"/>
            <w:vMerge w:val="continue"/>
            <w:tcBorders>
              <w:top w:val="single" w:color="auto" w:sz="4" w:space="0"/>
              <w:bottom w:val="single" w:color="auto" w:sz="4" w:space="0"/>
              <w:right w:val="single" w:color="auto" w:sz="4" w:space="0"/>
            </w:tcBorders>
          </w:tcPr>
          <w:p>
            <w:pPr>
              <w:rPr>
                <w:rFonts w:ascii="仿宋_GB2312" w:hAnsi="宋体" w:eastAsia="仿宋_GB2312" w:cs="宋体"/>
                <w:sz w:val="20"/>
                <w:szCs w:val="20"/>
              </w:rPr>
            </w:pPr>
          </w:p>
        </w:tc>
        <w:tc>
          <w:tcPr>
            <w:tcW w:w="567" w:type="dxa"/>
            <w:vMerge w:val="continue"/>
            <w:tcBorders>
              <w:top w:val="single" w:color="auto" w:sz="4" w:space="0"/>
              <w:left w:val="single" w:color="auto" w:sz="4" w:space="0"/>
              <w:bottom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资产  管理</w:t>
            </w:r>
          </w:p>
          <w:p>
            <w:pPr>
              <w:jc w:val="center"/>
              <w:rPr>
                <w:rFonts w:ascii="仿宋_GB2312" w:hAnsi="宋体" w:eastAsia="仿宋_GB2312" w:cs="宋体"/>
                <w:sz w:val="20"/>
                <w:szCs w:val="20"/>
              </w:rPr>
            </w:pPr>
            <w:r>
              <w:rPr>
                <w:rFonts w:hint="eastAsia" w:ascii="仿宋_GB2312" w:hAnsi="宋体" w:eastAsia="仿宋_GB2312" w:cs="宋体"/>
                <w:sz w:val="20"/>
                <w:szCs w:val="20"/>
              </w:rPr>
              <w:t>安全性</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16</w:t>
            </w:r>
          </w:p>
        </w:tc>
        <w:tc>
          <w:tcPr>
            <w:tcW w:w="3118" w:type="dxa"/>
            <w:vAlign w:val="center"/>
          </w:tcPr>
          <w:p>
            <w:pPr>
              <w:rPr>
                <w:rFonts w:ascii="仿宋_GB2312" w:hAnsi="宋体" w:eastAsia="仿宋_GB2312" w:cs="宋体"/>
                <w:sz w:val="20"/>
                <w:szCs w:val="20"/>
              </w:rPr>
            </w:pPr>
            <w:r>
              <w:rPr>
                <w:rFonts w:hint="eastAsia" w:ascii="仿宋_GB2312" w:hAnsi="宋体" w:eastAsia="仿宋_GB2312" w:cs="宋体"/>
                <w:sz w:val="20"/>
                <w:szCs w:val="20"/>
              </w:rPr>
              <w:t>①资产保存完整；②资产配置合理；③资产处置规范；④资产账务管理合规，帐实帐卡、账账、账表（决算报表等）相符；⑤资产有偿使用及处置收入及时足额上缴；</w:t>
            </w:r>
            <w:r>
              <w:rPr>
                <w:rFonts w:hint="eastAsia" w:ascii="仿宋_GB2312" w:hAnsi="仿宋" w:eastAsia="仿宋_GB2312" w:cs="仿宋"/>
                <w:sz w:val="20"/>
                <w:szCs w:val="20"/>
              </w:rPr>
              <w:t>⑥清查盘点：每年至少清查盘点一次；⑦产权明晰，权证齐全</w:t>
            </w:r>
            <w:r>
              <w:rPr>
                <w:rFonts w:hint="eastAsia" w:ascii="仿宋_GB2312" w:hAnsi="宋体" w:eastAsia="仿宋_GB2312" w:cs="宋体"/>
                <w:sz w:val="20"/>
                <w:szCs w:val="20"/>
              </w:rPr>
              <w:t>；⑧按标准购置固定资产。以上情况每出现一例不符合要求的扣2分；⑨未按时报送202</w:t>
            </w:r>
            <w:r>
              <w:rPr>
                <w:rFonts w:hint="eastAsia" w:ascii="仿宋_GB2312" w:hAnsi="宋体" w:eastAsia="仿宋_GB2312" w:cs="宋体"/>
                <w:sz w:val="20"/>
                <w:szCs w:val="20"/>
                <w:lang w:val="en-US" w:eastAsia="zh-CN"/>
              </w:rPr>
              <w:t>1</w:t>
            </w:r>
            <w:r>
              <w:rPr>
                <w:rFonts w:hint="eastAsia" w:ascii="仿宋_GB2312" w:hAnsi="宋体" w:eastAsia="仿宋_GB2312" w:cs="宋体"/>
                <w:sz w:val="20"/>
                <w:szCs w:val="20"/>
              </w:rPr>
              <w:t>年行政事业单位资产报表的，每延迟一天，扣1分，扣完为止。</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部门（单位）的资产是否保存完整，使用合规、配置合理、处置规范、收入及时足额上缴，用以反映和考核部门（单位）资产安全运行情况。</w:t>
            </w:r>
          </w:p>
        </w:tc>
        <w:tc>
          <w:tcPr>
            <w:tcW w:w="61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tcPr>
          <w:p>
            <w:pPr>
              <w:rPr>
                <w:rFonts w:ascii="仿宋_GB2312" w:hAnsi="宋体" w:eastAsia="仿宋_GB2312" w:cs="宋体"/>
                <w:sz w:val="20"/>
                <w:szCs w:val="20"/>
              </w:rPr>
            </w:pPr>
          </w:p>
        </w:tc>
        <w:tc>
          <w:tcPr>
            <w:tcW w:w="429" w:type="dxa"/>
            <w:vMerge w:val="continue"/>
            <w:tcBorders>
              <w:top w:val="single" w:color="auto" w:sz="4" w:space="0"/>
              <w:bottom w:val="single" w:color="auto" w:sz="4" w:space="0"/>
              <w:right w:val="single" w:color="auto" w:sz="4" w:space="0"/>
            </w:tcBorders>
          </w:tcPr>
          <w:p>
            <w:pPr>
              <w:rPr>
                <w:rFonts w:ascii="仿宋_GB2312" w:hAnsi="宋体" w:eastAsia="仿宋_GB2312" w:cs="宋体"/>
                <w:sz w:val="20"/>
                <w:szCs w:val="20"/>
              </w:rPr>
            </w:pPr>
          </w:p>
        </w:tc>
        <w:tc>
          <w:tcPr>
            <w:tcW w:w="567" w:type="dxa"/>
            <w:vMerge w:val="continue"/>
            <w:tcBorders>
              <w:top w:val="single" w:color="auto" w:sz="4" w:space="0"/>
              <w:left w:val="single" w:color="auto" w:sz="4" w:space="0"/>
              <w:bottom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hint="eastAsia" w:ascii="仿宋_GB2312" w:hAnsi="宋体" w:eastAsia="仿宋_GB2312" w:cs="宋体"/>
                <w:color w:val="000000" w:themeColor="text1"/>
                <w:sz w:val="20"/>
                <w:szCs w:val="20"/>
                <w:lang w:eastAsia="zh-CN"/>
              </w:rPr>
            </w:pPr>
            <w:r>
              <w:rPr>
                <w:rFonts w:hint="eastAsia" w:ascii="仿宋_GB2312" w:hAnsi="宋体" w:eastAsia="仿宋_GB2312" w:cs="宋体"/>
                <w:color w:val="000000" w:themeColor="text1"/>
                <w:sz w:val="20"/>
                <w:szCs w:val="20"/>
              </w:rPr>
              <w:t>固定  资产</w:t>
            </w:r>
          </w:p>
          <w:p>
            <w:pPr>
              <w:jc w:val="center"/>
              <w:rPr>
                <w:rFonts w:ascii="仿宋_GB2312" w:hAnsi="宋体" w:eastAsia="仿宋_GB2312" w:cs="宋体"/>
                <w:color w:val="000000" w:themeColor="text1"/>
                <w:sz w:val="20"/>
                <w:szCs w:val="20"/>
              </w:rPr>
            </w:pPr>
            <w:r>
              <w:rPr>
                <w:rFonts w:hint="eastAsia" w:ascii="仿宋_GB2312" w:hAnsi="宋体" w:eastAsia="仿宋_GB2312" w:cs="宋体"/>
                <w:color w:val="000000" w:themeColor="text1"/>
                <w:sz w:val="20"/>
                <w:szCs w:val="20"/>
              </w:rPr>
              <w:t>利用率</w:t>
            </w:r>
          </w:p>
        </w:tc>
        <w:tc>
          <w:tcPr>
            <w:tcW w:w="567" w:type="dxa"/>
            <w:vAlign w:val="center"/>
          </w:tcPr>
          <w:p>
            <w:pPr>
              <w:jc w:val="center"/>
              <w:rPr>
                <w:rFonts w:ascii="仿宋_GB2312" w:hAnsi="宋体" w:eastAsia="仿宋_GB2312" w:cs="宋体"/>
                <w:color w:val="000000" w:themeColor="text1"/>
                <w:sz w:val="20"/>
                <w:szCs w:val="20"/>
              </w:rPr>
            </w:pPr>
            <w:r>
              <w:rPr>
                <w:rFonts w:hint="eastAsia" w:ascii="仿宋_GB2312" w:hAnsi="宋体" w:eastAsia="仿宋_GB2312" w:cs="宋体"/>
                <w:color w:val="000000" w:themeColor="text1"/>
                <w:sz w:val="20"/>
                <w:szCs w:val="20"/>
              </w:rPr>
              <w:t>2</w:t>
            </w:r>
          </w:p>
        </w:tc>
        <w:tc>
          <w:tcPr>
            <w:tcW w:w="3118" w:type="dxa"/>
            <w:vAlign w:val="center"/>
          </w:tcPr>
          <w:p>
            <w:pPr>
              <w:jc w:val="center"/>
              <w:rPr>
                <w:rFonts w:ascii="仿宋_GB2312" w:hAnsi="宋体" w:eastAsia="仿宋_GB2312" w:cs="宋体"/>
                <w:color w:val="000000" w:themeColor="text1"/>
                <w:sz w:val="20"/>
                <w:szCs w:val="20"/>
              </w:rPr>
            </w:pPr>
            <w:r>
              <w:rPr>
                <w:rFonts w:hint="eastAsia" w:ascii="仿宋_GB2312" w:hAnsi="宋体" w:eastAsia="仿宋_GB2312" w:cs="宋体"/>
                <w:color w:val="000000" w:themeColor="text1"/>
                <w:sz w:val="20"/>
                <w:szCs w:val="20"/>
              </w:rPr>
              <w:t>固定资产利用率,100%,2分,每低于一个百分点扣0.2分，扣完为止。</w:t>
            </w:r>
          </w:p>
        </w:tc>
        <w:tc>
          <w:tcPr>
            <w:tcW w:w="3472" w:type="dxa"/>
            <w:vAlign w:val="center"/>
          </w:tcPr>
          <w:p>
            <w:pPr>
              <w:jc w:val="center"/>
              <w:rPr>
                <w:rFonts w:ascii="仿宋_GB2312" w:hAnsi="宋体" w:eastAsia="仿宋_GB2312" w:cs="宋体"/>
                <w:color w:val="000000" w:themeColor="text1"/>
                <w:sz w:val="20"/>
                <w:szCs w:val="20"/>
              </w:rPr>
            </w:pPr>
            <w:r>
              <w:rPr>
                <w:rFonts w:hint="eastAsia" w:ascii="仿宋_GB2312" w:hAnsi="宋体" w:eastAsia="仿宋_GB2312" w:cs="宋体"/>
                <w:color w:val="000000" w:themeColor="text1"/>
                <w:sz w:val="20"/>
                <w:szCs w:val="20"/>
              </w:rPr>
              <w:t>固定资产利用率=（实际在用固定资产总额/所有固定资产总额）×100%</w:t>
            </w:r>
          </w:p>
        </w:tc>
        <w:tc>
          <w:tcPr>
            <w:tcW w:w="617" w:type="dxa"/>
            <w:vAlign w:val="center"/>
          </w:tcPr>
          <w:p>
            <w:pPr>
              <w:jc w:val="center"/>
              <w:rPr>
                <w:rFonts w:ascii="仿宋_GB2312" w:hAnsi="宋体" w:eastAsia="仿宋_GB2312" w:cs="宋体"/>
                <w:color w:val="000000" w:themeColor="text1"/>
                <w:sz w:val="20"/>
                <w:szCs w:val="20"/>
              </w:rPr>
            </w:pPr>
            <w:r>
              <w:rPr>
                <w:rFonts w:hint="eastAsia" w:ascii="仿宋_GB2312" w:hAnsi="宋体" w:eastAsia="仿宋_GB2312" w:cs="宋体"/>
                <w:color w:val="000000" w:themeColor="text1"/>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tcPr>
          <w:p>
            <w:pPr>
              <w:rPr>
                <w:rFonts w:ascii="仿宋_GB2312" w:hAnsi="宋体" w:eastAsia="仿宋_GB2312" w:cs="宋体"/>
                <w:sz w:val="20"/>
                <w:szCs w:val="20"/>
              </w:rPr>
            </w:pPr>
          </w:p>
        </w:tc>
        <w:tc>
          <w:tcPr>
            <w:tcW w:w="429" w:type="dxa"/>
            <w:vMerge w:val="restart"/>
            <w:tcBorders>
              <w:right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绩效管理</w:t>
            </w:r>
          </w:p>
        </w:tc>
        <w:tc>
          <w:tcPr>
            <w:tcW w:w="567" w:type="dxa"/>
            <w:vMerge w:val="restart"/>
            <w:tcBorders>
              <w:top w:val="single" w:color="auto" w:sz="4" w:space="0"/>
              <w:left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17</w:t>
            </w: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目标 管理</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8</w:t>
            </w:r>
          </w:p>
        </w:tc>
        <w:tc>
          <w:tcPr>
            <w:tcW w:w="3118" w:type="dxa"/>
            <w:vAlign w:val="center"/>
          </w:tcPr>
          <w:p>
            <w:pPr>
              <w:rPr>
                <w:rFonts w:ascii="仿宋_GB2312" w:hAnsi="宋体" w:eastAsia="仿宋_GB2312" w:cs="宋体"/>
                <w:sz w:val="20"/>
                <w:szCs w:val="20"/>
              </w:rPr>
            </w:pPr>
            <w:r>
              <w:rPr>
                <w:rFonts w:hint="eastAsia" w:ascii="仿宋_GB2312" w:hAnsi="宋体" w:eastAsia="仿宋_GB2312" w:cs="宋体"/>
                <w:sz w:val="20"/>
                <w:szCs w:val="20"/>
              </w:rPr>
              <w:t>①单位所有专项、项目资金均实行目标管理的，各2分,每少一个专项、项目的，扣1分，扣完为止；②编制并报送202</w:t>
            </w:r>
            <w:r>
              <w:rPr>
                <w:rFonts w:hint="eastAsia" w:ascii="仿宋_GB2312" w:hAnsi="宋体" w:eastAsia="仿宋_GB2312" w:cs="宋体"/>
                <w:sz w:val="20"/>
                <w:szCs w:val="20"/>
                <w:lang w:val="en-US" w:eastAsia="zh-CN"/>
              </w:rPr>
              <w:t>1</w:t>
            </w:r>
            <w:r>
              <w:rPr>
                <w:rFonts w:hint="eastAsia" w:ascii="仿宋_GB2312" w:hAnsi="宋体" w:eastAsia="仿宋_GB2312" w:cs="宋体"/>
                <w:sz w:val="20"/>
                <w:szCs w:val="20"/>
              </w:rPr>
              <w:t>年度部门整体支出绩效目标的，2分；③在规定时间内报送、公开以上目标的，2分，否则不得分。</w:t>
            </w:r>
          </w:p>
        </w:tc>
        <w:tc>
          <w:tcPr>
            <w:tcW w:w="3472" w:type="dxa"/>
            <w:vAlign w:val="center"/>
          </w:tcPr>
          <w:p>
            <w:pPr>
              <w:jc w:val="center"/>
              <w:rPr>
                <w:rFonts w:ascii="仿宋_GB2312" w:hAnsi="宋体" w:eastAsia="仿宋_GB2312" w:cs="宋体"/>
                <w:sz w:val="20"/>
                <w:szCs w:val="20"/>
              </w:rPr>
            </w:pPr>
          </w:p>
        </w:tc>
        <w:tc>
          <w:tcPr>
            <w:tcW w:w="61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tcPr>
          <w:p>
            <w:pPr>
              <w:rPr>
                <w:rFonts w:ascii="仿宋_GB2312" w:hAnsi="宋体" w:eastAsia="仿宋_GB2312" w:cs="宋体"/>
                <w:sz w:val="20"/>
                <w:szCs w:val="20"/>
              </w:rPr>
            </w:pPr>
          </w:p>
        </w:tc>
        <w:tc>
          <w:tcPr>
            <w:tcW w:w="429" w:type="dxa"/>
            <w:vMerge w:val="continue"/>
            <w:tcBorders>
              <w:bottom w:val="single" w:color="auto" w:sz="4" w:space="0"/>
              <w:right w:val="single" w:color="auto" w:sz="4" w:space="0"/>
            </w:tcBorders>
          </w:tcPr>
          <w:p>
            <w:pPr>
              <w:rPr>
                <w:rFonts w:ascii="仿宋_GB2312" w:hAnsi="宋体" w:eastAsia="仿宋_GB2312" w:cs="宋体"/>
                <w:sz w:val="20"/>
                <w:szCs w:val="20"/>
              </w:rPr>
            </w:pPr>
          </w:p>
        </w:tc>
        <w:tc>
          <w:tcPr>
            <w:tcW w:w="567" w:type="dxa"/>
            <w:vMerge w:val="continue"/>
            <w:tcBorders>
              <w:left w:val="single" w:color="auto" w:sz="4" w:space="0"/>
              <w:bottom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绩效 评价</w:t>
            </w:r>
          </w:p>
          <w:p>
            <w:pPr>
              <w:jc w:val="center"/>
              <w:rPr>
                <w:rFonts w:ascii="仿宋_GB2312" w:hAnsi="宋体" w:eastAsia="仿宋_GB2312" w:cs="宋体"/>
                <w:sz w:val="20"/>
                <w:szCs w:val="20"/>
              </w:rPr>
            </w:pPr>
            <w:r>
              <w:rPr>
                <w:rFonts w:hint="eastAsia" w:ascii="仿宋_GB2312" w:hAnsi="宋体" w:eastAsia="仿宋_GB2312" w:cs="宋体"/>
                <w:sz w:val="20"/>
                <w:szCs w:val="20"/>
              </w:rPr>
              <w:t>管理</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7</w:t>
            </w:r>
          </w:p>
        </w:tc>
        <w:tc>
          <w:tcPr>
            <w:tcW w:w="3118" w:type="dxa"/>
            <w:vAlign w:val="center"/>
          </w:tcPr>
          <w:p>
            <w:pPr>
              <w:rPr>
                <w:rFonts w:ascii="仿宋_GB2312" w:hAnsi="宋体" w:eastAsia="仿宋_GB2312" w:cs="宋体"/>
                <w:sz w:val="20"/>
                <w:szCs w:val="20"/>
              </w:rPr>
            </w:pPr>
            <w:r>
              <w:rPr>
                <w:rFonts w:hint="eastAsia" w:ascii="仿宋_GB2312" w:hAnsi="宋体" w:eastAsia="仿宋_GB2312" w:cs="宋体"/>
                <w:sz w:val="20"/>
                <w:szCs w:val="20"/>
              </w:rPr>
              <w:t>①开展2020年度专项资金绩效自评的，2分，每少一个专项资金的自评扣1分，扣完为止；</w:t>
            </w:r>
            <w:r>
              <w:rPr>
                <w:rFonts w:hint="eastAsia" w:ascii="仿宋" w:hAnsi="仿宋" w:eastAsia="仿宋" w:cs="宋体"/>
                <w:sz w:val="20"/>
                <w:szCs w:val="20"/>
              </w:rPr>
              <w:t>②</w:t>
            </w:r>
            <w:r>
              <w:rPr>
                <w:rFonts w:hint="eastAsia" w:ascii="仿宋_GB2312" w:hAnsi="宋体" w:eastAsia="仿宋_GB2312" w:cs="宋体"/>
                <w:sz w:val="20"/>
                <w:szCs w:val="20"/>
              </w:rPr>
              <w:t>开展2020年度已完工项目绩效自评的，2分，每少一个项目扣1分，扣完为止；</w:t>
            </w:r>
            <w:r>
              <w:rPr>
                <w:rFonts w:hint="eastAsia" w:ascii="仿宋" w:hAnsi="仿宋" w:eastAsia="仿宋" w:cs="宋体"/>
                <w:sz w:val="20"/>
                <w:szCs w:val="20"/>
              </w:rPr>
              <w:t>③</w:t>
            </w:r>
            <w:r>
              <w:rPr>
                <w:rFonts w:hint="eastAsia" w:ascii="仿宋_GB2312" w:hAnsi="宋体" w:eastAsia="仿宋_GB2312" w:cs="宋体"/>
                <w:sz w:val="20"/>
                <w:szCs w:val="20"/>
              </w:rPr>
              <w:t>开展202</w:t>
            </w:r>
            <w:r>
              <w:rPr>
                <w:rFonts w:hint="eastAsia" w:ascii="仿宋_GB2312" w:hAnsi="宋体" w:eastAsia="仿宋_GB2312" w:cs="宋体"/>
                <w:sz w:val="20"/>
                <w:szCs w:val="20"/>
                <w:lang w:val="en-US" w:eastAsia="zh-CN"/>
              </w:rPr>
              <w:t>1</w:t>
            </w:r>
            <w:r>
              <w:rPr>
                <w:rFonts w:hint="eastAsia" w:ascii="仿宋_GB2312" w:hAnsi="宋体" w:eastAsia="仿宋_GB2312" w:cs="宋体"/>
                <w:sz w:val="20"/>
                <w:szCs w:val="20"/>
              </w:rPr>
              <w:t>年度部门整体支出绩效自评的，1分；</w:t>
            </w:r>
            <w:r>
              <w:rPr>
                <w:rFonts w:hint="eastAsia" w:ascii="仿宋" w:hAnsi="仿宋" w:eastAsia="仿宋" w:cs="宋体"/>
                <w:sz w:val="20"/>
                <w:szCs w:val="20"/>
              </w:rPr>
              <w:t>④</w:t>
            </w:r>
            <w:r>
              <w:rPr>
                <w:rFonts w:hint="eastAsia" w:ascii="仿宋_GB2312" w:hAnsi="宋体" w:eastAsia="仿宋_GB2312" w:cs="宋体"/>
                <w:sz w:val="20"/>
                <w:szCs w:val="20"/>
              </w:rPr>
              <w:t>在规定时间内报送、公开以上自评报告材料的，2分。</w:t>
            </w:r>
          </w:p>
        </w:tc>
        <w:tc>
          <w:tcPr>
            <w:tcW w:w="3472" w:type="dxa"/>
            <w:vAlign w:val="center"/>
          </w:tcPr>
          <w:p>
            <w:pPr>
              <w:jc w:val="center"/>
              <w:rPr>
                <w:rFonts w:ascii="仿宋_GB2312" w:hAnsi="宋体" w:eastAsia="仿宋_GB2312" w:cs="宋体"/>
                <w:sz w:val="20"/>
                <w:szCs w:val="20"/>
              </w:rPr>
            </w:pPr>
          </w:p>
        </w:tc>
        <w:tc>
          <w:tcPr>
            <w:tcW w:w="61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tcPr>
          <w:p>
            <w:pPr>
              <w:rPr>
                <w:rFonts w:ascii="仿宋_GB2312" w:hAnsi="宋体" w:eastAsia="仿宋_GB2312" w:cs="宋体"/>
                <w:sz w:val="20"/>
                <w:szCs w:val="20"/>
              </w:rPr>
            </w:pPr>
          </w:p>
        </w:tc>
        <w:tc>
          <w:tcPr>
            <w:tcW w:w="429" w:type="dxa"/>
            <w:tcBorders>
              <w:top w:val="nil"/>
              <w:bottom w:val="single" w:color="auto" w:sz="4" w:space="0"/>
              <w:right w:val="single" w:color="auto" w:sz="4" w:space="0"/>
            </w:tcBorders>
          </w:tcPr>
          <w:p>
            <w:pPr>
              <w:rPr>
                <w:rFonts w:ascii="仿宋_GB2312" w:hAnsi="宋体" w:eastAsia="仿宋_GB2312" w:cs="宋体"/>
                <w:sz w:val="20"/>
                <w:szCs w:val="20"/>
              </w:rPr>
            </w:pPr>
          </w:p>
        </w:tc>
        <w:tc>
          <w:tcPr>
            <w:tcW w:w="567" w:type="dxa"/>
            <w:tcBorders>
              <w:top w:val="nil"/>
              <w:left w:val="single" w:color="auto" w:sz="4" w:space="0"/>
              <w:bottom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评价 结果 运用</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 w:hAnsi="仿宋" w:eastAsia="仿宋" w:cs="宋体"/>
                <w:sz w:val="20"/>
                <w:szCs w:val="20"/>
              </w:rPr>
            </w:pPr>
            <w:r>
              <w:rPr>
                <w:rFonts w:hint="eastAsia" w:ascii="仿宋_GB2312" w:hAnsi="宋体" w:eastAsia="仿宋_GB2312" w:cs="宋体"/>
                <w:sz w:val="20"/>
                <w:szCs w:val="20"/>
              </w:rPr>
              <w:t>根据202</w:t>
            </w:r>
            <w:r>
              <w:rPr>
                <w:rFonts w:hint="eastAsia" w:ascii="仿宋_GB2312" w:hAnsi="宋体" w:eastAsia="仿宋_GB2312" w:cs="宋体"/>
                <w:sz w:val="20"/>
                <w:szCs w:val="20"/>
                <w:lang w:val="en-US" w:eastAsia="zh-CN"/>
              </w:rPr>
              <w:t>1</w:t>
            </w:r>
            <w:r>
              <w:rPr>
                <w:rFonts w:hint="eastAsia" w:ascii="仿宋_GB2312" w:hAnsi="宋体" w:eastAsia="仿宋_GB2312" w:cs="宋体"/>
                <w:sz w:val="20"/>
                <w:szCs w:val="20"/>
              </w:rPr>
              <w:t>年度财政重点绩效评价和单位自评情况，向财政报送整改结果并整改到位的，2分，否则不得分。</w:t>
            </w:r>
          </w:p>
        </w:tc>
        <w:tc>
          <w:tcPr>
            <w:tcW w:w="3472" w:type="dxa"/>
            <w:vAlign w:val="center"/>
          </w:tcPr>
          <w:p>
            <w:pPr>
              <w:jc w:val="center"/>
              <w:rPr>
                <w:rFonts w:ascii="仿宋_GB2312" w:hAnsi="宋体" w:eastAsia="仿宋_GB2312" w:cs="宋体"/>
                <w:sz w:val="20"/>
                <w:szCs w:val="20"/>
              </w:rPr>
            </w:pPr>
          </w:p>
        </w:tc>
        <w:tc>
          <w:tcPr>
            <w:tcW w:w="61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tcPr>
          <w:p>
            <w:pPr>
              <w:jc w:val="center"/>
              <w:rPr>
                <w:rFonts w:ascii="仿宋_GB2312" w:hAnsi="宋体" w:eastAsia="仿宋_GB2312" w:cs="宋体"/>
                <w:sz w:val="20"/>
                <w:szCs w:val="20"/>
              </w:rPr>
            </w:pPr>
            <w:r>
              <w:rPr>
                <w:rFonts w:hint="eastAsia" w:ascii="仿宋_GB2312" w:hAnsi="宋体" w:eastAsia="仿宋_GB2312" w:cs="宋体"/>
                <w:sz w:val="20"/>
                <w:szCs w:val="20"/>
              </w:rPr>
              <w:t>产   出</w:t>
            </w:r>
          </w:p>
        </w:tc>
        <w:tc>
          <w:tcPr>
            <w:tcW w:w="429" w:type="dxa"/>
            <w:vMerge w:val="restart"/>
            <w:tcBorders>
              <w:top w:val="single" w:color="auto" w:sz="4" w:space="0"/>
              <w:right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职责履行</w:t>
            </w:r>
          </w:p>
        </w:tc>
        <w:tc>
          <w:tcPr>
            <w:tcW w:w="567" w:type="dxa"/>
            <w:vMerge w:val="restart"/>
            <w:tcBorders>
              <w:top w:val="single" w:color="auto" w:sz="4" w:space="0"/>
              <w:left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5</w:t>
            </w: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重点　工作　完成率</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该项得分=重点工作完成率×2</w:t>
            </w:r>
          </w:p>
        </w:tc>
        <w:tc>
          <w:tcPr>
            <w:tcW w:w="3472" w:type="dxa"/>
            <w:vAlign w:val="center"/>
          </w:tcPr>
          <w:p>
            <w:pPr>
              <w:autoSpaceDN w:val="0"/>
              <w:jc w:val="center"/>
              <w:textAlignment w:val="center"/>
              <w:rPr>
                <w:rFonts w:ascii="仿宋_GB2312" w:hAnsi="宋体" w:eastAsia="仿宋_GB2312" w:cs="宋体"/>
                <w:sz w:val="20"/>
                <w:szCs w:val="20"/>
              </w:rPr>
            </w:pPr>
            <w:r>
              <w:rPr>
                <w:rFonts w:hint="eastAsia" w:ascii="仿宋_GB2312" w:hAnsi="宋体" w:eastAsia="仿宋_GB2312" w:cs="宋体"/>
                <w:sz w:val="20"/>
                <w:szCs w:val="20"/>
              </w:rPr>
              <w:t>重点工作为市政府确定的为民办实事和部门重点工程与重点工作。</w:t>
            </w:r>
          </w:p>
        </w:tc>
        <w:tc>
          <w:tcPr>
            <w:tcW w:w="61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tcPr>
          <w:p>
            <w:pPr>
              <w:jc w:val="center"/>
              <w:rPr>
                <w:rFonts w:ascii="仿宋_GB2312" w:hAnsi="宋体" w:eastAsia="仿宋_GB2312" w:cs="宋体"/>
                <w:sz w:val="20"/>
                <w:szCs w:val="20"/>
              </w:rPr>
            </w:pPr>
          </w:p>
        </w:tc>
        <w:tc>
          <w:tcPr>
            <w:tcW w:w="429" w:type="dxa"/>
            <w:vMerge w:val="continue"/>
            <w:tcBorders>
              <w:bottom w:val="single" w:color="auto" w:sz="4" w:space="0"/>
              <w:right w:val="single" w:color="auto" w:sz="4" w:space="0"/>
            </w:tcBorders>
          </w:tcPr>
          <w:p>
            <w:pPr>
              <w:jc w:val="center"/>
              <w:rPr>
                <w:rFonts w:ascii="仿宋_GB2312" w:hAnsi="宋体" w:eastAsia="仿宋_GB2312" w:cs="宋体"/>
                <w:sz w:val="20"/>
                <w:szCs w:val="20"/>
              </w:rPr>
            </w:pPr>
          </w:p>
        </w:tc>
        <w:tc>
          <w:tcPr>
            <w:tcW w:w="567" w:type="dxa"/>
            <w:vMerge w:val="continue"/>
            <w:tcBorders>
              <w:left w:val="single" w:color="auto" w:sz="4" w:space="0"/>
              <w:bottom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工作</w:t>
            </w:r>
          </w:p>
          <w:p>
            <w:pPr>
              <w:jc w:val="center"/>
              <w:rPr>
                <w:rFonts w:ascii="仿宋_GB2312" w:hAnsi="宋体" w:eastAsia="仿宋_GB2312" w:cs="宋体"/>
                <w:sz w:val="20"/>
                <w:szCs w:val="20"/>
              </w:rPr>
            </w:pPr>
            <w:r>
              <w:rPr>
                <w:rFonts w:hint="eastAsia" w:ascii="仿宋_GB2312" w:hAnsi="宋体" w:eastAsia="仿宋_GB2312" w:cs="宋体"/>
                <w:sz w:val="20"/>
                <w:szCs w:val="20"/>
              </w:rPr>
              <w:t>质量</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3</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以绩效考核评估结果为标准，优秀，计3分；良好，2分；合格，1分；不合格，0分。</w:t>
            </w:r>
          </w:p>
        </w:tc>
        <w:tc>
          <w:tcPr>
            <w:tcW w:w="3472" w:type="dxa"/>
            <w:vAlign w:val="center"/>
          </w:tcPr>
          <w:p>
            <w:pPr>
              <w:autoSpaceDN w:val="0"/>
              <w:jc w:val="center"/>
              <w:textAlignment w:val="center"/>
              <w:rPr>
                <w:rFonts w:ascii="仿宋_GB2312" w:hAnsi="宋体" w:eastAsia="仿宋_GB2312" w:cs="宋体"/>
                <w:sz w:val="20"/>
                <w:szCs w:val="20"/>
              </w:rPr>
            </w:pPr>
          </w:p>
        </w:tc>
        <w:tc>
          <w:tcPr>
            <w:tcW w:w="61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vAlign w:val="center"/>
          </w:tcPr>
          <w:p>
            <w:pPr>
              <w:spacing w:before="240"/>
              <w:jc w:val="center"/>
              <w:rPr>
                <w:rFonts w:ascii="仿宋_GB2312" w:hAnsi="宋体" w:eastAsia="仿宋_GB2312" w:cs="宋体"/>
                <w:sz w:val="20"/>
                <w:szCs w:val="20"/>
              </w:rPr>
            </w:pPr>
            <w:r>
              <w:rPr>
                <w:rFonts w:hint="eastAsia" w:ascii="仿宋_GB2312" w:hAnsi="宋体" w:eastAsia="仿宋_GB2312" w:cs="宋体"/>
                <w:sz w:val="20"/>
                <w:szCs w:val="20"/>
              </w:rPr>
              <w:t>效  果</w:t>
            </w:r>
          </w:p>
        </w:tc>
        <w:tc>
          <w:tcPr>
            <w:tcW w:w="429" w:type="dxa"/>
            <w:vMerge w:val="restart"/>
            <w:tcBorders>
              <w:top w:val="single" w:color="auto" w:sz="4" w:space="0"/>
              <w:bottom w:val="single" w:color="auto" w:sz="4" w:space="0"/>
            </w:tcBorders>
            <w:vAlign w:val="center"/>
          </w:tcPr>
          <w:p>
            <w:pPr>
              <w:spacing w:before="240"/>
              <w:jc w:val="center"/>
              <w:rPr>
                <w:rFonts w:ascii="仿宋_GB2312" w:hAnsi="宋体" w:eastAsia="仿宋_GB2312" w:cs="宋体"/>
                <w:sz w:val="20"/>
                <w:szCs w:val="20"/>
              </w:rPr>
            </w:pPr>
            <w:r>
              <w:rPr>
                <w:rFonts w:hint="eastAsia" w:ascii="仿宋_GB2312" w:hAnsi="宋体" w:eastAsia="仿宋_GB2312" w:cs="宋体"/>
                <w:sz w:val="20"/>
                <w:szCs w:val="20"/>
              </w:rPr>
              <w:t>履职效益</w:t>
            </w:r>
          </w:p>
        </w:tc>
        <w:tc>
          <w:tcPr>
            <w:tcW w:w="567" w:type="dxa"/>
            <w:vMerge w:val="restart"/>
            <w:tcBorders>
              <w:top w:val="single" w:color="auto" w:sz="4" w:space="0"/>
              <w:bottom w:val="single" w:color="auto" w:sz="4" w:space="0"/>
            </w:tcBorders>
            <w:vAlign w:val="center"/>
          </w:tcPr>
          <w:p>
            <w:pPr>
              <w:spacing w:before="240"/>
              <w:jc w:val="center"/>
              <w:rPr>
                <w:rFonts w:ascii="仿宋_GB2312" w:hAnsi="宋体" w:eastAsia="仿宋_GB2312" w:cs="宋体"/>
                <w:sz w:val="20"/>
                <w:szCs w:val="20"/>
              </w:rPr>
            </w:pPr>
            <w:r>
              <w:rPr>
                <w:rFonts w:hint="eastAsia" w:ascii="仿宋_GB2312" w:hAnsi="宋体" w:eastAsia="仿宋_GB2312" w:cs="宋体"/>
                <w:sz w:val="20"/>
                <w:szCs w:val="20"/>
              </w:rPr>
              <w:t>4</w:t>
            </w:r>
          </w:p>
        </w:tc>
        <w:tc>
          <w:tcPr>
            <w:tcW w:w="851" w:type="dxa"/>
            <w:vAlign w:val="center"/>
          </w:tcPr>
          <w:p>
            <w:pPr>
              <w:spacing w:before="240"/>
              <w:jc w:val="center"/>
              <w:rPr>
                <w:rFonts w:ascii="仿宋_GB2312" w:hAnsi="宋体" w:eastAsia="仿宋_GB2312" w:cs="宋体"/>
                <w:sz w:val="20"/>
                <w:szCs w:val="20"/>
              </w:rPr>
            </w:pPr>
            <w:r>
              <w:rPr>
                <w:rFonts w:hint="eastAsia" w:ascii="仿宋_GB2312" w:hAnsi="宋体" w:eastAsia="仿宋_GB2312" w:cs="宋体"/>
                <w:sz w:val="20"/>
                <w:szCs w:val="20"/>
              </w:rPr>
              <w:t>经济  效益</w:t>
            </w:r>
          </w:p>
        </w:tc>
        <w:tc>
          <w:tcPr>
            <w:tcW w:w="567" w:type="dxa"/>
            <w:vMerge w:val="restart"/>
            <w:vAlign w:val="center"/>
          </w:tcPr>
          <w:p>
            <w:pPr>
              <w:spacing w:before="240"/>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6590" w:type="dxa"/>
            <w:gridSpan w:val="2"/>
            <w:vMerge w:val="restart"/>
            <w:vAlign w:val="center"/>
          </w:tcPr>
          <w:p>
            <w:pPr>
              <w:spacing w:before="240"/>
              <w:jc w:val="center"/>
              <w:rPr>
                <w:rFonts w:ascii="仿宋_GB2312" w:hAnsi="宋体" w:eastAsia="仿宋_GB2312" w:cs="宋体"/>
                <w:sz w:val="20"/>
                <w:szCs w:val="20"/>
              </w:rPr>
            </w:pPr>
            <w:r>
              <w:rPr>
                <w:rFonts w:hint="eastAsia" w:ascii="仿宋_GB2312" w:hAnsi="宋体" w:eastAsia="仿宋_GB2312" w:cs="宋体"/>
                <w:sz w:val="20"/>
                <w:szCs w:val="20"/>
              </w:rPr>
              <w:t>此三项指标可根据部门实际并结合2021年度部门整体支出绩效目标设立情况有选择的进行评价。</w:t>
            </w:r>
          </w:p>
        </w:tc>
        <w:tc>
          <w:tcPr>
            <w:tcW w:w="617" w:type="dxa"/>
            <w:vMerge w:val="restart"/>
            <w:vAlign w:val="center"/>
          </w:tcPr>
          <w:p>
            <w:pPr>
              <w:spacing w:before="240"/>
              <w:jc w:val="center"/>
              <w:rPr>
                <w:rFonts w:ascii="仿宋_GB2312" w:hAnsi="宋体" w:eastAsia="仿宋_GB2312" w:cs="宋体"/>
                <w:sz w:val="20"/>
                <w:szCs w:val="20"/>
              </w:rPr>
            </w:pPr>
            <w:r>
              <w:rPr>
                <w:rFonts w:hint="eastAsia" w:ascii="仿宋_GB2312" w:hAnsi="宋体" w:eastAsia="仿宋_GB2312" w:cs="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spacing w:before="240"/>
              <w:rPr>
                <w:rFonts w:ascii="仿宋_GB2312" w:hAnsi="宋体" w:eastAsia="仿宋_GB2312" w:cs="宋体"/>
                <w:sz w:val="20"/>
                <w:szCs w:val="20"/>
              </w:rPr>
            </w:pPr>
          </w:p>
        </w:tc>
        <w:tc>
          <w:tcPr>
            <w:tcW w:w="429" w:type="dxa"/>
            <w:vMerge w:val="continue"/>
            <w:tcBorders>
              <w:top w:val="single" w:color="auto" w:sz="4" w:space="0"/>
              <w:bottom w:val="single" w:color="auto" w:sz="4" w:space="0"/>
            </w:tcBorders>
            <w:vAlign w:val="center"/>
          </w:tcPr>
          <w:p>
            <w:pPr>
              <w:spacing w:before="240"/>
              <w:rPr>
                <w:rFonts w:ascii="仿宋_GB2312" w:hAnsi="宋体" w:eastAsia="仿宋_GB2312" w:cs="宋体"/>
                <w:sz w:val="20"/>
                <w:szCs w:val="20"/>
              </w:rPr>
            </w:pPr>
          </w:p>
        </w:tc>
        <w:tc>
          <w:tcPr>
            <w:tcW w:w="567" w:type="dxa"/>
            <w:vMerge w:val="continue"/>
            <w:tcBorders>
              <w:top w:val="single" w:color="auto" w:sz="4" w:space="0"/>
              <w:bottom w:val="single" w:color="auto" w:sz="4" w:space="0"/>
            </w:tcBorders>
            <w:vAlign w:val="center"/>
          </w:tcPr>
          <w:p>
            <w:pPr>
              <w:spacing w:before="240"/>
              <w:jc w:val="center"/>
              <w:rPr>
                <w:rFonts w:ascii="仿宋_GB2312" w:hAnsi="宋体" w:eastAsia="仿宋_GB2312" w:cs="宋体"/>
                <w:sz w:val="20"/>
                <w:szCs w:val="20"/>
              </w:rPr>
            </w:pPr>
          </w:p>
        </w:tc>
        <w:tc>
          <w:tcPr>
            <w:tcW w:w="851" w:type="dxa"/>
            <w:vAlign w:val="center"/>
          </w:tcPr>
          <w:p>
            <w:pPr>
              <w:spacing w:before="240"/>
              <w:jc w:val="center"/>
              <w:rPr>
                <w:rFonts w:ascii="仿宋_GB2312" w:hAnsi="宋体" w:eastAsia="仿宋_GB2312" w:cs="宋体"/>
                <w:sz w:val="20"/>
                <w:szCs w:val="20"/>
              </w:rPr>
            </w:pPr>
            <w:r>
              <w:rPr>
                <w:rFonts w:hint="eastAsia" w:ascii="仿宋_GB2312" w:hAnsi="宋体" w:eastAsia="仿宋_GB2312" w:cs="宋体"/>
                <w:sz w:val="20"/>
                <w:szCs w:val="20"/>
              </w:rPr>
              <w:t>社会  效益</w:t>
            </w:r>
          </w:p>
        </w:tc>
        <w:tc>
          <w:tcPr>
            <w:tcW w:w="567" w:type="dxa"/>
            <w:vMerge w:val="continue"/>
            <w:vAlign w:val="center"/>
          </w:tcPr>
          <w:p>
            <w:pPr>
              <w:spacing w:before="240"/>
              <w:jc w:val="center"/>
              <w:rPr>
                <w:rFonts w:ascii="仿宋_GB2312" w:hAnsi="宋体" w:eastAsia="仿宋_GB2312" w:cs="宋体"/>
                <w:sz w:val="20"/>
                <w:szCs w:val="20"/>
              </w:rPr>
            </w:pPr>
          </w:p>
        </w:tc>
        <w:tc>
          <w:tcPr>
            <w:tcW w:w="6590" w:type="dxa"/>
            <w:gridSpan w:val="2"/>
            <w:vMerge w:val="continue"/>
            <w:vAlign w:val="center"/>
          </w:tcPr>
          <w:p>
            <w:pPr>
              <w:spacing w:before="240"/>
              <w:jc w:val="center"/>
              <w:rPr>
                <w:rFonts w:ascii="仿宋_GB2312" w:hAnsi="宋体" w:eastAsia="仿宋_GB2312" w:cs="宋体"/>
                <w:sz w:val="20"/>
                <w:szCs w:val="20"/>
              </w:rPr>
            </w:pPr>
          </w:p>
        </w:tc>
        <w:tc>
          <w:tcPr>
            <w:tcW w:w="617" w:type="dxa"/>
            <w:vMerge w:val="continue"/>
            <w:vAlign w:val="center"/>
          </w:tcPr>
          <w:p>
            <w:pPr>
              <w:spacing w:before="240"/>
              <w:jc w:val="center"/>
              <w:rPr>
                <w:rFonts w:ascii="仿宋_GB2312" w:hAnsi="宋体" w:eastAsia="仿宋_GB2312"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spacing w:before="240"/>
              <w:rPr>
                <w:rFonts w:ascii="仿宋_GB2312" w:hAnsi="宋体" w:eastAsia="仿宋_GB2312" w:cs="宋体"/>
                <w:sz w:val="20"/>
                <w:szCs w:val="20"/>
              </w:rPr>
            </w:pPr>
          </w:p>
        </w:tc>
        <w:tc>
          <w:tcPr>
            <w:tcW w:w="429" w:type="dxa"/>
            <w:vMerge w:val="continue"/>
            <w:tcBorders>
              <w:top w:val="single" w:color="auto" w:sz="4" w:space="0"/>
              <w:bottom w:val="single" w:color="auto" w:sz="4" w:space="0"/>
            </w:tcBorders>
            <w:vAlign w:val="center"/>
          </w:tcPr>
          <w:p>
            <w:pPr>
              <w:spacing w:before="240"/>
              <w:rPr>
                <w:rFonts w:ascii="仿宋_GB2312" w:hAnsi="宋体" w:eastAsia="仿宋_GB2312" w:cs="宋体"/>
                <w:sz w:val="20"/>
                <w:szCs w:val="20"/>
              </w:rPr>
            </w:pPr>
          </w:p>
        </w:tc>
        <w:tc>
          <w:tcPr>
            <w:tcW w:w="567" w:type="dxa"/>
            <w:vMerge w:val="continue"/>
            <w:tcBorders>
              <w:top w:val="single" w:color="auto" w:sz="4" w:space="0"/>
              <w:bottom w:val="single" w:color="auto" w:sz="4" w:space="0"/>
            </w:tcBorders>
            <w:vAlign w:val="center"/>
          </w:tcPr>
          <w:p>
            <w:pPr>
              <w:spacing w:before="240"/>
              <w:jc w:val="center"/>
              <w:rPr>
                <w:rFonts w:ascii="仿宋_GB2312" w:hAnsi="宋体" w:eastAsia="仿宋_GB2312" w:cs="宋体"/>
                <w:sz w:val="20"/>
                <w:szCs w:val="20"/>
              </w:rPr>
            </w:pPr>
          </w:p>
        </w:tc>
        <w:tc>
          <w:tcPr>
            <w:tcW w:w="851" w:type="dxa"/>
            <w:vAlign w:val="center"/>
          </w:tcPr>
          <w:p>
            <w:pPr>
              <w:spacing w:before="240"/>
              <w:jc w:val="center"/>
              <w:rPr>
                <w:rFonts w:ascii="仿宋_GB2312" w:hAnsi="宋体" w:eastAsia="仿宋_GB2312" w:cs="宋体"/>
                <w:sz w:val="20"/>
                <w:szCs w:val="20"/>
              </w:rPr>
            </w:pPr>
            <w:r>
              <w:rPr>
                <w:rFonts w:hint="eastAsia" w:ascii="仿宋_GB2312" w:hAnsi="宋体" w:eastAsia="仿宋_GB2312" w:cs="宋体"/>
                <w:sz w:val="20"/>
                <w:szCs w:val="20"/>
              </w:rPr>
              <w:t>生态  效益</w:t>
            </w:r>
          </w:p>
        </w:tc>
        <w:tc>
          <w:tcPr>
            <w:tcW w:w="567" w:type="dxa"/>
            <w:vMerge w:val="continue"/>
            <w:vAlign w:val="center"/>
          </w:tcPr>
          <w:p>
            <w:pPr>
              <w:spacing w:before="240"/>
              <w:jc w:val="center"/>
              <w:rPr>
                <w:rFonts w:ascii="仿宋_GB2312" w:hAnsi="宋体" w:eastAsia="仿宋_GB2312" w:cs="宋体"/>
                <w:sz w:val="20"/>
                <w:szCs w:val="20"/>
              </w:rPr>
            </w:pPr>
          </w:p>
        </w:tc>
        <w:tc>
          <w:tcPr>
            <w:tcW w:w="6590" w:type="dxa"/>
            <w:gridSpan w:val="2"/>
            <w:vMerge w:val="continue"/>
            <w:vAlign w:val="center"/>
          </w:tcPr>
          <w:p>
            <w:pPr>
              <w:spacing w:before="240"/>
              <w:jc w:val="center"/>
              <w:rPr>
                <w:rFonts w:ascii="仿宋_GB2312" w:hAnsi="宋体" w:eastAsia="仿宋_GB2312" w:cs="宋体"/>
                <w:sz w:val="20"/>
                <w:szCs w:val="20"/>
              </w:rPr>
            </w:pPr>
          </w:p>
        </w:tc>
        <w:tc>
          <w:tcPr>
            <w:tcW w:w="617" w:type="dxa"/>
            <w:vMerge w:val="continue"/>
            <w:vAlign w:val="center"/>
          </w:tcPr>
          <w:p>
            <w:pPr>
              <w:spacing w:before="240"/>
              <w:jc w:val="center"/>
              <w:rPr>
                <w:rFonts w:ascii="仿宋_GB2312" w:hAnsi="宋体" w:eastAsia="仿宋_GB2312"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tcPr>
          <w:p>
            <w:pPr>
              <w:spacing w:before="240"/>
              <w:rPr>
                <w:rFonts w:ascii="仿宋_GB2312" w:hAnsi="宋体" w:eastAsia="仿宋_GB2312" w:cs="宋体"/>
                <w:sz w:val="20"/>
                <w:szCs w:val="20"/>
              </w:rPr>
            </w:pPr>
          </w:p>
        </w:tc>
        <w:tc>
          <w:tcPr>
            <w:tcW w:w="429" w:type="dxa"/>
            <w:vMerge w:val="continue"/>
            <w:tcBorders>
              <w:top w:val="single" w:color="auto" w:sz="4" w:space="0"/>
              <w:bottom w:val="single" w:color="auto" w:sz="4" w:space="0"/>
            </w:tcBorders>
          </w:tcPr>
          <w:p>
            <w:pPr>
              <w:rPr>
                <w:rFonts w:ascii="仿宋_GB2312" w:hAnsi="宋体" w:eastAsia="仿宋_GB2312" w:cs="宋体"/>
                <w:sz w:val="20"/>
                <w:szCs w:val="20"/>
              </w:rPr>
            </w:pPr>
          </w:p>
        </w:tc>
        <w:tc>
          <w:tcPr>
            <w:tcW w:w="567" w:type="dxa"/>
            <w:vMerge w:val="continue"/>
            <w:tcBorders>
              <w:top w:val="single" w:color="auto" w:sz="4" w:space="0"/>
              <w:bottom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社会公众或服务对象满意度</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90%（含）以上计2分；</w:t>
            </w:r>
          </w:p>
          <w:p>
            <w:pPr>
              <w:jc w:val="center"/>
              <w:rPr>
                <w:rFonts w:ascii="仿宋_GB2312" w:hAnsi="宋体" w:eastAsia="仿宋_GB2312" w:cs="宋体"/>
                <w:sz w:val="20"/>
                <w:szCs w:val="20"/>
              </w:rPr>
            </w:pPr>
            <w:r>
              <w:rPr>
                <w:rFonts w:hint="eastAsia" w:ascii="仿宋_GB2312" w:hAnsi="宋体" w:eastAsia="仿宋_GB2312" w:cs="宋体"/>
                <w:sz w:val="20"/>
                <w:szCs w:val="20"/>
              </w:rPr>
              <w:t>80%（含）-90%，计1分；70%（含）-80%，计0.5分；低于70%,计0分。</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社会公众或服务对象是指部门（单位）履行职责而影响到的部门，群体或个人，一般采取社会调查的方式(不少于30份)。</w:t>
            </w:r>
          </w:p>
        </w:tc>
        <w:tc>
          <w:tcPr>
            <w:tcW w:w="61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jc w:val="center"/>
              <w:rPr>
                <w:rFonts w:ascii="仿宋_GB2312" w:hAnsi="宋体" w:eastAsia="仿宋_GB2312" w:cs="宋体"/>
              </w:rPr>
            </w:pPr>
            <w:r>
              <w:rPr>
                <w:rFonts w:hint="eastAsia" w:ascii="仿宋_GB2312" w:hAnsi="宋体" w:eastAsia="仿宋_GB2312" w:cs="宋体"/>
              </w:rPr>
              <w:t>合计</w:t>
            </w:r>
          </w:p>
        </w:tc>
        <w:tc>
          <w:tcPr>
            <w:tcW w:w="8575" w:type="dxa"/>
            <w:gridSpan w:val="5"/>
            <w:vAlign w:val="center"/>
          </w:tcPr>
          <w:p>
            <w:pPr>
              <w:jc w:val="center"/>
              <w:rPr>
                <w:rFonts w:ascii="仿宋_GB2312" w:hAnsi="宋体" w:eastAsia="仿宋_GB2312" w:cs="宋体"/>
                <w:sz w:val="20"/>
                <w:szCs w:val="20"/>
              </w:rPr>
            </w:pPr>
          </w:p>
        </w:tc>
        <w:tc>
          <w:tcPr>
            <w:tcW w:w="617" w:type="dxa"/>
            <w:vAlign w:val="center"/>
          </w:tcPr>
          <w:p>
            <w:pPr>
              <w:jc w:val="center"/>
              <w:rPr>
                <w:rFonts w:ascii="宋体" w:hAnsi="宋体" w:eastAsia="宋体" w:cs="宋体"/>
                <w:sz w:val="24"/>
              </w:rPr>
            </w:pPr>
            <w:r>
              <w:rPr>
                <w:rFonts w:hint="eastAsia" w:ascii="宋体" w:hAnsi="宋体" w:cs="宋体"/>
                <w:sz w:val="20"/>
                <w:szCs w:val="20"/>
              </w:rPr>
              <w:t>97</w:t>
            </w:r>
          </w:p>
        </w:tc>
      </w:tr>
    </w:tbl>
    <w:p>
      <w:pPr>
        <w:spacing w:line="600" w:lineRule="exact"/>
        <w:rPr>
          <w:rFonts w:ascii="宋体" w:hAnsi="宋体" w:cs="宋体"/>
          <w:sz w:val="32"/>
          <w:szCs w:val="32"/>
        </w:rPr>
      </w:pPr>
    </w:p>
    <w:p>
      <w:pPr>
        <w:spacing w:line="220" w:lineRule="atLeast"/>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02236"/>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3NmEyMzIxN2IwYzJhZjNkYjY4MjkxNjhjY2NmMmMifQ=="/>
  </w:docVars>
  <w:rsids>
    <w:rsidRoot w:val="00D31D50"/>
    <w:rsid w:val="00002249"/>
    <w:rsid w:val="00054609"/>
    <w:rsid w:val="000B3C3B"/>
    <w:rsid w:val="001B3946"/>
    <w:rsid w:val="001C46F6"/>
    <w:rsid w:val="001C7E90"/>
    <w:rsid w:val="001D05D4"/>
    <w:rsid w:val="002064B5"/>
    <w:rsid w:val="00260E5F"/>
    <w:rsid w:val="002618D6"/>
    <w:rsid w:val="002734AB"/>
    <w:rsid w:val="002E3868"/>
    <w:rsid w:val="00323B43"/>
    <w:rsid w:val="00354012"/>
    <w:rsid w:val="003C78D9"/>
    <w:rsid w:val="003D37D8"/>
    <w:rsid w:val="003E01B2"/>
    <w:rsid w:val="003E6230"/>
    <w:rsid w:val="00426133"/>
    <w:rsid w:val="0043153B"/>
    <w:rsid w:val="004358AB"/>
    <w:rsid w:val="0045346F"/>
    <w:rsid w:val="004713C8"/>
    <w:rsid w:val="004B08F5"/>
    <w:rsid w:val="004B484D"/>
    <w:rsid w:val="0051237B"/>
    <w:rsid w:val="005334A0"/>
    <w:rsid w:val="00550993"/>
    <w:rsid w:val="00593C7B"/>
    <w:rsid w:val="005C2842"/>
    <w:rsid w:val="005F0B8D"/>
    <w:rsid w:val="00603038"/>
    <w:rsid w:val="00654C39"/>
    <w:rsid w:val="00683FA3"/>
    <w:rsid w:val="006C6BCE"/>
    <w:rsid w:val="006F3253"/>
    <w:rsid w:val="00721A93"/>
    <w:rsid w:val="00724ED1"/>
    <w:rsid w:val="007A097E"/>
    <w:rsid w:val="008359C9"/>
    <w:rsid w:val="00844ED6"/>
    <w:rsid w:val="00864344"/>
    <w:rsid w:val="008679C6"/>
    <w:rsid w:val="00885F24"/>
    <w:rsid w:val="008B7726"/>
    <w:rsid w:val="00906D53"/>
    <w:rsid w:val="00931C0F"/>
    <w:rsid w:val="00A23A46"/>
    <w:rsid w:val="00A81A25"/>
    <w:rsid w:val="00B25C5E"/>
    <w:rsid w:val="00B60B00"/>
    <w:rsid w:val="00B649BC"/>
    <w:rsid w:val="00B67B47"/>
    <w:rsid w:val="00BB135A"/>
    <w:rsid w:val="00BE6BF1"/>
    <w:rsid w:val="00C16585"/>
    <w:rsid w:val="00C44170"/>
    <w:rsid w:val="00C464DF"/>
    <w:rsid w:val="00C73D7A"/>
    <w:rsid w:val="00C82588"/>
    <w:rsid w:val="00CC1834"/>
    <w:rsid w:val="00D10D15"/>
    <w:rsid w:val="00D31D50"/>
    <w:rsid w:val="00D67A51"/>
    <w:rsid w:val="00D75AD4"/>
    <w:rsid w:val="00DB0C09"/>
    <w:rsid w:val="00DB35F2"/>
    <w:rsid w:val="00DE600F"/>
    <w:rsid w:val="00E06146"/>
    <w:rsid w:val="00E81783"/>
    <w:rsid w:val="00EB66F2"/>
    <w:rsid w:val="00F40C31"/>
    <w:rsid w:val="00F43ADD"/>
    <w:rsid w:val="00F9089D"/>
    <w:rsid w:val="00FB0711"/>
    <w:rsid w:val="0FD31483"/>
    <w:rsid w:val="548D0E23"/>
    <w:rsid w:val="67A70A90"/>
    <w:rsid w:val="7AC90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uiPriority w:val="99"/>
    <w:rPr>
      <w:rFonts w:ascii="Tahoma" w:hAnsi="Tahoma"/>
      <w:sz w:val="18"/>
      <w:szCs w:val="18"/>
    </w:rPr>
  </w:style>
  <w:style w:type="character" w:customStyle="1" w:styleId="8">
    <w:name w:val="页脚 Char"/>
    <w:basedOn w:val="5"/>
    <w:link w:val="2"/>
    <w:uiPriority w:val="99"/>
    <w:rPr>
      <w:rFonts w:ascii="Tahoma" w:hAnsi="Tahoma"/>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9098</Words>
  <Characters>9670</Characters>
  <Lines>79</Lines>
  <Paragraphs>22</Paragraphs>
  <TotalTime>9</TotalTime>
  <ScaleCrop>false</ScaleCrop>
  <LinksUpToDate>false</LinksUpToDate>
  <CharactersWithSpaces>9765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2022-09-21T02:47:00Z</cp:lastPrinted>
  <dcterms:modified xsi:type="dcterms:W3CDTF">2023-04-24T00:21:54Z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654C400E0DAE40F49C83C76904BB5CA0_13</vt:lpwstr>
  </property>
</Properties>
</file>