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361" w:firstLineChars="100"/>
        <w:jc w:val="left"/>
        <w:rPr>
          <w:rFonts w:hint="default" w:ascii="宋体" w:hAnsi="宋体" w:eastAsia="宋体" w:cs="宋体"/>
          <w:b/>
          <w:bCs/>
          <w:i w:val="0"/>
          <w:iCs w:val="0"/>
          <w:caps w:val="0"/>
          <w:color w:val="auto"/>
          <w:spacing w:val="0"/>
          <w:kern w:val="44"/>
          <w:sz w:val="36"/>
          <w:szCs w:val="36"/>
          <w:shd w:val="clear" w:fill="FFFFFF"/>
          <w:lang w:val="en-US" w:eastAsia="zh-CN" w:bidi="ar"/>
        </w:rPr>
      </w:pPr>
      <w:r>
        <w:rPr>
          <w:rFonts w:hint="eastAsia" w:ascii="宋体" w:hAnsi="宋体" w:eastAsia="宋体" w:cs="宋体"/>
          <w:b/>
          <w:bCs/>
          <w:i w:val="0"/>
          <w:iCs w:val="0"/>
          <w:caps w:val="0"/>
          <w:color w:val="auto"/>
          <w:spacing w:val="0"/>
          <w:kern w:val="44"/>
          <w:sz w:val="36"/>
          <w:szCs w:val="36"/>
          <w:shd w:val="clear" w:fill="FFFFFF"/>
          <w:lang w:val="en-US" w:eastAsia="zh-CN" w:bidi="ar"/>
        </w:rPr>
        <w:t>北塔区编办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auto"/>
          <w:spacing w:val="0"/>
          <w:sz w:val="44"/>
          <w:szCs w:val="44"/>
          <w:lang w:val="en-US" w:eastAsia="zh-CN"/>
        </w:rPr>
      </w:pPr>
      <w:r>
        <w:rPr>
          <w:i w:val="0"/>
          <w:iCs w:val="0"/>
          <w:caps w:val="0"/>
          <w:color w:val="auto"/>
          <w:spacing w:val="0"/>
          <w:sz w:val="36"/>
          <w:szCs w:val="36"/>
          <w:shd w:val="clear" w:fill="FFFFFF"/>
        </w:rPr>
        <w:t>202</w:t>
      </w:r>
      <w:r>
        <w:rPr>
          <w:rFonts w:hint="eastAsia"/>
          <w:i w:val="0"/>
          <w:iCs w:val="0"/>
          <w:caps w:val="0"/>
          <w:color w:val="auto"/>
          <w:spacing w:val="0"/>
          <w:sz w:val="36"/>
          <w:szCs w:val="36"/>
          <w:shd w:val="clear" w:fill="FFFFFF"/>
          <w:lang w:val="en-US" w:eastAsia="zh-CN"/>
        </w:rPr>
        <w:t>2</w:t>
      </w:r>
      <w:r>
        <w:rPr>
          <w:i w:val="0"/>
          <w:iCs w:val="0"/>
          <w:caps w:val="0"/>
          <w:color w:val="auto"/>
          <w:spacing w:val="0"/>
          <w:sz w:val="36"/>
          <w:szCs w:val="36"/>
          <w:shd w:val="clear" w:fill="FFFFFF"/>
        </w:rPr>
        <w:t>年度部门整体支出绩效评价报</w:t>
      </w:r>
      <w:r>
        <w:rPr>
          <w:rFonts w:hint="eastAsia"/>
          <w:i w:val="0"/>
          <w:iCs w:val="0"/>
          <w:caps w:val="0"/>
          <w:color w:val="auto"/>
          <w:spacing w:val="0"/>
          <w:sz w:val="36"/>
          <w:szCs w:val="36"/>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p>
    <w:p>
      <w:pPr>
        <w:spacing w:line="480" w:lineRule="auto"/>
        <w:ind w:firstLine="482" w:firstLineChars="20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（一）机构设置及人员情况</w:t>
      </w:r>
    </w:p>
    <w:p>
      <w:pPr>
        <w:keepNext w:val="0"/>
        <w:keepLines w:val="0"/>
        <w:widowControl w:val="0"/>
        <w:suppressLineNumbers w:val="0"/>
        <w:spacing w:before="0" w:beforeAutospacing="1" w:after="0" w:afterAutospacing="1" w:line="480" w:lineRule="exact"/>
        <w:ind w:left="0" w:right="0" w:firstLine="482" w:firstLineChars="200"/>
        <w:jc w:val="left"/>
      </w:pPr>
      <w:r>
        <w:rPr>
          <w:rFonts w:hint="eastAsia" w:ascii="宋体" w:hAnsi="宋体" w:eastAsia="宋体" w:cs="宋体"/>
          <w:b/>
          <w:bCs/>
          <w:i w:val="0"/>
          <w:iCs w:val="0"/>
          <w:caps w:val="0"/>
          <w:color w:val="000000"/>
          <w:spacing w:val="0"/>
          <w:sz w:val="24"/>
          <w:szCs w:val="24"/>
        </w:rPr>
        <w:t>机构</w:t>
      </w:r>
      <w:r>
        <w:rPr>
          <w:rFonts w:hint="eastAsia" w:ascii="宋体" w:hAnsi="宋体" w:eastAsia="宋体" w:cs="宋体"/>
          <w:b/>
          <w:bCs/>
          <w:i w:val="0"/>
          <w:iCs w:val="0"/>
          <w:caps w:val="0"/>
          <w:color w:val="000000"/>
          <w:spacing w:val="0"/>
          <w:sz w:val="24"/>
          <w:szCs w:val="24"/>
          <w:lang w:eastAsia="zh-CN"/>
        </w:rPr>
        <w:t>设置情况</w:t>
      </w:r>
      <w:r>
        <w:rPr>
          <w:rFonts w:hint="eastAsia" w:ascii="宋体" w:hAnsi="宋体" w:eastAsia="宋体" w:cs="宋体"/>
          <w:b/>
          <w:bCs/>
          <w:i w:val="0"/>
          <w:iCs w:val="0"/>
          <w:caps w:val="0"/>
          <w:color w:val="000000"/>
          <w:spacing w:val="0"/>
          <w:sz w:val="28"/>
          <w:szCs w:val="28"/>
        </w:rPr>
        <w:t>：</w:t>
      </w:r>
      <w:r>
        <w:rPr>
          <w:rFonts w:hint="eastAsia" w:ascii="宋体" w:hAnsi="宋体" w:eastAsia="宋体" w:cs="宋体"/>
          <w:kern w:val="2"/>
          <w:sz w:val="24"/>
          <w:szCs w:val="24"/>
          <w:lang w:val="en-US" w:eastAsia="zh-CN" w:bidi="ar"/>
        </w:rPr>
        <w:t xml:space="preserve">内设综合办公室、机构编制股、实名制管理股（加挂工资统发审核办、督查股牌子）、事业单位登记管理办公室（加挂网上名称管理股牌子）4个股室，所属副科级事业单位1个区机构编制事务中心。 </w:t>
      </w:r>
    </w:p>
    <w:p>
      <w:pPr>
        <w:pStyle w:val="5"/>
        <w:keepNext w:val="0"/>
        <w:keepLines w:val="0"/>
        <w:widowControl/>
        <w:suppressLineNumbers w:val="0"/>
        <w:spacing w:before="0" w:beforeAutospacing="0" w:after="2" w:afterAutospacing="0"/>
        <w:ind w:left="0" w:right="0" w:firstLine="641"/>
        <w:rPr>
          <w:sz w:val="24"/>
          <w:szCs w:val="24"/>
        </w:rPr>
      </w:pPr>
      <w:r>
        <w:rPr>
          <w:rFonts w:hint="eastAsia" w:ascii="宋体" w:hAnsi="宋体" w:eastAsia="宋体" w:cs="宋体"/>
          <w:b/>
          <w:bCs/>
          <w:i w:val="0"/>
          <w:iCs w:val="0"/>
          <w:caps w:val="0"/>
          <w:color w:val="000000"/>
          <w:spacing w:val="0"/>
          <w:sz w:val="24"/>
          <w:szCs w:val="24"/>
          <w:lang w:eastAsia="zh-CN"/>
        </w:rPr>
        <w:t>人员情况</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color w:val="auto"/>
          <w:kern w:val="2"/>
          <w:sz w:val="24"/>
          <w:szCs w:val="24"/>
          <w:lang w:val="en-US" w:eastAsia="zh-CN" w:bidi="ar"/>
        </w:rPr>
        <w:t>本部门</w:t>
      </w:r>
      <w:r>
        <w:rPr>
          <w:rFonts w:hint="eastAsia" w:ascii="宋体" w:hAnsi="宋体" w:eastAsia="宋体" w:cs="宋体"/>
          <w:color w:val="000000"/>
          <w:kern w:val="2"/>
          <w:sz w:val="24"/>
          <w:szCs w:val="24"/>
        </w:rPr>
        <w:t>共有编制人数</w:t>
      </w:r>
      <w:r>
        <w:rPr>
          <w:rFonts w:hint="eastAsia" w:ascii="宋体" w:hAnsi="宋体" w:eastAsia="宋体" w:cs="宋体"/>
          <w:color w:val="000000"/>
          <w:kern w:val="2"/>
          <w:sz w:val="24"/>
          <w:szCs w:val="24"/>
          <w:lang w:val="en-US" w:eastAsia="zh-CN"/>
        </w:rPr>
        <w:t>7</w:t>
      </w:r>
      <w:r>
        <w:rPr>
          <w:rFonts w:hint="eastAsia" w:ascii="宋体" w:hAnsi="宋体" w:eastAsia="宋体" w:cs="宋体"/>
          <w:color w:val="000000"/>
          <w:kern w:val="2"/>
          <w:sz w:val="24"/>
          <w:szCs w:val="24"/>
        </w:rPr>
        <w:t>人，实有人数</w:t>
      </w:r>
      <w:r>
        <w:rPr>
          <w:rFonts w:hint="eastAsia" w:ascii="宋体" w:hAnsi="宋体" w:eastAsia="宋体" w:cs="宋体"/>
          <w:color w:val="000000"/>
          <w:kern w:val="2"/>
          <w:sz w:val="24"/>
          <w:szCs w:val="24"/>
          <w:lang w:val="en-US" w:eastAsia="zh-CN"/>
        </w:rPr>
        <w:t>7</w:t>
      </w:r>
      <w:r>
        <w:rPr>
          <w:rFonts w:hint="eastAsia" w:ascii="宋体" w:hAnsi="宋体" w:eastAsia="宋体" w:cs="宋体"/>
          <w:color w:val="000000"/>
          <w:kern w:val="2"/>
          <w:sz w:val="24"/>
          <w:szCs w:val="24"/>
        </w:rPr>
        <w:t>人</w:t>
      </w:r>
    </w:p>
    <w:p>
      <w:pPr>
        <w:spacing w:line="480" w:lineRule="auto"/>
        <w:ind w:firstLine="482" w:firstLineChars="20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（二）主要工作职责</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贯彻执行中央、省、市有关行政管理体制和机构改革以及机构编制管理的方针政策和法律法规；统一管理全区各级党政机关（含党委、政府各部门，人大、政协，民主党派、人民团体机关，下同）和事业单位的机构编制工作。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2、拟订全区行政管理体制与机构改革总体方案并组织实施；审核区直党政机关各部门改革方案；指导、协调全区各项行政管理体制和机构改革工作。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3、拟订全区事业单位管理体制与机构改革总体方案并组织实施；审核全区科级事业单位机构改革方案；审核区直股级及以下事业单位机构改革方案；指导、协调全区各级事业单位机构改革工作。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4、审核全区股级机构、乡镇（街道）股级机构的设置和调整；研究提出区直党政机关职责配备和调整的意见，协调各部门之间、区本级与乡镇（街道）之间的事权划分和职责分工；审核全区科级机构的内设机构、区直党政机关股级机构、区直股级事业单位、乡镇（街道）股级事业单位的设置和调整。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5、审核区直党政机关各部门、全区副科级及以上事业单位人员编制方案；审核区直股级事业单位人员编制方案；提出区直党政机关、科级事业单位领导职数配备和调整预案并按程序报批，审核区直和乡镇（街道）党政机关、事业单位股级领导职数；拟订全区各级党政机关行政编制、政法专项编制等专项编制总额分配和调整方案。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6、拟订全区乡镇（街道）机构改革总体方案并组织实施。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7、负责全区党政机关、事业单位机构编制实名制、信息库管理及机构编制统计工作；负责审核、报批区直机关事业单位进人计划，负责按权限和程序审定或报批核编进人事项；审核全区公务员和参照公务员公开招考计划；参与公务员招考及事业单位招聘考务工作，负责机关事业单位（含收取规费的事业单位）工资统发审批工作。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8、贯彻执行国家、省有关事业单位登记管理的法律、法规、规章、政策；依法对区直事业单位进行登记管理；指导、协调、监督全区事业单位登记管理工作。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9、监督检查全区各级党政机关、事业单位机构编制及机构改革方案的执行情况，会同有关部门查处机构编制违规违纪行为。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10、研究改革重大问题，参与相关改革工作，协调、跟踪、了解改革进程；负责区政府工作部门权力清单审核相关工作，协调推进相对集中行政许可权改革工作。 </w:t>
      </w:r>
    </w:p>
    <w:p>
      <w:pPr>
        <w:keepNext w:val="0"/>
        <w:keepLines w:val="0"/>
        <w:widowControl w:val="0"/>
        <w:suppressLineNumbers w:val="0"/>
        <w:spacing w:before="0" w:beforeAutospacing="1" w:after="0" w:afterAutospacing="1" w:line="480" w:lineRule="exact"/>
        <w:ind w:left="0" w:right="0" w:firstLine="480" w:firstLineChars="200"/>
        <w:jc w:val="left"/>
      </w:pPr>
      <w:r>
        <w:rPr>
          <w:rFonts w:hint="eastAsia" w:ascii="宋体" w:hAnsi="宋体" w:eastAsia="宋体" w:cs="宋体"/>
          <w:kern w:val="2"/>
          <w:sz w:val="24"/>
          <w:szCs w:val="24"/>
          <w:lang w:val="en-US" w:eastAsia="zh-CN" w:bidi="ar"/>
        </w:rPr>
        <w:t xml:space="preserve">11、承办区委、区政府和区委机构编制委员会交办的其他事项。 </w:t>
      </w:r>
    </w:p>
    <w:p>
      <w:pPr>
        <w:numPr>
          <w:ilvl w:val="0"/>
          <w:numId w:val="0"/>
        </w:numPr>
        <w:spacing w:line="480" w:lineRule="auto"/>
        <w:jc w:val="left"/>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8"/>
          <w:szCs w:val="28"/>
          <w:shd w:val="clear" w:fill="FFFFFF"/>
        </w:rPr>
        <w:t>二、</w:t>
      </w:r>
      <w:r>
        <w:rPr>
          <w:rFonts w:hint="eastAsia" w:ascii="宋体" w:hAnsi="宋体" w:eastAsia="宋体" w:cs="宋体"/>
          <w:b/>
          <w:bCs/>
          <w:i w:val="0"/>
          <w:iCs w:val="0"/>
          <w:caps w:val="0"/>
          <w:color w:val="auto"/>
          <w:spacing w:val="0"/>
          <w:sz w:val="24"/>
          <w:szCs w:val="24"/>
          <w:shd w:val="clear" w:fill="FFFFFF"/>
        </w:rPr>
        <w:t>部门整体支出管理及使用情况</w:t>
      </w:r>
    </w:p>
    <w:p>
      <w:pPr>
        <w:spacing w:line="480" w:lineRule="auto"/>
        <w:ind w:firstLine="482" w:firstLineChars="20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（一）预算执行情况</w:t>
      </w:r>
    </w:p>
    <w:p>
      <w:pPr>
        <w:spacing w:line="480" w:lineRule="auto"/>
        <w:ind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kern w:val="2"/>
          <w:sz w:val="24"/>
          <w:szCs w:val="24"/>
          <w:lang w:val="en-US" w:eastAsia="zh-CN" w:bidi="ar"/>
        </w:rPr>
        <w:t>2022年本部门年初预算安排106.62万元，本年实际支出</w:t>
      </w:r>
      <w:r>
        <w:rPr>
          <w:rFonts w:hint="eastAsia" w:ascii="宋体" w:hAnsi="宋体" w:eastAsia="宋体" w:cs="宋体"/>
          <w:i w:val="0"/>
          <w:iCs w:val="0"/>
          <w:caps w:val="0"/>
          <w:color w:val="000000"/>
          <w:spacing w:val="0"/>
          <w:sz w:val="24"/>
          <w:szCs w:val="24"/>
          <w:lang w:val="en-US" w:eastAsia="zh-CN"/>
        </w:rPr>
        <w:t>120.49</w:t>
      </w:r>
      <w:r>
        <w:rPr>
          <w:rFonts w:hint="eastAsia" w:ascii="宋体" w:hAnsi="宋体" w:eastAsia="宋体" w:cs="宋体"/>
          <w:i w:val="0"/>
          <w:iCs w:val="0"/>
          <w:caps w:val="0"/>
          <w:color w:val="000000"/>
          <w:spacing w:val="0"/>
          <w:sz w:val="24"/>
          <w:szCs w:val="24"/>
        </w:rPr>
        <w:t>万元</w:t>
      </w:r>
      <w:r>
        <w:rPr>
          <w:rFonts w:hint="eastAsia" w:ascii="宋体" w:hAnsi="宋体" w:eastAsia="宋体" w:cs="宋体"/>
          <w:i w:val="0"/>
          <w:iCs w:val="0"/>
          <w:caps w:val="0"/>
          <w:color w:val="000000"/>
          <w:spacing w:val="0"/>
          <w:sz w:val="24"/>
          <w:szCs w:val="24"/>
          <w:lang w:eastAsia="zh-CN"/>
        </w:rPr>
        <w:t>，完成全年预算的</w:t>
      </w:r>
      <w:r>
        <w:rPr>
          <w:rFonts w:hint="eastAsia" w:ascii="宋体" w:hAnsi="宋体" w:eastAsia="宋体" w:cs="宋体"/>
          <w:i w:val="0"/>
          <w:iCs w:val="0"/>
          <w:caps w:val="0"/>
          <w:color w:val="000000"/>
          <w:spacing w:val="0"/>
          <w:sz w:val="24"/>
          <w:szCs w:val="24"/>
          <w:lang w:val="en-US" w:eastAsia="zh-CN"/>
        </w:rPr>
        <w:t>113.01%</w:t>
      </w:r>
      <w:r>
        <w:rPr>
          <w:rFonts w:hint="eastAsia" w:ascii="宋体" w:hAnsi="宋体" w:eastAsia="宋体" w:cs="宋体"/>
          <w:i w:val="0"/>
          <w:iCs w:val="0"/>
          <w:caps w:val="0"/>
          <w:color w:val="000000"/>
          <w:spacing w:val="0"/>
          <w:sz w:val="24"/>
          <w:szCs w:val="24"/>
        </w:rPr>
        <w:t>。与上一年度相比，</w:t>
      </w:r>
      <w:r>
        <w:rPr>
          <w:rFonts w:hint="eastAsia" w:ascii="宋体" w:hAnsi="宋体" w:eastAsia="宋体" w:cs="宋体"/>
          <w:i w:val="0"/>
          <w:iCs w:val="0"/>
          <w:caps w:val="0"/>
          <w:color w:val="000000"/>
          <w:spacing w:val="0"/>
          <w:sz w:val="24"/>
          <w:szCs w:val="24"/>
          <w:lang w:eastAsia="zh-CN"/>
        </w:rPr>
        <w:t>实际支出</w:t>
      </w:r>
      <w:r>
        <w:rPr>
          <w:rFonts w:hint="eastAsia" w:ascii="宋体" w:hAnsi="宋体" w:eastAsia="宋体" w:cs="宋体"/>
          <w:i w:val="0"/>
          <w:iCs w:val="0"/>
          <w:caps w:val="0"/>
          <w:color w:val="000000"/>
          <w:spacing w:val="0"/>
          <w:sz w:val="24"/>
          <w:szCs w:val="24"/>
          <w:lang w:val="en-US" w:eastAsia="zh-CN"/>
        </w:rPr>
        <w:t>减少34.68</w:t>
      </w:r>
      <w:r>
        <w:rPr>
          <w:rFonts w:hint="eastAsia" w:ascii="宋体" w:hAnsi="宋体" w:eastAsia="宋体" w:cs="宋体"/>
          <w:i w:val="0"/>
          <w:iCs w:val="0"/>
          <w:caps w:val="0"/>
          <w:color w:val="000000"/>
          <w:spacing w:val="0"/>
          <w:sz w:val="24"/>
          <w:szCs w:val="24"/>
        </w:rPr>
        <w:t>万元，</w:t>
      </w:r>
      <w:r>
        <w:rPr>
          <w:rFonts w:hint="eastAsia" w:ascii="宋体" w:hAnsi="宋体" w:eastAsia="宋体" w:cs="宋体"/>
          <w:i w:val="0"/>
          <w:iCs w:val="0"/>
          <w:caps w:val="0"/>
          <w:color w:val="000000"/>
          <w:spacing w:val="0"/>
          <w:sz w:val="24"/>
          <w:szCs w:val="24"/>
          <w:lang w:val="en-US" w:eastAsia="zh-CN"/>
        </w:rPr>
        <w:t>下降22.35</w:t>
      </w:r>
      <w:r>
        <w:rPr>
          <w:rFonts w:hint="eastAsia" w:ascii="宋体" w:hAnsi="宋体" w:eastAsia="宋体" w:cs="宋体"/>
          <w:i w:val="0"/>
          <w:iCs w:val="0"/>
          <w:caps w:val="0"/>
          <w:color w:val="000000"/>
          <w:spacing w:val="0"/>
          <w:sz w:val="24"/>
          <w:szCs w:val="24"/>
        </w:rPr>
        <w:t>%。主要原因</w:t>
      </w:r>
      <w:r>
        <w:rPr>
          <w:rFonts w:hint="eastAsia" w:ascii="宋体" w:hAnsi="宋体" w:eastAsia="宋体" w:cs="宋体"/>
          <w:i w:val="0"/>
          <w:iCs w:val="0"/>
          <w:caps w:val="0"/>
          <w:color w:val="000000"/>
          <w:spacing w:val="0"/>
          <w:sz w:val="24"/>
          <w:szCs w:val="24"/>
          <w:lang w:val="en-US" w:eastAsia="zh-CN"/>
        </w:rPr>
        <w:t>是</w:t>
      </w:r>
      <w:r>
        <w:rPr>
          <w:rFonts w:hint="eastAsia" w:ascii="宋体" w:hAnsi="宋体" w:eastAsia="宋体" w:cs="宋体"/>
          <w:i w:val="0"/>
          <w:iCs w:val="0"/>
          <w:caps w:val="0"/>
          <w:color w:val="000000"/>
          <w:spacing w:val="0"/>
          <w:sz w:val="24"/>
          <w:szCs w:val="24"/>
        </w:rPr>
        <w:t>2021年购置了中文域系统，本年则减少了信息网络及软件更新的费用。2022年度收入合计</w:t>
      </w:r>
      <w:r>
        <w:rPr>
          <w:rFonts w:hint="eastAsia" w:ascii="宋体" w:hAnsi="宋体" w:eastAsia="宋体" w:cs="宋体"/>
          <w:i w:val="0"/>
          <w:iCs w:val="0"/>
          <w:caps w:val="0"/>
          <w:color w:val="000000"/>
          <w:spacing w:val="0"/>
          <w:sz w:val="24"/>
          <w:szCs w:val="24"/>
          <w:lang w:val="en-US" w:eastAsia="zh-CN"/>
        </w:rPr>
        <w:t>120.49</w:t>
      </w:r>
      <w:r>
        <w:rPr>
          <w:rFonts w:hint="eastAsia" w:ascii="宋体" w:hAnsi="宋体" w:eastAsia="宋体" w:cs="宋体"/>
          <w:i w:val="0"/>
          <w:iCs w:val="0"/>
          <w:caps w:val="0"/>
          <w:color w:val="000000"/>
          <w:spacing w:val="0"/>
          <w:sz w:val="24"/>
          <w:szCs w:val="24"/>
        </w:rPr>
        <w:t>万元，其中：财政拨款收入</w:t>
      </w:r>
      <w:r>
        <w:rPr>
          <w:rFonts w:hint="eastAsia" w:ascii="宋体" w:hAnsi="宋体" w:eastAsia="宋体" w:cs="宋体"/>
          <w:i w:val="0"/>
          <w:iCs w:val="0"/>
          <w:caps w:val="0"/>
          <w:color w:val="000000"/>
          <w:spacing w:val="0"/>
          <w:sz w:val="24"/>
          <w:szCs w:val="24"/>
          <w:lang w:val="en-US" w:eastAsia="zh-CN"/>
        </w:rPr>
        <w:t>120.49</w:t>
      </w:r>
      <w:r>
        <w:rPr>
          <w:rFonts w:hint="eastAsia" w:ascii="宋体" w:hAnsi="宋体" w:eastAsia="宋体" w:cs="宋体"/>
          <w:i w:val="0"/>
          <w:iCs w:val="0"/>
          <w:caps w:val="0"/>
          <w:color w:val="000000"/>
          <w:spacing w:val="0"/>
          <w:sz w:val="24"/>
          <w:szCs w:val="24"/>
        </w:rPr>
        <w:t>万元，占</w:t>
      </w:r>
      <w:r>
        <w:rPr>
          <w:rFonts w:hint="eastAsia" w:ascii="宋体" w:hAnsi="宋体" w:eastAsia="宋体" w:cs="宋体"/>
          <w:i w:val="0"/>
          <w:iCs w:val="0"/>
          <w:caps w:val="0"/>
          <w:color w:val="000000"/>
          <w:spacing w:val="0"/>
          <w:sz w:val="24"/>
          <w:szCs w:val="24"/>
          <w:lang w:val="en-US" w:eastAsia="zh-CN"/>
        </w:rPr>
        <w:t>100</w:t>
      </w:r>
      <w:r>
        <w:rPr>
          <w:rFonts w:hint="eastAsia" w:ascii="宋体" w:hAnsi="宋体" w:eastAsia="宋体" w:cs="宋体"/>
          <w:i w:val="0"/>
          <w:iCs w:val="0"/>
          <w:caps w:val="0"/>
          <w:color w:val="000000"/>
          <w:spacing w:val="0"/>
          <w:sz w:val="24"/>
          <w:szCs w:val="24"/>
        </w:rPr>
        <w:t>%；上级补助收入0万元，占0%；事业收入0万元，占0%；经营收入0万元，占0%；附属单位上缴收入0万元，占0%；其他收入</w:t>
      </w:r>
      <w:r>
        <w:rPr>
          <w:rFonts w:hint="eastAsia" w:ascii="宋体" w:hAnsi="宋体" w:eastAsia="宋体" w:cs="宋体"/>
          <w:i w:val="0"/>
          <w:iCs w:val="0"/>
          <w:caps w:val="0"/>
          <w:color w:val="000000"/>
          <w:spacing w:val="0"/>
          <w:sz w:val="24"/>
          <w:szCs w:val="24"/>
          <w:lang w:val="en-US" w:eastAsia="zh-CN"/>
        </w:rPr>
        <w:t>0</w:t>
      </w:r>
      <w:r>
        <w:rPr>
          <w:rFonts w:hint="eastAsia" w:ascii="宋体" w:hAnsi="宋体" w:eastAsia="宋体" w:cs="宋体"/>
          <w:i w:val="0"/>
          <w:iCs w:val="0"/>
          <w:caps w:val="0"/>
          <w:color w:val="000000"/>
          <w:spacing w:val="0"/>
          <w:sz w:val="24"/>
          <w:szCs w:val="24"/>
        </w:rPr>
        <w:t>万元，占</w:t>
      </w:r>
      <w:r>
        <w:rPr>
          <w:rFonts w:hint="eastAsia" w:ascii="宋体" w:hAnsi="宋体" w:eastAsia="宋体" w:cs="宋体"/>
          <w:i w:val="0"/>
          <w:iCs w:val="0"/>
          <w:caps w:val="0"/>
          <w:color w:val="000000"/>
          <w:spacing w:val="0"/>
          <w:sz w:val="24"/>
          <w:szCs w:val="24"/>
          <w:lang w:val="en-US" w:eastAsia="zh-CN"/>
        </w:rPr>
        <w:t>0</w:t>
      </w:r>
      <w:r>
        <w:rPr>
          <w:rFonts w:hint="eastAsia" w:ascii="宋体" w:hAnsi="宋体" w:eastAsia="宋体" w:cs="宋体"/>
          <w:i w:val="0"/>
          <w:iCs w:val="0"/>
          <w:caps w:val="0"/>
          <w:color w:val="000000"/>
          <w:spacing w:val="0"/>
          <w:sz w:val="24"/>
          <w:szCs w:val="24"/>
        </w:rPr>
        <w:t>%</w:t>
      </w:r>
    </w:p>
    <w:p>
      <w:pPr>
        <w:spacing w:line="480" w:lineRule="auto"/>
        <w:ind w:firstLine="480" w:firstLineChars="200"/>
        <w:jc w:val="left"/>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2022年度支出合计</w:t>
      </w:r>
      <w:r>
        <w:rPr>
          <w:rFonts w:hint="eastAsia" w:ascii="宋体" w:hAnsi="宋体" w:eastAsia="宋体" w:cs="宋体"/>
          <w:i w:val="0"/>
          <w:iCs w:val="0"/>
          <w:caps w:val="0"/>
          <w:color w:val="000000"/>
          <w:spacing w:val="0"/>
          <w:sz w:val="24"/>
          <w:szCs w:val="24"/>
          <w:lang w:val="en-US" w:eastAsia="zh-CN"/>
        </w:rPr>
        <w:t>120.49</w:t>
      </w:r>
      <w:r>
        <w:rPr>
          <w:rFonts w:hint="eastAsia" w:ascii="宋体" w:hAnsi="宋体" w:eastAsia="宋体" w:cs="宋体"/>
          <w:i w:val="0"/>
          <w:iCs w:val="0"/>
          <w:caps w:val="0"/>
          <w:color w:val="000000"/>
          <w:spacing w:val="0"/>
          <w:sz w:val="24"/>
          <w:szCs w:val="24"/>
        </w:rPr>
        <w:t>万元，其中：基本支出</w:t>
      </w:r>
      <w:r>
        <w:rPr>
          <w:rFonts w:hint="eastAsia" w:ascii="宋体" w:hAnsi="宋体" w:eastAsia="宋体" w:cs="宋体"/>
          <w:i w:val="0"/>
          <w:iCs w:val="0"/>
          <w:caps w:val="0"/>
          <w:color w:val="000000"/>
          <w:spacing w:val="0"/>
          <w:sz w:val="24"/>
          <w:szCs w:val="24"/>
          <w:lang w:val="en-US" w:eastAsia="zh-CN"/>
        </w:rPr>
        <w:t>120.49</w:t>
      </w:r>
      <w:r>
        <w:rPr>
          <w:rFonts w:hint="eastAsia" w:ascii="宋体" w:hAnsi="宋体" w:eastAsia="宋体" w:cs="宋体"/>
          <w:i w:val="0"/>
          <w:iCs w:val="0"/>
          <w:caps w:val="0"/>
          <w:color w:val="000000"/>
          <w:spacing w:val="0"/>
          <w:sz w:val="24"/>
          <w:szCs w:val="24"/>
        </w:rPr>
        <w:t>万元，占</w:t>
      </w:r>
      <w:r>
        <w:rPr>
          <w:rFonts w:hint="eastAsia" w:ascii="宋体" w:hAnsi="宋体" w:eastAsia="宋体" w:cs="宋体"/>
          <w:b w:val="0"/>
          <w:bCs w:val="0"/>
          <w:i w:val="0"/>
          <w:iCs w:val="0"/>
          <w:caps w:val="0"/>
          <w:color w:val="auto"/>
          <w:spacing w:val="0"/>
          <w:sz w:val="24"/>
          <w:szCs w:val="24"/>
          <w:highlight w:val="none"/>
          <w:shd w:val="clear" w:fill="FFFFFF"/>
          <w:lang w:val="en-US" w:eastAsia="zh-CN"/>
        </w:rPr>
        <w:t>100</w:t>
      </w:r>
      <w:r>
        <w:rPr>
          <w:rFonts w:hint="eastAsia" w:ascii="宋体" w:hAnsi="宋体" w:eastAsia="宋体" w:cs="宋体"/>
          <w:i w:val="0"/>
          <w:iCs w:val="0"/>
          <w:caps w:val="0"/>
          <w:color w:val="000000"/>
          <w:spacing w:val="0"/>
          <w:sz w:val="24"/>
          <w:szCs w:val="24"/>
        </w:rPr>
        <w:t>%；项目支出</w:t>
      </w:r>
      <w:r>
        <w:rPr>
          <w:rFonts w:hint="eastAsia" w:ascii="宋体" w:hAnsi="宋体" w:eastAsia="宋体" w:cs="宋体"/>
          <w:i w:val="0"/>
          <w:iCs w:val="0"/>
          <w:caps w:val="0"/>
          <w:color w:val="000000"/>
          <w:spacing w:val="0"/>
          <w:sz w:val="24"/>
          <w:szCs w:val="24"/>
          <w:lang w:val="en-US" w:eastAsia="zh-CN"/>
        </w:rPr>
        <w:t>0</w:t>
      </w:r>
      <w:r>
        <w:rPr>
          <w:rFonts w:hint="eastAsia" w:ascii="宋体" w:hAnsi="宋体" w:eastAsia="宋体" w:cs="宋体"/>
          <w:i w:val="0"/>
          <w:iCs w:val="0"/>
          <w:caps w:val="0"/>
          <w:color w:val="000000"/>
          <w:spacing w:val="0"/>
          <w:sz w:val="24"/>
          <w:szCs w:val="24"/>
        </w:rPr>
        <w:t>万元，占</w:t>
      </w:r>
      <w:r>
        <w:rPr>
          <w:rFonts w:hint="eastAsia" w:ascii="宋体" w:hAnsi="宋体" w:eastAsia="宋体" w:cs="宋体"/>
          <w:b w:val="0"/>
          <w:bCs w:val="0"/>
          <w:i w:val="0"/>
          <w:iCs w:val="0"/>
          <w:caps w:val="0"/>
          <w:color w:val="auto"/>
          <w:spacing w:val="0"/>
          <w:sz w:val="24"/>
          <w:szCs w:val="24"/>
          <w:highlight w:val="none"/>
          <w:shd w:val="clear" w:fill="FFFFFF"/>
          <w:lang w:val="en-US" w:eastAsia="zh-CN"/>
        </w:rPr>
        <w:t>0</w:t>
      </w:r>
      <w:r>
        <w:rPr>
          <w:rFonts w:hint="eastAsia" w:ascii="宋体" w:hAnsi="宋体" w:eastAsia="宋体" w:cs="宋体"/>
          <w:i w:val="0"/>
          <w:iCs w:val="0"/>
          <w:caps w:val="0"/>
          <w:color w:val="000000"/>
          <w:spacing w:val="0"/>
          <w:sz w:val="24"/>
          <w:szCs w:val="24"/>
        </w:rPr>
        <w:t>%；上缴上级支出0万元，占0%；经营支出0万元，占0%；对附属单位补助支出0万元，占0%。</w:t>
      </w:r>
    </w:p>
    <w:p>
      <w:pPr>
        <w:spacing w:line="480" w:lineRule="auto"/>
        <w:ind w:firstLine="482" w:firstLineChars="200"/>
        <w:jc w:val="left"/>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（二）基本支出情况</w:t>
      </w:r>
    </w:p>
    <w:p>
      <w:pPr>
        <w:spacing w:line="480" w:lineRule="auto"/>
        <w:ind w:firstLine="480" w:firstLineChars="200"/>
        <w:jc w:val="left"/>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kern w:val="2"/>
          <w:sz w:val="24"/>
          <w:szCs w:val="24"/>
          <w:highlight w:val="none"/>
          <w:shd w:val="clear" w:fill="FFFFFF"/>
          <w:lang w:val="en-US" w:eastAsia="zh-CN" w:bidi="ar-SA"/>
        </w:rPr>
        <w:t>2022年度北塔区编办基本支出年初预算安排</w:t>
      </w:r>
      <w:r>
        <w:rPr>
          <w:rFonts w:hint="eastAsia" w:ascii="宋体" w:hAnsi="宋体" w:eastAsia="宋体" w:cs="宋体"/>
          <w:i w:val="0"/>
          <w:iCs w:val="0"/>
          <w:caps w:val="0"/>
          <w:color w:val="000000"/>
          <w:spacing w:val="0"/>
          <w:sz w:val="24"/>
          <w:szCs w:val="24"/>
          <w:lang w:val="en-US" w:eastAsia="zh-CN"/>
        </w:rPr>
        <w:t>86.56</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万元，本年实际支出为</w:t>
      </w:r>
      <w:r>
        <w:rPr>
          <w:rFonts w:hint="eastAsia" w:ascii="宋体" w:hAnsi="宋体" w:eastAsia="宋体" w:cs="宋体"/>
          <w:i w:val="0"/>
          <w:iCs w:val="0"/>
          <w:caps w:val="0"/>
          <w:color w:val="000000"/>
          <w:spacing w:val="0"/>
          <w:sz w:val="24"/>
          <w:szCs w:val="24"/>
          <w:lang w:val="en-US" w:eastAsia="zh-CN"/>
        </w:rPr>
        <w:t>120.49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万元，主要为人员经费支出和公用经费支出，其中人员经费支出92.22万元、公用经费支出28.27万元。</w:t>
      </w:r>
    </w:p>
    <w:p>
      <w:pPr>
        <w:numPr>
          <w:ilvl w:val="0"/>
          <w:numId w:val="1"/>
        </w:numPr>
        <w:spacing w:line="480" w:lineRule="auto"/>
        <w:ind w:left="0" w:leftChars="0" w:firstLine="482" w:firstLineChars="200"/>
        <w:jc w:val="left"/>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项目支出情况</w:t>
      </w:r>
    </w:p>
    <w:p>
      <w:pPr>
        <w:numPr>
          <w:ilvl w:val="0"/>
          <w:numId w:val="0"/>
        </w:numPr>
        <w:spacing w:line="480" w:lineRule="auto"/>
        <w:ind w:firstLine="480" w:firstLineChars="200"/>
        <w:jc w:val="left"/>
        <w:rPr>
          <w:rFonts w:hint="default"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kern w:val="2"/>
          <w:sz w:val="24"/>
          <w:szCs w:val="24"/>
          <w:highlight w:val="none"/>
          <w:shd w:val="clear" w:fill="FFFFFF"/>
          <w:lang w:val="en-US" w:eastAsia="zh-CN" w:bidi="ar-SA"/>
        </w:rPr>
        <w:t>本年项目支出年初预算安排为20.06万元，本年实际支出为0万元。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482" w:firstLineChars="200"/>
        <w:jc w:val="both"/>
        <w:rPr>
          <w:rFonts w:hint="eastAsia" w:ascii="宋体" w:hAnsi="宋体" w:eastAsia="宋体" w:cs="宋体"/>
          <w:b/>
          <w:bCs/>
          <w:i w:val="0"/>
          <w:iCs w:val="0"/>
          <w:caps w:val="0"/>
          <w:color w:val="auto"/>
          <w:spacing w:val="0"/>
          <w:sz w:val="24"/>
          <w:szCs w:val="24"/>
          <w:highlight w:val="none"/>
          <w:shd w:val="clear" w:fill="FFFFFF"/>
        </w:rPr>
      </w:pPr>
      <w:r>
        <w:rPr>
          <w:rFonts w:hint="eastAsia" w:ascii="宋体" w:hAnsi="宋体" w:eastAsia="宋体" w:cs="宋体"/>
          <w:b/>
          <w:bCs/>
          <w:i w:val="0"/>
          <w:iCs w:val="0"/>
          <w:caps w:val="0"/>
          <w:color w:val="auto"/>
          <w:spacing w:val="0"/>
          <w:sz w:val="24"/>
          <w:szCs w:val="24"/>
          <w:highlight w:val="none"/>
          <w:shd w:val="clear" w:fill="FFFFFF"/>
          <w:lang w:val="en-US" w:eastAsia="zh-CN"/>
        </w:rPr>
        <w:t>三</w:t>
      </w:r>
      <w:r>
        <w:rPr>
          <w:rFonts w:hint="eastAsia" w:ascii="宋体" w:hAnsi="宋体" w:eastAsia="宋体" w:cs="宋体"/>
          <w:b/>
          <w:bCs/>
          <w:i w:val="0"/>
          <w:iCs w:val="0"/>
          <w:caps w:val="0"/>
          <w:color w:val="auto"/>
          <w:spacing w:val="0"/>
          <w:sz w:val="24"/>
          <w:szCs w:val="24"/>
          <w:highlight w:val="none"/>
          <w:shd w:val="clear" w:fill="FFFFFF"/>
        </w:rPr>
        <w:t>、部门整体支出绩效情况</w:t>
      </w:r>
    </w:p>
    <w:p>
      <w:pPr>
        <w:spacing w:line="480" w:lineRule="auto"/>
        <w:ind w:firstLine="482" w:firstLineChars="200"/>
        <w:jc w:val="left"/>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4"/>
          <w:szCs w:val="24"/>
          <w:highlight w:val="none"/>
          <w:shd w:val="clear" w:fill="FFFFFF"/>
        </w:rPr>
      </w:pPr>
      <w:r>
        <w:rPr>
          <w:rFonts w:hint="eastAsia" w:ascii="宋体" w:hAnsi="宋体" w:eastAsia="宋体" w:cs="宋体"/>
          <w:b/>
          <w:bCs/>
          <w:i w:val="0"/>
          <w:iCs w:val="0"/>
          <w:caps w:val="0"/>
          <w:color w:val="auto"/>
          <w:spacing w:val="0"/>
          <w:sz w:val="24"/>
          <w:szCs w:val="24"/>
          <w:highlight w:val="none"/>
          <w:shd w:val="clear" w:fill="FFFFFF"/>
        </w:rPr>
        <w:t>1、预算执行情况。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宋体"/>
          <w:i w:val="0"/>
          <w:iCs w:val="0"/>
          <w:caps w:val="0"/>
          <w:color w:val="auto"/>
          <w:spacing w:val="0"/>
          <w:kern w:val="2"/>
          <w:sz w:val="24"/>
          <w:szCs w:val="24"/>
          <w:highlight w:val="none"/>
          <w:shd w:val="clear" w:fill="FFFFFF"/>
          <w:lang w:val="en-US" w:eastAsia="zh-CN" w:bidi="ar-SA"/>
        </w:rPr>
        <w:t>⑴2022年财政拨款预算执行数120.49万元，预算安排数106.62万元，预算执行率为113.01%；当年预算有超支13.87万元。 ⑵公用经费预算29.83万元，实际支出28.27万元，公用经费控制率为94.77%；（3）“三公经费”年初预算安排0万元，实际支出0万元（4）政府采购年初预算0万元，实际政府采购金额0万元。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highlight w:val="none"/>
          <w:shd w:val="clear" w:fill="FFFFFF"/>
          <w:lang w:val="en-US" w:eastAsia="zh-CN" w:bidi="ar-SA"/>
        </w:rPr>
        <w:t>（2）、</w:t>
      </w:r>
      <w:r>
        <w:rPr>
          <w:rFonts w:hint="eastAsia" w:ascii="宋体" w:hAnsi="宋体" w:eastAsia="宋体" w:cs="宋体"/>
          <w:b/>
          <w:bCs/>
          <w:i w:val="0"/>
          <w:iCs w:val="0"/>
          <w:caps w:val="0"/>
          <w:color w:val="auto"/>
          <w:spacing w:val="0"/>
          <w:sz w:val="24"/>
          <w:szCs w:val="24"/>
          <w:highlight w:val="none"/>
          <w:shd w:val="clear" w:fill="FFFFFF"/>
        </w:rPr>
        <w:t>预决算信息公开情况。</w:t>
      </w:r>
      <w:r>
        <w:rPr>
          <w:rFonts w:hint="eastAsia" w:ascii="宋体" w:hAnsi="宋体" w:eastAsia="宋体" w:cs="宋体"/>
          <w:b w:val="0"/>
          <w:bCs w:val="0"/>
          <w:i w:val="0"/>
          <w:iCs w:val="0"/>
          <w:caps w:val="0"/>
          <w:color w:val="auto"/>
          <w:spacing w:val="0"/>
          <w:sz w:val="24"/>
          <w:szCs w:val="24"/>
          <w:highlight w:val="none"/>
          <w:shd w:val="clear" w:fill="FFFFFF"/>
          <w:lang w:eastAsia="zh-CN"/>
        </w:rPr>
        <w:t>北塔区</w:t>
      </w:r>
      <w:r>
        <w:rPr>
          <w:rFonts w:hint="eastAsia" w:ascii="宋体" w:hAnsi="宋体" w:eastAsia="宋体" w:cs="宋体"/>
          <w:b w:val="0"/>
          <w:bCs w:val="0"/>
          <w:i w:val="0"/>
          <w:iCs w:val="0"/>
          <w:caps w:val="0"/>
          <w:color w:val="auto"/>
          <w:spacing w:val="0"/>
          <w:sz w:val="24"/>
          <w:szCs w:val="24"/>
          <w:highlight w:val="none"/>
          <w:shd w:val="clear" w:fill="FFFFFF"/>
          <w:lang w:val="en-US" w:eastAsia="zh-CN"/>
        </w:rPr>
        <w:t>编办</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24"/>
          <w:szCs w:val="24"/>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b/>
          <w:bCs/>
          <w:i w:val="0"/>
          <w:iCs w:val="0"/>
          <w:caps w:val="0"/>
          <w:color w:val="auto"/>
          <w:spacing w:val="0"/>
          <w:sz w:val="24"/>
          <w:szCs w:val="24"/>
          <w:shd w:val="clear" w:fill="FFFFFF"/>
          <w:lang w:val="en-US" w:eastAsia="zh-CN"/>
        </w:rPr>
        <w:t>（3）</w:t>
      </w:r>
      <w:r>
        <w:rPr>
          <w:rFonts w:hint="eastAsia" w:ascii="宋体" w:hAnsi="宋体" w:eastAsia="宋体" w:cs="宋体"/>
          <w:b/>
          <w:bCs/>
          <w:i w:val="0"/>
          <w:iCs w:val="0"/>
          <w:caps w:val="0"/>
          <w:color w:val="auto"/>
          <w:spacing w:val="0"/>
          <w:sz w:val="24"/>
          <w:szCs w:val="24"/>
          <w:shd w:val="clear" w:fill="FFFFFF"/>
        </w:rPr>
        <w:t>、资产管理情况。</w:t>
      </w:r>
      <w:r>
        <w:rPr>
          <w:rFonts w:hint="eastAsia" w:ascii="宋体" w:hAnsi="宋体" w:eastAsia="宋体" w:cs="宋体"/>
          <w:i w:val="0"/>
          <w:iCs w:val="0"/>
          <w:caps w:val="0"/>
          <w:color w:val="auto"/>
          <w:spacing w:val="0"/>
          <w:kern w:val="2"/>
          <w:sz w:val="24"/>
          <w:szCs w:val="24"/>
          <w:shd w:val="clear" w:fill="FFFFFF"/>
          <w:lang w:val="en-US" w:eastAsia="zh-CN" w:bidi="ar-SA"/>
        </w:rPr>
        <w:t>截止2022年12月31日，</w:t>
      </w:r>
      <w:r>
        <w:rPr>
          <w:rFonts w:hint="eastAsia" w:ascii="宋体" w:hAnsi="宋体" w:eastAsia="宋体" w:cs="宋体"/>
          <w:color w:val="auto"/>
          <w:sz w:val="24"/>
          <w:szCs w:val="24"/>
          <w:lang w:eastAsia="zh-CN"/>
        </w:rPr>
        <w:t>北塔区</w:t>
      </w:r>
      <w:r>
        <w:rPr>
          <w:rFonts w:hint="eastAsia" w:ascii="宋体" w:hAnsi="宋体" w:eastAsia="宋体" w:cs="宋体"/>
          <w:b w:val="0"/>
          <w:bCs w:val="0"/>
          <w:i w:val="0"/>
          <w:iCs w:val="0"/>
          <w:caps w:val="0"/>
          <w:color w:val="auto"/>
          <w:spacing w:val="0"/>
          <w:sz w:val="24"/>
          <w:szCs w:val="24"/>
          <w:highlight w:val="none"/>
          <w:shd w:val="clear" w:fill="FFFFFF"/>
          <w:lang w:val="en-US" w:eastAsia="zh-CN"/>
        </w:rPr>
        <w:t>编办</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拥有各类资产总额2.93万元，其中流动资产1.33万元，固定资产净值1.6万元。单位为加强资产管理，内部制定了资产管理制度，</w:t>
      </w:r>
      <w:r>
        <w:rPr>
          <w:rFonts w:hint="eastAsia" w:ascii="宋体" w:hAnsi="宋体" w:eastAsia="宋体" w:cs="宋体"/>
          <w:i w:val="0"/>
          <w:iCs w:val="0"/>
          <w:caps w:val="0"/>
          <w:color w:val="auto"/>
          <w:spacing w:val="0"/>
          <w:kern w:val="2"/>
          <w:sz w:val="24"/>
          <w:szCs w:val="24"/>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482" w:firstLineChars="20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预算执行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预算管理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为规范机关财务管理，建立健全财务管理制度，我</w:t>
      </w:r>
      <w:r>
        <w:rPr>
          <w:rFonts w:hint="eastAsia" w:ascii="宋体" w:hAnsi="宋体" w:eastAsia="宋体" w:cs="宋体"/>
          <w:b w:val="0"/>
          <w:bCs w:val="0"/>
          <w:sz w:val="24"/>
          <w:szCs w:val="24"/>
          <w:lang w:val="en-US" w:eastAsia="zh-CN"/>
        </w:rPr>
        <w:t>办</w:t>
      </w:r>
      <w:r>
        <w:rPr>
          <w:rFonts w:hint="eastAsia" w:ascii="宋体" w:hAnsi="宋体" w:eastAsia="宋体" w:cs="宋体"/>
          <w:b w:val="0"/>
          <w:bCs w:val="0"/>
          <w:sz w:val="24"/>
          <w:szCs w:val="24"/>
        </w:rPr>
        <w:t>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提升支出绩效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年，我</w:t>
      </w:r>
      <w:r>
        <w:rPr>
          <w:rFonts w:hint="eastAsia" w:ascii="宋体" w:hAnsi="宋体" w:eastAsia="宋体" w:cs="宋体"/>
          <w:b w:val="0"/>
          <w:bCs w:val="0"/>
          <w:sz w:val="24"/>
          <w:szCs w:val="24"/>
          <w:lang w:val="en-US" w:eastAsia="zh-CN"/>
        </w:rPr>
        <w:t>办</w:t>
      </w:r>
      <w:r>
        <w:rPr>
          <w:rFonts w:hint="eastAsia" w:ascii="宋体" w:hAnsi="宋体" w:eastAsia="宋体" w:cs="宋体"/>
          <w:b w:val="0"/>
          <w:bCs w:val="0"/>
          <w:sz w:val="24"/>
          <w:szCs w:val="24"/>
        </w:rPr>
        <w:t>全面落实区委、区政府的各项工作部署，牢固树立发展意识，大力弘扬实干精神，扎实推进各项工作，各项工作任务全面完成，财务管理规范，单位行政运行稳定有序。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i w:val="0"/>
          <w:iCs w:val="0"/>
          <w:caps w:val="0"/>
          <w:color w:val="auto"/>
          <w:spacing w:val="0"/>
          <w:kern w:val="2"/>
          <w:sz w:val="24"/>
          <w:szCs w:val="24"/>
          <w:shd w:val="clear" w:fill="FFFFFF"/>
          <w:lang w:val="en-US" w:eastAsia="zh-CN" w:bidi="ar-SA"/>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评价结论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我</w:t>
      </w:r>
      <w:r>
        <w:rPr>
          <w:rFonts w:hint="eastAsia" w:ascii="宋体" w:hAnsi="宋体" w:eastAsia="宋体" w:cs="宋体"/>
          <w:b w:val="0"/>
          <w:bCs w:val="0"/>
          <w:sz w:val="24"/>
          <w:szCs w:val="24"/>
          <w:lang w:val="en-US" w:eastAsia="zh-CN"/>
        </w:rPr>
        <w:t>办</w:t>
      </w:r>
      <w:r>
        <w:rPr>
          <w:rFonts w:hint="eastAsia" w:ascii="宋体" w:hAnsi="宋体" w:eastAsia="宋体" w:cs="宋体"/>
          <w:b w:val="0"/>
          <w:bCs w:val="0"/>
          <w:sz w:val="24"/>
          <w:szCs w:val="24"/>
        </w:rPr>
        <w:t>认真组织开展整体支出绩效自评，自评等级“良好”。</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存在的问题及原因分析</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预算编制不够明确和细化，预算编制的合理性需要提高，预算执行力还要进一步加强。资金使用效益有待进一步提高，绩效目标设立不够明确、细化和量化。</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人员素质有待提高。由于人员变动，单位对相关绩效管理业务的熟练，加上缺乏系统的培训，业务操作水平有限。</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综合评价情况及评价结论</w:t>
      </w:r>
    </w:p>
    <w:p>
      <w:pPr>
        <w:pStyle w:val="5"/>
        <w:widowControl/>
        <w:spacing w:after="300" w:line="600" w:lineRule="atLeast"/>
        <w:ind w:firstLine="560" w:firstLineChars="200"/>
        <w:jc w:val="left"/>
      </w:pPr>
      <w:r>
        <w:rPr>
          <w:rFonts w:hint="eastAsia" w:ascii="宋体" w:hAnsi="宋体" w:eastAsia="宋体" w:cs="宋体"/>
          <w:color w:val="444444"/>
          <w:kern w:val="0"/>
          <w:sz w:val="28"/>
          <w:szCs w:val="28"/>
          <w:shd w:val="clear" w:color="auto" w:fill="FFFFFF"/>
        </w:rPr>
        <w:t>2</w:t>
      </w:r>
      <w:r>
        <w:rPr>
          <w:rFonts w:hint="eastAsia" w:ascii="宋体" w:hAnsi="宋体" w:eastAsia="宋体" w:cs="宋体"/>
          <w:color w:val="444444"/>
          <w:kern w:val="0"/>
          <w:shd w:val="clear" w:color="auto" w:fill="FFFFFF"/>
        </w:rPr>
        <w:t>021年我办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92分，自评结果为良好。</w:t>
      </w:r>
    </w:p>
    <w:p>
      <w:pPr>
        <w:pStyle w:val="5"/>
        <w:widowControl/>
        <w:spacing w:after="300" w:line="600" w:lineRule="atLeast"/>
        <w:ind w:firstLine="482" w:firstLineChars="200"/>
        <w:jc w:val="left"/>
        <w:rPr>
          <w:rFonts w:ascii="宋体" w:hAnsi="宋体" w:eastAsia="宋体" w:cs="宋体"/>
          <w:color w:val="444444"/>
          <w:kern w:val="0"/>
          <w:sz w:val="28"/>
          <w:szCs w:val="28"/>
          <w:shd w:val="clear" w:color="auto" w:fill="FFFFFF"/>
        </w:rPr>
      </w:pPr>
      <w:r>
        <w:rPr>
          <w:rFonts w:hint="eastAsia" w:ascii="宋体" w:hAnsi="宋体" w:eastAsia="宋体" w:cs="宋体"/>
          <w:b/>
          <w:bCs/>
          <w:i w:val="0"/>
          <w:iCs w:val="0"/>
          <w:caps w:val="0"/>
          <w:color w:val="auto"/>
          <w:spacing w:val="0"/>
          <w:sz w:val="24"/>
          <w:szCs w:val="24"/>
          <w:shd w:val="clear" w:fill="FFFFFF"/>
          <w:lang w:val="en-US" w:eastAsia="zh-CN"/>
        </w:rPr>
        <w:t>六、存在的问题及原因分析</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1、绩效评价工作机制有待进一步完善，由于在平时工作中未加强对绩效监控工作的重视，绩效监控工作容易滞后，未形成对绩效目标进行监控的习惯。</w:t>
      </w:r>
    </w:p>
    <w:p>
      <w:pPr>
        <w:shd w:val="clear" w:color="auto" w:fill="FFFFFF"/>
        <w:spacing w:before="100" w:beforeAutospacing="1"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2</w:t>
      </w:r>
      <w:bookmarkStart w:id="1" w:name="_GoBack"/>
      <w:bookmarkEnd w:id="1"/>
      <w:r>
        <w:rPr>
          <w:rFonts w:hint="eastAsia" w:ascii="宋体" w:hAnsi="宋体" w:eastAsia="宋体" w:cs="宋体"/>
          <w:color w:val="1E1E1E"/>
          <w:sz w:val="24"/>
        </w:rPr>
        <w:t>、在编制部门年度预算时，虽然根据本单位职能职责和年度工作计划编制，但在2021年部门预算执行过程中，仍然存在一些问题，如年初预算编制不合理或部分经费计划比较紧张，往往需要在年度中间进行预算追加和调整。</w:t>
      </w:r>
    </w:p>
    <w:p>
      <w:pPr>
        <w:pStyle w:val="5"/>
        <w:widowControl/>
        <w:spacing w:after="300" w:line="600" w:lineRule="atLeast"/>
        <w:jc w:val="left"/>
      </w:pPr>
    </w:p>
    <w:p>
      <w:pPr>
        <w:pStyle w:val="5"/>
        <w:widowControl/>
        <w:spacing w:after="300" w:line="600" w:lineRule="atLeast"/>
        <w:ind w:firstLine="482" w:firstLineChars="200"/>
        <w:jc w:val="left"/>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七、下一步改进措施</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（一）进一步加强项目资金管理</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（二）进一步提高绩效管理水平</w:t>
      </w:r>
    </w:p>
    <w:p>
      <w:pPr>
        <w:shd w:val="clear" w:color="auto" w:fill="FFFFFF"/>
        <w:spacing w:before="100" w:beforeAutospacing="1"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加强预算执行的准确性，开展好支出绩效管理工作，运用好绩效评价结果，不断提升绩效管理水平。</w:t>
      </w:r>
    </w:p>
    <w:p>
      <w:pPr>
        <w:pStyle w:val="5"/>
        <w:widowControl/>
        <w:spacing w:after="300" w:line="600" w:lineRule="atLeast"/>
        <w:jc w:val="left"/>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429"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noWrap/>
            <w:vAlign w:val="center"/>
          </w:tcPr>
          <w:p>
            <w:pPr>
              <w:widowControl/>
              <w:jc w:val="center"/>
              <w:rPr>
                <w:rFonts w:ascii="宋体" w:hAnsi="宋体" w:eastAsia="宋体" w:cs="宋体"/>
                <w:b/>
                <w:bCs/>
                <w:kern w:val="0"/>
                <w:sz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非税收入完成率=（2021年度非税实际收入完成数/2021年度非税收入预算数）×100%，有减免因素的，以非税局确定的为准。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left"/>
              <w:rPr>
                <w:rFonts w:ascii="仿宋_GB2312" w:hAnsi="宋体" w:eastAsia="仿宋_GB2312" w:cs="宋体"/>
                <w:kern w:val="0"/>
                <w:sz w:val="20"/>
                <w:szCs w:val="20"/>
              </w:rPr>
            </w:pP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rPr>
                <w:rFonts w:ascii="仿宋_GB2312" w:hAnsi="宋体" w:eastAsia="仿宋_GB2312" w:cs="宋体"/>
                <w:kern w:val="0"/>
                <w:sz w:val="20"/>
                <w:szCs w:val="20"/>
              </w:rPr>
            </w:pPr>
          </w:p>
        </w:tc>
        <w:tc>
          <w:tcPr>
            <w:tcW w:w="3118" w:type="dxa"/>
            <w:tcBorders>
              <w:top w:val="single" w:color="auto" w:sz="4" w:space="0"/>
            </w:tcBorders>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p>
        </w:tc>
        <w:tc>
          <w:tcPr>
            <w:tcW w:w="851"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ign w:val="center"/>
          </w:tcPr>
          <w:p>
            <w:pPr>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textDirection w:val="tbRlV"/>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ign w:val="center"/>
          </w:tcPr>
          <w:p>
            <w:pPr>
              <w:autoSpaceDN w:val="0"/>
              <w:jc w:val="left"/>
              <w:textAlignment w:val="center"/>
              <w:rPr>
                <w:rFonts w:ascii="仿宋_GB2312" w:hAnsi="宋体" w:eastAsia="仿宋_GB2312" w:cs="宋体"/>
                <w:kern w:val="0"/>
                <w:sz w:val="20"/>
                <w:szCs w:val="20"/>
              </w:rPr>
            </w:pPr>
          </w:p>
        </w:tc>
        <w:tc>
          <w:tcPr>
            <w:tcW w:w="617" w:type="dxa"/>
            <w:noWrap/>
            <w:vAlign w:val="center"/>
          </w:tcPr>
          <w:p>
            <w:pPr>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此三项指标可根据部门实际并结合2021年度部门整体支出绩效目标设立情况有选择的进行评价。</w:t>
            </w:r>
          </w:p>
        </w:tc>
        <w:tc>
          <w:tcPr>
            <w:tcW w:w="617"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92</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E7161"/>
    <w:multiLevelType w:val="singleLevel"/>
    <w:tmpl w:val="A71E7161"/>
    <w:lvl w:ilvl="0" w:tentative="0">
      <w:start w:val="2"/>
      <w:numFmt w:val="chineseCounting"/>
      <w:suff w:val="nothing"/>
      <w:lvlText w:val="（%1）"/>
      <w:lvlJc w:val="left"/>
      <w:rPr>
        <w:rFonts w:hint="eastAsia"/>
      </w:rPr>
    </w:lvl>
  </w:abstractNum>
  <w:abstractNum w:abstractNumId="1">
    <w:nsid w:val="AA82F546"/>
    <w:multiLevelType w:val="singleLevel"/>
    <w:tmpl w:val="AA82F546"/>
    <w:lvl w:ilvl="0" w:tentative="0">
      <w:start w:val="1"/>
      <w:numFmt w:val="decimal"/>
      <w:suff w:val="nothing"/>
      <w:lvlText w:val="%1、"/>
      <w:lvlJc w:val="left"/>
    </w:lvl>
  </w:abstractNum>
  <w:abstractNum w:abstractNumId="2">
    <w:nsid w:val="47A77A8D"/>
    <w:multiLevelType w:val="singleLevel"/>
    <w:tmpl w:val="47A77A8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DM5NDllMmFkNTY4YmUxNmI0NDZjN2ZmZmMyYTcifQ=="/>
  </w:docVars>
  <w:rsids>
    <w:rsidRoot w:val="00000000"/>
    <w:rsid w:val="00554C33"/>
    <w:rsid w:val="006D6F3B"/>
    <w:rsid w:val="00D51644"/>
    <w:rsid w:val="025D08EA"/>
    <w:rsid w:val="02936A01"/>
    <w:rsid w:val="02A74CAA"/>
    <w:rsid w:val="02AE7D30"/>
    <w:rsid w:val="038872BA"/>
    <w:rsid w:val="0401638F"/>
    <w:rsid w:val="05213482"/>
    <w:rsid w:val="05480465"/>
    <w:rsid w:val="059D74A7"/>
    <w:rsid w:val="06FD0684"/>
    <w:rsid w:val="09343767"/>
    <w:rsid w:val="09E17252"/>
    <w:rsid w:val="0C9F6413"/>
    <w:rsid w:val="0D5E3707"/>
    <w:rsid w:val="0F1149A4"/>
    <w:rsid w:val="0FCB1A87"/>
    <w:rsid w:val="10B70E37"/>
    <w:rsid w:val="11E84674"/>
    <w:rsid w:val="126C42B4"/>
    <w:rsid w:val="148857D6"/>
    <w:rsid w:val="1526102E"/>
    <w:rsid w:val="17042185"/>
    <w:rsid w:val="17546308"/>
    <w:rsid w:val="17B648CC"/>
    <w:rsid w:val="17DD6E2C"/>
    <w:rsid w:val="18FB06F6"/>
    <w:rsid w:val="191A5DFC"/>
    <w:rsid w:val="1AED7481"/>
    <w:rsid w:val="1D9A1B96"/>
    <w:rsid w:val="1F010C8F"/>
    <w:rsid w:val="20F63895"/>
    <w:rsid w:val="21A92AB0"/>
    <w:rsid w:val="22030E7C"/>
    <w:rsid w:val="22502017"/>
    <w:rsid w:val="2268661C"/>
    <w:rsid w:val="22C37E9D"/>
    <w:rsid w:val="23BE3486"/>
    <w:rsid w:val="25F11D34"/>
    <w:rsid w:val="260157E2"/>
    <w:rsid w:val="26166273"/>
    <w:rsid w:val="276A25B5"/>
    <w:rsid w:val="279836D3"/>
    <w:rsid w:val="282D2052"/>
    <w:rsid w:val="283A2AB0"/>
    <w:rsid w:val="28565BEC"/>
    <w:rsid w:val="2ADF1D1C"/>
    <w:rsid w:val="2B032004"/>
    <w:rsid w:val="2BB25617"/>
    <w:rsid w:val="2C3A1B18"/>
    <w:rsid w:val="2C7529D1"/>
    <w:rsid w:val="2D6C05C8"/>
    <w:rsid w:val="2DB256DE"/>
    <w:rsid w:val="2F064022"/>
    <w:rsid w:val="2F8310E0"/>
    <w:rsid w:val="2FEC7EAB"/>
    <w:rsid w:val="32A1498A"/>
    <w:rsid w:val="34252D98"/>
    <w:rsid w:val="3619015E"/>
    <w:rsid w:val="36334246"/>
    <w:rsid w:val="36E22B02"/>
    <w:rsid w:val="3723656C"/>
    <w:rsid w:val="375C4F25"/>
    <w:rsid w:val="37A26170"/>
    <w:rsid w:val="37AC5E54"/>
    <w:rsid w:val="37FB2FBA"/>
    <w:rsid w:val="38AF35DE"/>
    <w:rsid w:val="38F247D2"/>
    <w:rsid w:val="3A365ACD"/>
    <w:rsid w:val="3A4B20C9"/>
    <w:rsid w:val="3B9303B2"/>
    <w:rsid w:val="3C5D6B3D"/>
    <w:rsid w:val="3C8416D7"/>
    <w:rsid w:val="3D1D5E40"/>
    <w:rsid w:val="3FAB09ED"/>
    <w:rsid w:val="437E6337"/>
    <w:rsid w:val="44AF5D78"/>
    <w:rsid w:val="45833892"/>
    <w:rsid w:val="45CB4E15"/>
    <w:rsid w:val="46250A0C"/>
    <w:rsid w:val="462F1B6A"/>
    <w:rsid w:val="471B0F99"/>
    <w:rsid w:val="47D12ED9"/>
    <w:rsid w:val="492E7EB7"/>
    <w:rsid w:val="49F7299F"/>
    <w:rsid w:val="4A4754D4"/>
    <w:rsid w:val="4ACA7AAB"/>
    <w:rsid w:val="4B991F60"/>
    <w:rsid w:val="4BDD74EA"/>
    <w:rsid w:val="4C455C43"/>
    <w:rsid w:val="4C76548C"/>
    <w:rsid w:val="4D113C42"/>
    <w:rsid w:val="4E58558A"/>
    <w:rsid w:val="4F3501F1"/>
    <w:rsid w:val="4FB97D79"/>
    <w:rsid w:val="514A0D2E"/>
    <w:rsid w:val="51D860AE"/>
    <w:rsid w:val="52C04276"/>
    <w:rsid w:val="53202F66"/>
    <w:rsid w:val="54517DF8"/>
    <w:rsid w:val="55C776C9"/>
    <w:rsid w:val="575435C3"/>
    <w:rsid w:val="58CA4CA4"/>
    <w:rsid w:val="59A70B1E"/>
    <w:rsid w:val="59E60318"/>
    <w:rsid w:val="59E6787C"/>
    <w:rsid w:val="59F93ABE"/>
    <w:rsid w:val="5B872328"/>
    <w:rsid w:val="5C0F156B"/>
    <w:rsid w:val="5C8E7193"/>
    <w:rsid w:val="5CBC5F90"/>
    <w:rsid w:val="5E6D1153"/>
    <w:rsid w:val="5F83500A"/>
    <w:rsid w:val="60745B56"/>
    <w:rsid w:val="611076B5"/>
    <w:rsid w:val="61371BA7"/>
    <w:rsid w:val="63726C8A"/>
    <w:rsid w:val="641F097E"/>
    <w:rsid w:val="65236940"/>
    <w:rsid w:val="65C43C25"/>
    <w:rsid w:val="664A41B0"/>
    <w:rsid w:val="66D16D4F"/>
    <w:rsid w:val="66FE6113"/>
    <w:rsid w:val="6768407F"/>
    <w:rsid w:val="6A8F6051"/>
    <w:rsid w:val="6B874FA2"/>
    <w:rsid w:val="6C3C4515"/>
    <w:rsid w:val="6C6B54E9"/>
    <w:rsid w:val="6CB322FE"/>
    <w:rsid w:val="6D126145"/>
    <w:rsid w:val="6E443B55"/>
    <w:rsid w:val="6FD52562"/>
    <w:rsid w:val="70246EC1"/>
    <w:rsid w:val="70514092"/>
    <w:rsid w:val="70852420"/>
    <w:rsid w:val="71881FAB"/>
    <w:rsid w:val="722B120E"/>
    <w:rsid w:val="72BF541A"/>
    <w:rsid w:val="72DA6836"/>
    <w:rsid w:val="73125FD0"/>
    <w:rsid w:val="734F209E"/>
    <w:rsid w:val="73781BAB"/>
    <w:rsid w:val="76DC35F5"/>
    <w:rsid w:val="77CF26E1"/>
    <w:rsid w:val="78231A59"/>
    <w:rsid w:val="7832658D"/>
    <w:rsid w:val="79074D5F"/>
    <w:rsid w:val="7A21330E"/>
    <w:rsid w:val="7AF745AA"/>
    <w:rsid w:val="7B7D06A6"/>
    <w:rsid w:val="7BA62A3A"/>
    <w:rsid w:val="7CF23984"/>
    <w:rsid w:val="7D3D1E9B"/>
    <w:rsid w:val="7D5055C7"/>
    <w:rsid w:val="7EEE7268"/>
    <w:rsid w:val="7F066102"/>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semiHidden/>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1</TotalTime>
  <ScaleCrop>false</ScaleCrop>
  <LinksUpToDate>false</LinksUpToDate>
  <CharactersWithSpaces>2541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2023-12-13T07:38:10Z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0DB979710480483D8E7EB4352FEA047B_13</vt:lpwstr>
  </property>
</Properties>
</file>