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default" w:ascii="Times New Roman" w:hAnsi="Times New Roman" w:cs="Times New Roman"/>
        </w:rPr>
      </w:pPr>
    </w:p>
    <w:p>
      <w:pPr>
        <w:pStyle w:val="5"/>
        <w:rPr>
          <w:rFonts w:hint="default" w:ascii="Times New Roman" w:hAnsi="Times New Roman" w:cs="Times New Roman"/>
        </w:rPr>
      </w:pPr>
    </w:p>
    <w:p>
      <w:pPr>
        <w:pStyle w:val="5"/>
        <w:rPr>
          <w:rFonts w:hint="default" w:ascii="Times New Roman" w:hAnsi="Times New Roman" w:cs="Times New Roman"/>
        </w:rPr>
      </w:pPr>
    </w:p>
    <w:p>
      <w:pPr>
        <w:pStyle w:val="5"/>
        <w:rPr>
          <w:rFonts w:hint="default" w:ascii="Times New Roman" w:hAnsi="Times New Roman" w:cs="Times New Roman"/>
        </w:rPr>
      </w:pPr>
    </w:p>
    <w:p>
      <w:pPr>
        <w:pStyle w:val="5"/>
        <w:rPr>
          <w:rFonts w:hint="default" w:ascii="Times New Roman" w:hAnsi="Times New Roman" w:cs="Times New Roman"/>
        </w:rPr>
      </w:pPr>
    </w:p>
    <w:p>
      <w:pPr>
        <w:pStyle w:val="5"/>
        <w:rPr>
          <w:rFonts w:hint="default" w:ascii="Times New Roman" w:hAnsi="Times New Roman" w:cs="Times New Roman"/>
        </w:rPr>
      </w:pPr>
    </w:p>
    <w:p>
      <w:pPr>
        <w:pStyle w:val="5"/>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cs="Times New Roman"/>
        </w:rPr>
      </w:pPr>
      <w:bookmarkStart w:id="40" w:name="_GoBack"/>
      <w:bookmarkEnd w:id="40"/>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邵阳市北塔区畜牧水产事务中心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2022年度部门整体支出绩效评价报告</w:t>
      </w:r>
    </w:p>
    <w:p>
      <w:pPr>
        <w:pStyle w:val="10"/>
        <w:rPr>
          <w:rFonts w:hint="default" w:ascii="Times New Roman" w:hAnsi="Times New Roman" w:cs="Times New Roman"/>
        </w:rPr>
      </w:pPr>
    </w:p>
    <w:p>
      <w:pPr>
        <w:pStyle w:val="10"/>
        <w:rPr>
          <w:rFonts w:hint="default" w:ascii="Times New Roman" w:hAnsi="Times New Roman" w:cs="Times New Roman"/>
        </w:rPr>
      </w:pPr>
    </w:p>
    <w:p>
      <w:pPr>
        <w:pStyle w:val="22"/>
        <w:rPr>
          <w:rFonts w:hint="default" w:ascii="Times New Roman" w:hAnsi="Times New Roman" w:eastAsia="宋体" w:cs="Times New Roman"/>
          <w:spacing w:val="-8"/>
          <w:sz w:val="43"/>
          <w:szCs w:val="43"/>
          <w14:textOutline w14:w="7810" w14:cap="flat" w14:cmpd="sng">
            <w14:solidFill>
              <w14:srgbClr w14:val="000000"/>
            </w14:solidFill>
            <w14:prstDash w14:val="solid"/>
            <w14:miter w14:val="0"/>
          </w14:textOutline>
        </w:rPr>
      </w:pPr>
    </w:p>
    <w:p>
      <w:pPr>
        <w:jc w:val="center"/>
        <w:rPr>
          <w:rFonts w:hint="default" w:ascii="Times New Roman" w:hAnsi="Times New Roman" w:eastAsia="仿宋" w:cs="Times New Roman"/>
          <w:b/>
          <w:bCs/>
          <w:sz w:val="32"/>
          <w:szCs w:val="32"/>
        </w:rPr>
      </w:pPr>
    </w:p>
    <w:p>
      <w:pPr>
        <w:jc w:val="center"/>
        <w:rPr>
          <w:rFonts w:hint="default" w:ascii="Times New Roman" w:hAnsi="Times New Roman" w:eastAsia="仿宋" w:cs="Times New Roman"/>
          <w:b/>
          <w:bCs/>
          <w:sz w:val="32"/>
          <w:szCs w:val="32"/>
        </w:rPr>
      </w:pPr>
    </w:p>
    <w:p>
      <w:pPr>
        <w:pStyle w:val="23"/>
        <w:ind w:left="0" w:leftChars="0" w:firstLine="0" w:firstLineChars="0"/>
        <w:rPr>
          <w:rFonts w:hint="default" w:ascii="Times New Roman" w:hAnsi="Times New Roman" w:eastAsia="仿宋" w:cs="Times New Roman"/>
          <w:b/>
          <w:bCs/>
          <w:sz w:val="30"/>
          <w:szCs w:val="30"/>
        </w:rPr>
      </w:pPr>
    </w:p>
    <w:p>
      <w:pPr>
        <w:pStyle w:val="23"/>
        <w:ind w:left="0" w:leftChars="0" w:firstLine="0" w:firstLineChars="0"/>
        <w:rPr>
          <w:rFonts w:hint="default" w:ascii="Times New Roman" w:hAnsi="Times New Roman" w:eastAsia="仿宋" w:cs="Times New Roman"/>
          <w:b/>
          <w:bCs/>
          <w:sz w:val="30"/>
          <w:szCs w:val="30"/>
        </w:rPr>
      </w:pPr>
    </w:p>
    <w:p>
      <w:pPr>
        <w:pStyle w:val="23"/>
        <w:ind w:left="0" w:leftChars="0" w:firstLine="0" w:firstLineChars="0"/>
        <w:rPr>
          <w:rFonts w:hint="default" w:ascii="Times New Roman" w:hAnsi="Times New Roman" w:eastAsia="仿宋" w:cs="Times New Roman"/>
          <w:b/>
          <w:bCs/>
          <w:sz w:val="30"/>
          <w:szCs w:val="30"/>
        </w:rPr>
      </w:pPr>
    </w:p>
    <w:p>
      <w:pPr>
        <w:pStyle w:val="23"/>
        <w:ind w:left="0" w:leftChars="0" w:firstLine="0" w:firstLineChars="0"/>
        <w:rPr>
          <w:rFonts w:hint="default" w:ascii="Times New Roman" w:hAnsi="Times New Roman" w:eastAsia="仿宋"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outlineLvl w:val="9"/>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rPr>
        <w:t>湖南财正会计师事务所</w:t>
      </w:r>
      <w:r>
        <w:rPr>
          <w:rFonts w:hint="default" w:ascii="Times New Roman" w:hAnsi="Times New Roman" w:eastAsia="仿宋" w:cs="Times New Roman"/>
          <w:b/>
          <w:bCs/>
          <w:sz w:val="32"/>
          <w:szCs w:val="32"/>
          <w:lang w:val="en-US" w:eastAsia="zh-CN"/>
        </w:rPr>
        <w:t>（普通合伙）</w:t>
      </w:r>
    </w:p>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outlineLvl w:val="9"/>
        <w:rPr>
          <w:rFonts w:hint="default" w:ascii="Times New Roman" w:hAnsi="Times New Roman" w:eastAsia="仿宋" w:cs="Times New Roman"/>
          <w:b/>
          <w:bCs/>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default" w:ascii="Times New Roman" w:hAnsi="Times New Roman" w:eastAsia="仿宋" w:cs="Times New Roman"/>
          <w:b/>
          <w:bCs/>
          <w:sz w:val="32"/>
          <w:szCs w:val="32"/>
          <w:highlight w:val="none"/>
        </w:rPr>
        <w:t>二〇二</w:t>
      </w:r>
      <w:r>
        <w:rPr>
          <w:rFonts w:hint="default" w:ascii="Times New Roman" w:hAnsi="Times New Roman" w:eastAsia="仿宋" w:cs="Times New Roman"/>
          <w:b/>
          <w:bCs/>
          <w:sz w:val="32"/>
          <w:szCs w:val="32"/>
          <w:highlight w:val="none"/>
          <w:lang w:val="en-US" w:eastAsia="zh-CN"/>
        </w:rPr>
        <w:t>三</w:t>
      </w:r>
      <w:r>
        <w:rPr>
          <w:rFonts w:hint="default" w:ascii="Times New Roman" w:hAnsi="Times New Roman" w:eastAsia="仿宋" w:cs="Times New Roman"/>
          <w:b/>
          <w:bCs/>
          <w:sz w:val="32"/>
          <w:szCs w:val="32"/>
          <w:highlight w:val="none"/>
        </w:rPr>
        <w:t>年</w:t>
      </w:r>
      <w:r>
        <w:rPr>
          <w:rFonts w:hint="default" w:ascii="Times New Roman" w:hAnsi="Times New Roman" w:eastAsia="仿宋" w:cs="Times New Roman"/>
          <w:b/>
          <w:bCs/>
          <w:sz w:val="32"/>
          <w:szCs w:val="32"/>
          <w:highlight w:val="none"/>
          <w:lang w:val="en-US" w:eastAsia="zh-CN"/>
        </w:rPr>
        <w:t>十</w:t>
      </w:r>
      <w:r>
        <w:rPr>
          <w:rFonts w:hint="default" w:ascii="Times New Roman" w:hAnsi="Times New Roman" w:eastAsia="仿宋" w:cs="Times New Roman"/>
          <w:b/>
          <w:bCs/>
          <w:sz w:val="32"/>
          <w:szCs w:val="32"/>
          <w:highlight w:val="none"/>
        </w:rPr>
        <w:t>月</w:t>
      </w:r>
    </w:p>
    <w:sdt>
      <w:sdtPr>
        <w:rPr>
          <w:rFonts w:hint="eastAsia" w:ascii="方正小标宋_GBK" w:hAnsi="方正小标宋_GBK" w:eastAsia="方正小标宋_GBK" w:cs="方正小标宋_GBK"/>
          <w:b w:val="0"/>
          <w:bCs w:val="0"/>
          <w:kern w:val="2"/>
          <w:sz w:val="44"/>
          <w:szCs w:val="44"/>
          <w:lang w:val="en-US" w:eastAsia="zh-CN" w:bidi="ar-SA"/>
        </w:rPr>
        <w:id w:val="147451260"/>
        <w15:color w:val="DBDBDB"/>
        <w:docPartObj>
          <w:docPartGallery w:val="Table of Contents"/>
          <w:docPartUnique/>
        </w:docPartObj>
      </w:sdtPr>
      <w:sdtEndPr>
        <w:rPr>
          <w:rFonts w:hint="default" w:ascii="Times New Roman" w:hAnsi="Times New Roman" w:eastAsia="仿宋" w:cs="Times New Roman"/>
          <w:b/>
          <w:bCs/>
          <w:kern w:val="2"/>
          <w:sz w:val="31"/>
          <w:szCs w:val="31"/>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仿宋" w:cs="Times New Roman"/>
              <w:kern w:val="2"/>
              <w:sz w:val="32"/>
              <w:szCs w:val="31"/>
              <w:lang w:val="en-US" w:eastAsia="zh-CN" w:bidi="ar-SA"/>
            </w:rPr>
          </w:pPr>
          <w:r>
            <w:rPr>
              <w:rFonts w:hint="eastAsia" w:ascii="方正小标宋_GBK" w:hAnsi="方正小标宋_GBK" w:eastAsia="方正小标宋_GBK" w:cs="方正小标宋_GBK"/>
              <w:b w:val="0"/>
              <w:bCs w:val="0"/>
              <w:sz w:val="44"/>
              <w:szCs w:val="44"/>
            </w:rPr>
            <w:t>目</w:t>
          </w:r>
          <w:r>
            <w:rPr>
              <w:rFonts w:hint="eastAsia" w:ascii="方正小标宋_GBK" w:hAnsi="方正小标宋_GBK" w:eastAsia="方正小标宋_GBK" w:cs="方正小标宋_GBK"/>
              <w:b w:val="0"/>
              <w:bCs w:val="0"/>
              <w:sz w:val="44"/>
              <w:szCs w:val="44"/>
              <w:lang w:val="en-US" w:eastAsia="zh-CN"/>
            </w:rPr>
            <w:t xml:space="preserve"> </w:t>
          </w:r>
          <w:r>
            <w:rPr>
              <w:rFonts w:hint="eastAsia" w:ascii="方正小标宋_GBK" w:hAnsi="方正小标宋_GBK" w:eastAsia="方正小标宋_GBK" w:cs="方正小标宋_GBK"/>
              <w:b w:val="0"/>
              <w:bCs w:val="0"/>
              <w:sz w:val="44"/>
              <w:szCs w:val="44"/>
            </w:rPr>
            <w:t>录</w:t>
          </w:r>
          <w:r>
            <w:rPr>
              <w:rFonts w:hint="default" w:ascii="Times New Roman" w:hAnsi="Times New Roman" w:eastAsia="仿宋" w:cs="Times New Roman"/>
              <w:sz w:val="31"/>
              <w:szCs w:val="31"/>
            </w:rPr>
            <w:fldChar w:fldCharType="begin"/>
          </w:r>
          <w:r>
            <w:rPr>
              <w:rFonts w:hint="default" w:ascii="Times New Roman" w:hAnsi="Times New Roman" w:eastAsia="仿宋" w:cs="Times New Roman"/>
              <w:sz w:val="31"/>
              <w:szCs w:val="31"/>
            </w:rPr>
            <w:instrText xml:space="preserve">TOC \o "1-2" \h \u </w:instrText>
          </w:r>
          <w:r>
            <w:rPr>
              <w:rFonts w:hint="default" w:ascii="Times New Roman" w:hAnsi="Times New Roman" w:eastAsia="仿宋" w:cs="Times New Roman"/>
              <w:sz w:val="31"/>
              <w:szCs w:val="31"/>
            </w:rPr>
            <w:fldChar w:fldCharType="separate"/>
          </w:r>
        </w:p>
        <w:p>
          <w:pPr>
            <w:pStyle w:val="14"/>
            <w:tabs>
              <w:tab w:val="right" w:leader="dot" w:pos="8392"/>
            </w:tabs>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_Toc17556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一、单位基本情况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_Toc17556 \h </w:instrText>
          </w:r>
          <w:r>
            <w:rPr>
              <w:rFonts w:hint="default" w:ascii="Times New Roman" w:hAnsi="Times New Roman" w:eastAsia="仿宋" w:cs="Times New Roman"/>
            </w:rPr>
            <w:fldChar w:fldCharType="separate"/>
          </w:r>
          <w:r>
            <w:rPr>
              <w:rFonts w:hint="default" w:ascii="Times New Roman" w:hAnsi="Times New Roman" w:eastAsia="仿宋" w:cs="Times New Roman"/>
            </w:rPr>
            <w:t>2</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6"/>
            <w:tabs>
              <w:tab w:val="right" w:leader="dot" w:pos="8392"/>
            </w:tabs>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_Toc4706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（一）部门概况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_Toc4706 \h </w:instrText>
          </w:r>
          <w:r>
            <w:rPr>
              <w:rFonts w:hint="default" w:ascii="Times New Roman" w:hAnsi="Times New Roman" w:eastAsia="仿宋" w:cs="Times New Roman"/>
            </w:rPr>
            <w:fldChar w:fldCharType="separate"/>
          </w:r>
          <w:r>
            <w:rPr>
              <w:rFonts w:hint="default" w:ascii="Times New Roman" w:hAnsi="Times New Roman" w:eastAsia="仿宋" w:cs="Times New Roman"/>
            </w:rPr>
            <w:t>2</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6"/>
            <w:tabs>
              <w:tab w:val="right" w:leader="dot" w:pos="8392"/>
            </w:tabs>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_Toc7477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（二）主要职责</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_Toc7477 \h </w:instrText>
          </w:r>
          <w:r>
            <w:rPr>
              <w:rFonts w:hint="default" w:ascii="Times New Roman" w:hAnsi="Times New Roman" w:eastAsia="仿宋" w:cs="Times New Roman"/>
            </w:rPr>
            <w:fldChar w:fldCharType="separate"/>
          </w:r>
          <w:r>
            <w:rPr>
              <w:rFonts w:hint="default" w:ascii="Times New Roman" w:hAnsi="Times New Roman" w:eastAsia="仿宋" w:cs="Times New Roman"/>
            </w:rPr>
            <w:t>2</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6"/>
            <w:tabs>
              <w:tab w:val="right" w:leader="dot" w:pos="8392"/>
            </w:tabs>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_Toc29554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（三）人员情况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_Toc29554 \h </w:instrText>
          </w:r>
          <w:r>
            <w:rPr>
              <w:rFonts w:hint="default" w:ascii="Times New Roman" w:hAnsi="Times New Roman" w:eastAsia="仿宋" w:cs="Times New Roman"/>
            </w:rPr>
            <w:fldChar w:fldCharType="separate"/>
          </w:r>
          <w:r>
            <w:rPr>
              <w:rFonts w:hint="default" w:ascii="Times New Roman" w:hAnsi="Times New Roman" w:eastAsia="仿宋" w:cs="Times New Roman"/>
            </w:rPr>
            <w:t>3</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4"/>
            <w:tabs>
              <w:tab w:val="right" w:leader="dot" w:pos="8392"/>
            </w:tabs>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_Toc21067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二、部门整体收支情况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_Toc21067 \h </w:instrText>
          </w:r>
          <w:r>
            <w:rPr>
              <w:rFonts w:hint="default" w:ascii="Times New Roman" w:hAnsi="Times New Roman" w:eastAsia="仿宋" w:cs="Times New Roman"/>
            </w:rPr>
            <w:fldChar w:fldCharType="separate"/>
          </w:r>
          <w:r>
            <w:rPr>
              <w:rFonts w:hint="default" w:ascii="Times New Roman" w:hAnsi="Times New Roman" w:eastAsia="仿宋" w:cs="Times New Roman"/>
            </w:rPr>
            <w:t>3</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6"/>
            <w:tabs>
              <w:tab w:val="right" w:leader="dot" w:pos="8392"/>
            </w:tabs>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_Toc4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（一）资金收入情况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_Toc4 \h </w:instrText>
          </w:r>
          <w:r>
            <w:rPr>
              <w:rFonts w:hint="default" w:ascii="Times New Roman" w:hAnsi="Times New Roman" w:eastAsia="仿宋" w:cs="Times New Roman"/>
            </w:rPr>
            <w:fldChar w:fldCharType="separate"/>
          </w:r>
          <w:r>
            <w:rPr>
              <w:rFonts w:hint="default" w:ascii="Times New Roman" w:hAnsi="Times New Roman" w:eastAsia="仿宋" w:cs="Times New Roman"/>
            </w:rPr>
            <w:t>3</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6"/>
            <w:tabs>
              <w:tab w:val="right" w:leader="dot" w:pos="8392"/>
            </w:tabs>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_Toc2880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（二）资金支出情况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_Toc2880 \h </w:instrText>
          </w:r>
          <w:r>
            <w:rPr>
              <w:rFonts w:hint="default" w:ascii="Times New Roman" w:hAnsi="Times New Roman" w:eastAsia="仿宋" w:cs="Times New Roman"/>
            </w:rPr>
            <w:fldChar w:fldCharType="separate"/>
          </w:r>
          <w:r>
            <w:rPr>
              <w:rFonts w:hint="default" w:ascii="Times New Roman" w:hAnsi="Times New Roman" w:eastAsia="仿宋" w:cs="Times New Roman"/>
            </w:rPr>
            <w:t>4</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6"/>
            <w:tabs>
              <w:tab w:val="right" w:leader="dot" w:pos="8392"/>
            </w:tabs>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_Toc4806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bCs/>
              <w:szCs w:val="32"/>
              <w:lang w:val="en-US" w:eastAsia="zh-CN"/>
            </w:rPr>
            <w:t>（三）资金管理情况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_Toc4806 \h </w:instrText>
          </w:r>
          <w:r>
            <w:rPr>
              <w:rFonts w:hint="default" w:ascii="Times New Roman" w:hAnsi="Times New Roman" w:eastAsia="仿宋" w:cs="Times New Roman"/>
            </w:rPr>
            <w:fldChar w:fldCharType="separate"/>
          </w:r>
          <w:r>
            <w:rPr>
              <w:rFonts w:hint="default" w:ascii="Times New Roman" w:hAnsi="Times New Roman" w:eastAsia="仿宋" w:cs="Times New Roman"/>
            </w:rPr>
            <w:t>5</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4"/>
            <w:tabs>
              <w:tab w:val="right" w:leader="dot" w:pos="8392"/>
            </w:tabs>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_Toc3377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三、制度建设情况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_Toc3377 \h </w:instrText>
          </w:r>
          <w:r>
            <w:rPr>
              <w:rFonts w:hint="default" w:ascii="Times New Roman" w:hAnsi="Times New Roman" w:eastAsia="仿宋" w:cs="Times New Roman"/>
            </w:rPr>
            <w:fldChar w:fldCharType="separate"/>
          </w:r>
          <w:r>
            <w:rPr>
              <w:rFonts w:hint="default" w:ascii="Times New Roman" w:hAnsi="Times New Roman" w:eastAsia="仿宋" w:cs="Times New Roman"/>
            </w:rPr>
            <w:t>6</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6"/>
            <w:tabs>
              <w:tab w:val="right" w:leader="dot" w:pos="8392"/>
            </w:tabs>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_Toc1255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bCs/>
              <w:szCs w:val="32"/>
              <w:lang w:val="en-US" w:eastAsia="zh-CN"/>
            </w:rPr>
            <w:t>（一）内控制度建设情况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_Toc1255 \h </w:instrText>
          </w:r>
          <w:r>
            <w:rPr>
              <w:rFonts w:hint="default" w:ascii="Times New Roman" w:hAnsi="Times New Roman" w:eastAsia="仿宋" w:cs="Times New Roman"/>
            </w:rPr>
            <w:fldChar w:fldCharType="separate"/>
          </w:r>
          <w:r>
            <w:rPr>
              <w:rFonts w:hint="default" w:ascii="Times New Roman" w:hAnsi="Times New Roman" w:eastAsia="仿宋" w:cs="Times New Roman"/>
            </w:rPr>
            <w:t>6</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6"/>
            <w:tabs>
              <w:tab w:val="right" w:leader="dot" w:pos="8392"/>
            </w:tabs>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_Toc23312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bCs/>
              <w:szCs w:val="32"/>
              <w:lang w:val="en-US" w:eastAsia="zh-CN"/>
            </w:rPr>
            <w:t>（二）资产管理</w:t>
          </w:r>
          <w:r>
            <w:rPr>
              <w:rFonts w:hint="default" w:ascii="Times New Roman" w:hAnsi="Times New Roman" w:eastAsia="仿宋" w:cs="Times New Roman"/>
              <w:lang w:val="en-US" w:eastAsia="zh-CN"/>
            </w:rPr>
            <w:t>制度</w:t>
          </w:r>
          <w:r>
            <w:rPr>
              <w:rFonts w:hint="default" w:ascii="Times New Roman" w:hAnsi="Times New Roman" w:eastAsia="仿宋" w:cs="Times New Roman"/>
              <w:bCs/>
              <w:szCs w:val="32"/>
              <w:lang w:val="en-US" w:eastAsia="zh-CN"/>
            </w:rPr>
            <w:t>建设及使用情况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_Toc23312 \h </w:instrText>
          </w:r>
          <w:r>
            <w:rPr>
              <w:rFonts w:hint="default" w:ascii="Times New Roman" w:hAnsi="Times New Roman" w:eastAsia="仿宋" w:cs="Times New Roman"/>
            </w:rPr>
            <w:fldChar w:fldCharType="separate"/>
          </w:r>
          <w:r>
            <w:rPr>
              <w:rFonts w:hint="default" w:ascii="Times New Roman" w:hAnsi="Times New Roman" w:eastAsia="仿宋" w:cs="Times New Roman"/>
            </w:rPr>
            <w:t>6</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6"/>
            <w:tabs>
              <w:tab w:val="right" w:leader="dot" w:pos="8392"/>
            </w:tabs>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_Toc2595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bCs/>
              <w:szCs w:val="32"/>
              <w:lang w:val="en-US" w:eastAsia="zh-CN"/>
            </w:rPr>
            <w:t>（三）政府采购</w:t>
          </w:r>
          <w:r>
            <w:rPr>
              <w:rFonts w:hint="default" w:ascii="Times New Roman" w:hAnsi="Times New Roman" w:eastAsia="仿宋" w:cs="Times New Roman"/>
              <w:lang w:val="en-US" w:eastAsia="zh-CN"/>
            </w:rPr>
            <w:t>制度</w:t>
          </w:r>
          <w:r>
            <w:rPr>
              <w:rFonts w:hint="default" w:ascii="Times New Roman" w:hAnsi="Times New Roman" w:eastAsia="仿宋" w:cs="Times New Roman"/>
              <w:bCs/>
              <w:szCs w:val="32"/>
              <w:lang w:val="en-US" w:eastAsia="zh-CN"/>
            </w:rPr>
            <w:t>建设情况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_Toc2595 \h </w:instrText>
          </w:r>
          <w:r>
            <w:rPr>
              <w:rFonts w:hint="default" w:ascii="Times New Roman" w:hAnsi="Times New Roman" w:eastAsia="仿宋" w:cs="Times New Roman"/>
            </w:rPr>
            <w:fldChar w:fldCharType="separate"/>
          </w:r>
          <w:r>
            <w:rPr>
              <w:rFonts w:hint="default" w:ascii="Times New Roman" w:hAnsi="Times New Roman" w:eastAsia="仿宋" w:cs="Times New Roman"/>
            </w:rPr>
            <w:t>6</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4"/>
            <w:tabs>
              <w:tab w:val="right" w:leader="dot" w:pos="8392"/>
            </w:tabs>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_Toc27635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四、第三方重点绩效评价工作情况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_Toc27635 \h </w:instrText>
          </w:r>
          <w:r>
            <w:rPr>
              <w:rFonts w:hint="default" w:ascii="Times New Roman" w:hAnsi="Times New Roman" w:eastAsia="仿宋" w:cs="Times New Roman"/>
            </w:rPr>
            <w:fldChar w:fldCharType="separate"/>
          </w:r>
          <w:r>
            <w:rPr>
              <w:rFonts w:hint="default" w:ascii="Times New Roman" w:hAnsi="Times New Roman" w:eastAsia="仿宋" w:cs="Times New Roman"/>
            </w:rPr>
            <w:t>7</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6"/>
            <w:tabs>
              <w:tab w:val="right" w:leader="dot" w:pos="8392"/>
            </w:tabs>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_Toc11865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bCs/>
              <w:szCs w:val="32"/>
              <w:lang w:val="en-US" w:eastAsia="zh-CN"/>
            </w:rPr>
            <w:t>（一）重点绩效评价目的</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_Toc11865 \h </w:instrText>
          </w:r>
          <w:r>
            <w:rPr>
              <w:rFonts w:hint="default" w:ascii="Times New Roman" w:hAnsi="Times New Roman" w:eastAsia="仿宋" w:cs="Times New Roman"/>
            </w:rPr>
            <w:fldChar w:fldCharType="separate"/>
          </w:r>
          <w:r>
            <w:rPr>
              <w:rFonts w:hint="default" w:ascii="Times New Roman" w:hAnsi="Times New Roman" w:eastAsia="仿宋" w:cs="Times New Roman"/>
            </w:rPr>
            <w:t>7</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6"/>
            <w:tabs>
              <w:tab w:val="right" w:leader="dot" w:pos="8392"/>
            </w:tabs>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_Toc20691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bCs/>
              <w:szCs w:val="32"/>
              <w:lang w:val="en-US" w:eastAsia="zh-CN"/>
            </w:rPr>
            <w:t>（二）重点绩效评价工作过程</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_Toc20691 \h </w:instrText>
          </w:r>
          <w:r>
            <w:rPr>
              <w:rFonts w:hint="default" w:ascii="Times New Roman" w:hAnsi="Times New Roman" w:eastAsia="仿宋" w:cs="Times New Roman"/>
            </w:rPr>
            <w:fldChar w:fldCharType="separate"/>
          </w:r>
          <w:r>
            <w:rPr>
              <w:rFonts w:hint="default" w:ascii="Times New Roman" w:hAnsi="Times New Roman" w:eastAsia="仿宋" w:cs="Times New Roman"/>
            </w:rPr>
            <w:t>7</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4"/>
            <w:tabs>
              <w:tab w:val="right" w:leader="dot" w:pos="8392"/>
            </w:tabs>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_Toc2258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五、部门整体支出绩效情况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_Toc2258 \h </w:instrText>
          </w:r>
          <w:r>
            <w:rPr>
              <w:rFonts w:hint="default" w:ascii="Times New Roman" w:hAnsi="Times New Roman" w:eastAsia="仿宋" w:cs="Times New Roman"/>
            </w:rPr>
            <w:fldChar w:fldCharType="separate"/>
          </w:r>
          <w:r>
            <w:rPr>
              <w:rFonts w:hint="default" w:ascii="Times New Roman" w:hAnsi="Times New Roman" w:eastAsia="仿宋" w:cs="Times New Roman"/>
            </w:rPr>
            <w:t>8</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6"/>
            <w:tabs>
              <w:tab w:val="right" w:leader="dot" w:pos="8392"/>
            </w:tabs>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_Toc11587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bCs/>
              <w:szCs w:val="32"/>
              <w:lang w:val="en-US" w:eastAsia="zh-CN"/>
            </w:rPr>
            <w:t>（一）部门整体</w:t>
          </w:r>
          <w:r>
            <w:rPr>
              <w:rFonts w:hint="default" w:ascii="Times New Roman" w:hAnsi="Times New Roman" w:eastAsia="仿宋" w:cs="Times New Roman"/>
              <w:lang w:val="en-US" w:eastAsia="zh-CN"/>
            </w:rPr>
            <w:t>实际</w:t>
          </w:r>
          <w:r>
            <w:rPr>
              <w:rFonts w:hint="default" w:ascii="Times New Roman" w:hAnsi="Times New Roman" w:eastAsia="仿宋" w:cs="Times New Roman"/>
              <w:bCs/>
              <w:szCs w:val="32"/>
              <w:lang w:val="en-US" w:eastAsia="zh-CN"/>
            </w:rPr>
            <w:t>产出情况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_Toc11587 \h </w:instrText>
          </w:r>
          <w:r>
            <w:rPr>
              <w:rFonts w:hint="default" w:ascii="Times New Roman" w:hAnsi="Times New Roman" w:eastAsia="仿宋" w:cs="Times New Roman"/>
            </w:rPr>
            <w:fldChar w:fldCharType="separate"/>
          </w:r>
          <w:r>
            <w:rPr>
              <w:rFonts w:hint="default" w:ascii="Times New Roman" w:hAnsi="Times New Roman" w:eastAsia="仿宋" w:cs="Times New Roman"/>
            </w:rPr>
            <w:t>8</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6"/>
            <w:tabs>
              <w:tab w:val="right" w:leader="dot" w:pos="8392"/>
            </w:tabs>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_Toc17132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bCs/>
              <w:szCs w:val="32"/>
              <w:lang w:val="en-US" w:eastAsia="zh-CN"/>
            </w:rPr>
            <w:t>（二）部门整体效益情况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_Toc17132 \h </w:instrText>
          </w:r>
          <w:r>
            <w:rPr>
              <w:rFonts w:hint="default" w:ascii="Times New Roman" w:hAnsi="Times New Roman" w:eastAsia="仿宋" w:cs="Times New Roman"/>
            </w:rPr>
            <w:fldChar w:fldCharType="separate"/>
          </w:r>
          <w:r>
            <w:rPr>
              <w:rFonts w:hint="default" w:ascii="Times New Roman" w:hAnsi="Times New Roman" w:eastAsia="仿宋" w:cs="Times New Roman"/>
            </w:rPr>
            <w:t>9</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6"/>
            <w:tabs>
              <w:tab w:val="right" w:leader="dot" w:pos="8392"/>
            </w:tabs>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_Toc3533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bCs/>
              <w:szCs w:val="32"/>
              <w:lang w:val="en-US" w:eastAsia="zh-CN"/>
            </w:rPr>
            <w:t>（三）部门整体满意度</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_Toc3533 \h </w:instrText>
          </w:r>
          <w:r>
            <w:rPr>
              <w:rFonts w:hint="default" w:ascii="Times New Roman" w:hAnsi="Times New Roman" w:eastAsia="仿宋" w:cs="Times New Roman"/>
            </w:rPr>
            <w:fldChar w:fldCharType="separate"/>
          </w:r>
          <w:r>
            <w:rPr>
              <w:rFonts w:hint="default" w:ascii="Times New Roman" w:hAnsi="Times New Roman" w:eastAsia="仿宋" w:cs="Times New Roman"/>
            </w:rPr>
            <w:t>10</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4"/>
            <w:tabs>
              <w:tab w:val="right" w:leader="dot" w:pos="8392"/>
            </w:tabs>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_Toc9950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六、综合评价情况及评价结论</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_Toc9950 \h </w:instrText>
          </w:r>
          <w:r>
            <w:rPr>
              <w:rFonts w:hint="default" w:ascii="Times New Roman" w:hAnsi="Times New Roman" w:eastAsia="仿宋" w:cs="Times New Roman"/>
            </w:rPr>
            <w:fldChar w:fldCharType="separate"/>
          </w:r>
          <w:r>
            <w:rPr>
              <w:rFonts w:hint="default" w:ascii="Times New Roman" w:hAnsi="Times New Roman" w:eastAsia="仿宋" w:cs="Times New Roman"/>
            </w:rPr>
            <w:t>10</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4"/>
            <w:tabs>
              <w:tab w:val="right" w:leader="dot" w:pos="8392"/>
            </w:tabs>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_Toc8078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七、存在的主要问题</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_Toc8078 \h </w:instrText>
          </w:r>
          <w:r>
            <w:rPr>
              <w:rFonts w:hint="default" w:ascii="Times New Roman" w:hAnsi="Times New Roman" w:eastAsia="仿宋" w:cs="Times New Roman"/>
            </w:rPr>
            <w:fldChar w:fldCharType="separate"/>
          </w:r>
          <w:r>
            <w:rPr>
              <w:rFonts w:hint="default" w:ascii="Times New Roman" w:hAnsi="Times New Roman" w:eastAsia="仿宋" w:cs="Times New Roman"/>
            </w:rPr>
            <w:t>11</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6"/>
            <w:tabs>
              <w:tab w:val="right" w:leader="dot" w:pos="8392"/>
            </w:tabs>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_Toc31815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bCs/>
              <w:szCs w:val="32"/>
              <w:lang w:val="en-US" w:eastAsia="zh-CN"/>
            </w:rPr>
            <w:t>（一）预决算管理方面</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_Toc31815 \h </w:instrText>
          </w:r>
          <w:r>
            <w:rPr>
              <w:rFonts w:hint="default" w:ascii="Times New Roman" w:hAnsi="Times New Roman" w:eastAsia="仿宋" w:cs="Times New Roman"/>
            </w:rPr>
            <w:fldChar w:fldCharType="separate"/>
          </w:r>
          <w:r>
            <w:rPr>
              <w:rFonts w:hint="default" w:ascii="Times New Roman" w:hAnsi="Times New Roman" w:eastAsia="仿宋" w:cs="Times New Roman"/>
            </w:rPr>
            <w:t>11</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6"/>
            <w:tabs>
              <w:tab w:val="right" w:leader="dot" w:pos="8392"/>
            </w:tabs>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_Toc6765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bCs/>
              <w:szCs w:val="32"/>
              <w:lang w:val="en-US" w:eastAsia="zh-CN"/>
            </w:rPr>
            <w:t>（二）固定资产管理方面</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_Toc6765 \h </w:instrText>
          </w:r>
          <w:r>
            <w:rPr>
              <w:rFonts w:hint="default" w:ascii="Times New Roman" w:hAnsi="Times New Roman" w:eastAsia="仿宋" w:cs="Times New Roman"/>
            </w:rPr>
            <w:fldChar w:fldCharType="separate"/>
          </w:r>
          <w:r>
            <w:rPr>
              <w:rFonts w:hint="default" w:ascii="Times New Roman" w:hAnsi="Times New Roman" w:eastAsia="仿宋" w:cs="Times New Roman"/>
            </w:rPr>
            <w:t>11</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6"/>
            <w:tabs>
              <w:tab w:val="right" w:leader="dot" w:pos="8392"/>
            </w:tabs>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_Toc18682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bCs/>
              <w:szCs w:val="32"/>
              <w:lang w:val="en-US" w:eastAsia="zh-CN"/>
            </w:rPr>
            <w:t>（三）财务管理方面</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_Toc18682 \h </w:instrText>
          </w:r>
          <w:r>
            <w:rPr>
              <w:rFonts w:hint="default" w:ascii="Times New Roman" w:hAnsi="Times New Roman" w:eastAsia="仿宋" w:cs="Times New Roman"/>
            </w:rPr>
            <w:fldChar w:fldCharType="separate"/>
          </w:r>
          <w:r>
            <w:rPr>
              <w:rFonts w:hint="default" w:ascii="Times New Roman" w:hAnsi="Times New Roman" w:eastAsia="仿宋" w:cs="Times New Roman"/>
            </w:rPr>
            <w:t>12</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4"/>
            <w:tabs>
              <w:tab w:val="right" w:leader="dot" w:pos="8392"/>
            </w:tabs>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_Toc28810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八、相关建议</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_Toc28810 \h </w:instrText>
          </w:r>
          <w:r>
            <w:rPr>
              <w:rFonts w:hint="default" w:ascii="Times New Roman" w:hAnsi="Times New Roman" w:eastAsia="仿宋" w:cs="Times New Roman"/>
            </w:rPr>
            <w:fldChar w:fldCharType="separate"/>
          </w:r>
          <w:r>
            <w:rPr>
              <w:rFonts w:hint="default" w:ascii="Times New Roman" w:hAnsi="Times New Roman" w:eastAsia="仿宋" w:cs="Times New Roman"/>
            </w:rPr>
            <w:t>13</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6"/>
            <w:tabs>
              <w:tab w:val="right" w:leader="dot" w:pos="8392"/>
            </w:tabs>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_Toc13733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rPr>
            <w:t>（</w:t>
          </w:r>
          <w:r>
            <w:rPr>
              <w:rFonts w:hint="default" w:ascii="Times New Roman" w:hAnsi="Times New Roman" w:eastAsia="仿宋" w:cs="Times New Roman"/>
              <w:lang w:eastAsia="zh-CN"/>
            </w:rPr>
            <w:t>一</w:t>
          </w:r>
          <w:r>
            <w:rPr>
              <w:rFonts w:hint="default" w:ascii="Times New Roman" w:hAnsi="Times New Roman" w:eastAsia="仿宋" w:cs="Times New Roman"/>
            </w:rPr>
            <w:t>）</w:t>
          </w:r>
          <w:r>
            <w:rPr>
              <w:rFonts w:hint="default" w:ascii="Times New Roman" w:hAnsi="Times New Roman" w:eastAsia="仿宋" w:cs="Times New Roman"/>
              <w:lang w:eastAsia="zh-CN"/>
            </w:rPr>
            <w:t>完善预算编制，强化预算执行</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_Toc13733 \h </w:instrText>
          </w:r>
          <w:r>
            <w:rPr>
              <w:rFonts w:hint="default" w:ascii="Times New Roman" w:hAnsi="Times New Roman" w:eastAsia="仿宋" w:cs="Times New Roman"/>
            </w:rPr>
            <w:fldChar w:fldCharType="separate"/>
          </w:r>
          <w:r>
            <w:rPr>
              <w:rFonts w:hint="default" w:ascii="Times New Roman" w:hAnsi="Times New Roman" w:eastAsia="仿宋" w:cs="Times New Roman"/>
            </w:rPr>
            <w:t>13</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6"/>
            <w:tabs>
              <w:tab w:val="right" w:leader="dot" w:pos="8392"/>
            </w:tabs>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_Toc29343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（二）规范资产管理</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_Toc29343 \h </w:instrText>
          </w:r>
          <w:r>
            <w:rPr>
              <w:rFonts w:hint="default" w:ascii="Times New Roman" w:hAnsi="Times New Roman" w:eastAsia="仿宋" w:cs="Times New Roman"/>
            </w:rPr>
            <w:fldChar w:fldCharType="separate"/>
          </w:r>
          <w:r>
            <w:rPr>
              <w:rFonts w:hint="default" w:ascii="Times New Roman" w:hAnsi="Times New Roman" w:eastAsia="仿宋" w:cs="Times New Roman"/>
            </w:rPr>
            <w:t>13</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6"/>
            <w:tabs>
              <w:tab w:val="right" w:leader="dot" w:pos="8392"/>
            </w:tabs>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_Toc6079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（三）提高财务管理规范性</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_Toc6079 \h </w:instrText>
          </w:r>
          <w:r>
            <w:rPr>
              <w:rFonts w:hint="default" w:ascii="Times New Roman" w:hAnsi="Times New Roman" w:eastAsia="仿宋" w:cs="Times New Roman"/>
            </w:rPr>
            <w:fldChar w:fldCharType="separate"/>
          </w:r>
          <w:r>
            <w:rPr>
              <w:rFonts w:hint="default" w:ascii="Times New Roman" w:hAnsi="Times New Roman" w:eastAsia="仿宋" w:cs="Times New Roman"/>
            </w:rPr>
            <w:t>14</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4"/>
            <w:tabs>
              <w:tab w:val="right" w:leader="dot" w:pos="8392"/>
            </w:tabs>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_Toc20837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九、报告使用情况说明</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_Toc20837 \h </w:instrText>
          </w:r>
          <w:r>
            <w:rPr>
              <w:rFonts w:hint="default" w:ascii="Times New Roman" w:hAnsi="Times New Roman" w:eastAsia="仿宋" w:cs="Times New Roman"/>
            </w:rPr>
            <w:fldChar w:fldCharType="separate"/>
          </w:r>
          <w:r>
            <w:rPr>
              <w:rFonts w:hint="default" w:ascii="Times New Roman" w:hAnsi="Times New Roman" w:eastAsia="仿宋" w:cs="Times New Roman"/>
            </w:rPr>
            <w:t>14</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spacing w:before="0" w:beforeLines="0" w:after="0" w:afterLines="0" w:line="240" w:lineRule="auto"/>
            <w:ind w:left="0" w:leftChars="0" w:right="0" w:rightChars="0" w:firstLine="0" w:firstLineChars="0"/>
            <w:jc w:val="center"/>
            <w:rPr>
              <w:rFonts w:hint="default" w:ascii="Times New Roman" w:hAnsi="Times New Roman" w:eastAsia="仿宋" w:cs="Times New Roman"/>
              <w:sz w:val="31"/>
              <w:szCs w:val="31"/>
            </w:rPr>
          </w:pPr>
          <w:r>
            <w:rPr>
              <w:rFonts w:hint="default" w:ascii="Times New Roman" w:hAnsi="Times New Roman" w:eastAsia="仿宋" w:cs="Times New Roman"/>
              <w:szCs w:val="31"/>
            </w:rPr>
            <w:fldChar w:fldCharType="end"/>
          </w:r>
        </w:p>
      </w:sdtContent>
    </w:sdt>
    <w:p>
      <w:pPr>
        <w:jc w:val="center"/>
        <w:rPr>
          <w:rFonts w:hint="default" w:ascii="Times New Roman" w:hAnsi="Times New Roman" w:eastAsia="黑体" w:cs="Times New Roman"/>
          <w:b/>
          <w:bCs/>
          <w:spacing w:val="33"/>
          <w:sz w:val="33"/>
          <w:szCs w:val="33"/>
        </w:rPr>
      </w:pPr>
    </w:p>
    <w:p>
      <w:pPr>
        <w:jc w:val="center"/>
        <w:rPr>
          <w:rFonts w:hint="default" w:ascii="Times New Roman" w:hAnsi="Times New Roman" w:eastAsia="黑体" w:cs="Times New Roman"/>
          <w:b/>
          <w:bCs/>
          <w:spacing w:val="33"/>
          <w:sz w:val="33"/>
          <w:szCs w:val="33"/>
        </w:rPr>
      </w:pPr>
    </w:p>
    <w:p>
      <w:pPr>
        <w:jc w:val="center"/>
        <w:rPr>
          <w:rFonts w:hint="default" w:ascii="Times New Roman" w:hAnsi="Times New Roman" w:eastAsia="黑体" w:cs="Times New Roman"/>
          <w:b/>
          <w:bCs/>
          <w:spacing w:val="33"/>
          <w:sz w:val="33"/>
          <w:szCs w:val="33"/>
        </w:rPr>
        <w:sectPr>
          <w:pgSz w:w="11906" w:h="16838"/>
          <w:pgMar w:top="1440" w:right="1757" w:bottom="1440" w:left="175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spacing w:line="540" w:lineRule="exact"/>
        <w:jc w:val="both"/>
        <w:rPr>
          <w:rFonts w:hint="default" w:ascii="Times New Roman" w:hAnsi="Times New Roman" w:eastAsia="黑体" w:cs="Times New Roman"/>
          <w:kern w:val="0"/>
          <w:sz w:val="44"/>
          <w:szCs w:val="44"/>
        </w:rPr>
      </w:pPr>
      <w:r>
        <w:rPr>
          <w:rFonts w:hint="default" w:ascii="Times New Roman" w:hAnsi="Times New Roman" w:cs="Times New Roman"/>
          <w:sz w:val="72"/>
        </w:rPr>
        <mc:AlternateContent>
          <mc:Choice Requires="wpg">
            <w:drawing>
              <wp:anchor distT="0" distB="0" distL="114300" distR="114300" simplePos="0" relativeHeight="251661312" behindDoc="0" locked="0" layoutInCell="1" allowOverlap="1">
                <wp:simplePos x="0" y="0"/>
                <wp:positionH relativeFrom="column">
                  <wp:posOffset>-542290</wp:posOffset>
                </wp:positionH>
                <wp:positionV relativeFrom="paragraph">
                  <wp:posOffset>-31115</wp:posOffset>
                </wp:positionV>
                <wp:extent cx="6372860" cy="1358265"/>
                <wp:effectExtent l="0" t="0" r="0" b="12700"/>
                <wp:wrapNone/>
                <wp:docPr id="4" name="组合 4"/>
                <wp:cNvGraphicFramePr/>
                <a:graphic xmlns:a="http://schemas.openxmlformats.org/drawingml/2006/main">
                  <a:graphicData uri="http://schemas.microsoft.com/office/word/2010/wordprocessingGroup">
                    <wpg:wgp>
                      <wpg:cNvGrpSpPr/>
                      <wpg:grpSpPr>
                        <a:xfrm>
                          <a:off x="0" y="0"/>
                          <a:ext cx="6372860" cy="1358265"/>
                          <a:chOff x="1452" y="1627"/>
                          <a:chExt cx="10036" cy="2139"/>
                        </a:xfrm>
                      </wpg:grpSpPr>
                      <wps:wsp>
                        <wps:cNvPr id="5" name="文本框 5"/>
                        <wps:cNvSpPr txBox="1"/>
                        <wps:spPr>
                          <a:xfrm>
                            <a:off x="1452" y="1627"/>
                            <a:ext cx="10036" cy="1716"/>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20283233"/>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20283233"/>
                                  <w:lang w:val="en-US" w:eastAsia="zh-CN"/>
                                </w:rPr>
                                <w:t>)</w:t>
                              </w:r>
                            </w:p>
                          </w:txbxContent>
                        </wps:txbx>
                        <wps:bodyPr upright="1"/>
                      </wps:wsp>
                      <wps:wsp>
                        <wps:cNvPr id="6" name="文本框 6"/>
                        <wps:cNvSpPr txBox="1"/>
                        <wps:spPr>
                          <a:xfrm>
                            <a:off x="1704" y="3046"/>
                            <a:ext cx="9253" cy="662"/>
                          </a:xfrm>
                          <a:prstGeom prst="rect">
                            <a:avLst/>
                          </a:prstGeom>
                          <a:noFill/>
                          <a:ln w="6350">
                            <a:noFill/>
                          </a:ln>
                        </wps:spPr>
                        <wps:txbx>
                          <w:txbxContent>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900509674"/>
                                </w:rPr>
                                <w:t>Hunan Caizheng Accounting Firm (General Partnership</w:t>
                              </w:r>
                              <w:r>
                                <w:rPr>
                                  <w:rFonts w:hint="default" w:ascii="Arial" w:hAnsi="Arial" w:cs="Arial"/>
                                  <w:b w:val="0"/>
                                  <w:bCs w:val="0"/>
                                  <w:color w:val="FF0000"/>
                                  <w:spacing w:val="-15"/>
                                  <w:w w:val="98"/>
                                  <w:kern w:val="0"/>
                                  <w:sz w:val="36"/>
                                  <w:szCs w:val="36"/>
                                  <w:fitText w:val="8800" w:id="1900509674"/>
                                </w:rPr>
                                <w:t>)</w:t>
                              </w:r>
                            </w:p>
                            <w:p>
                              <w:pPr>
                                <w:jc w:val="center"/>
                                <w:rPr>
                                  <w:rFonts w:hint="default"/>
                                  <w:color w:val="366091"/>
                                  <w:w w:val="150"/>
                                  <w:sz w:val="40"/>
                                  <w:szCs w:val="40"/>
                                  <w:lang w:val="en-US"/>
                                </w:rPr>
                              </w:pPr>
                            </w:p>
                          </w:txbxContent>
                        </wps:txbx>
                        <wps:bodyPr upright="1"/>
                      </wps:wsp>
                      <wps:wsp>
                        <wps:cNvPr id="7" name="矩形 7"/>
                        <wps:cNvSpPr/>
                        <wps:spPr>
                          <a:xfrm>
                            <a:off x="1632" y="3709"/>
                            <a:ext cx="9360" cy="57"/>
                          </a:xfrm>
                          <a:prstGeom prst="rect">
                            <a:avLst/>
                          </a:prstGeom>
                          <a:solidFill>
                            <a:srgbClr val="FF0000"/>
                          </a:solidFill>
                          <a:ln w="25400" cap="flat" cmpd="sng">
                            <a:solidFill>
                              <a:srgbClr val="FF0000"/>
                            </a:solidFill>
                            <a:prstDash val="solid"/>
                            <a:round/>
                            <a:headEnd type="none" w="med" len="med"/>
                            <a:tailEnd type="none" w="med" len="med"/>
                          </a:ln>
                        </wps:spPr>
                        <wps:bodyPr anchor="ctr" anchorCtr="0" upright="1"/>
                      </wps:wsp>
                    </wpg:wgp>
                  </a:graphicData>
                </a:graphic>
              </wp:anchor>
            </w:drawing>
          </mc:Choice>
          <mc:Fallback>
            <w:pict>
              <v:group id="_x0000_s1026" o:spid="_x0000_s1026" o:spt="203" style="position:absolute;left:0pt;margin-left:-42.7pt;margin-top:-2.45pt;height:106.95pt;width:501.8pt;z-index:251661312;mso-width-relative:page;mso-height-relative:page;" coordorigin="1452,1627" coordsize="10036,2139" o:gfxdata="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iSbMR9sAAAAKAQAA&#10;DwAAAAAAAAABACAAAAAiAAAAZHJzL2Rvd25yZXYueG1sUEsBAhQAFAAAAAgAh07iQLebZeX6AgAA&#10;XwgAAA4AAAAAAAAAAQAgAAAAKgEAAGRycy9lMm9Eb2MueG1sUEsFBgAAAAAGAAYAWQEAAJYGAAAA&#10;AA==&#10;">
                <o:lock v:ext="edit" aspectratio="f"/>
                <v:shape id="_x0000_s1026" o:spid="_x0000_s1026" o:spt="202" type="#_x0000_t202" style="position:absolute;left:1452;top:1627;height:1716;width:10036;" filled="f" stroked="f" coordsize="21600,21600" o:gfxdata="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kpHL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20283233"/>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20283233"/>
                            <w:lang w:val="en-US" w:eastAsia="zh-CN"/>
                          </w:rPr>
                          <w:t>)</w:t>
                        </w:r>
                      </w:p>
                    </w:txbxContent>
                  </v:textbox>
                </v:shape>
                <v:shape id="_x0000_s1026" o:spid="_x0000_s1026" o:spt="202" type="#_x0000_t202" style="position:absolute;left:1704;top:3046;height:662;width:9253;" filled="f" stroked="f" coordsize="21600,21600" o:gfxdata="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7drvQAA&#10;ANo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900509674"/>
                          </w:rPr>
                          <w:t>Hunan Caizheng Accounting Firm (General Partnership</w:t>
                        </w:r>
                        <w:r>
                          <w:rPr>
                            <w:rFonts w:hint="default" w:ascii="Arial" w:hAnsi="Arial" w:cs="Arial"/>
                            <w:b w:val="0"/>
                            <w:bCs w:val="0"/>
                            <w:color w:val="FF0000"/>
                            <w:spacing w:val="-15"/>
                            <w:w w:val="98"/>
                            <w:kern w:val="0"/>
                            <w:sz w:val="36"/>
                            <w:szCs w:val="36"/>
                            <w:fitText w:val="8800" w:id="1900509674"/>
                          </w:rPr>
                          <w:t>)</w:t>
                        </w:r>
                      </w:p>
                      <w:p>
                        <w:pPr>
                          <w:jc w:val="center"/>
                          <w:rPr>
                            <w:rFonts w:hint="default"/>
                            <w:color w:val="366091"/>
                            <w:w w:val="150"/>
                            <w:sz w:val="40"/>
                            <w:szCs w:val="40"/>
                            <w:lang w:val="en-US"/>
                          </w:rPr>
                        </w:pPr>
                      </w:p>
                    </w:txbxContent>
                  </v:textbox>
                </v:shape>
                <v:rect id="_x0000_s1026" o:spid="_x0000_s1026" o:spt="1" style="position:absolute;left:1632;top:3709;height:57;width:9360;v-text-anchor:middle;" fillcolor="#FF0000" filled="t" stroked="t" coordsize="21600,21600" o:gfxdata="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XNVq5AAAA2gAA&#10;AA8AAAAAAAAAAQAgAAAAIgAAAGRycy9kb3ducmV2LnhtbFBLAQIUABQAAAAIAIdO4kAzLwWeOwAA&#10;ADkAAAAQAAAAAAAAAAEAIAAAAAgBAABkcnMvc2hhcGV4bWwueG1sUEsFBgAAAAAGAAYAWwEAALID&#10;AAAAAA==&#10;">
                  <v:fill on="t" focussize="0,0"/>
                  <v:stroke weight="2pt" color="#FF0000" joinstyle="round"/>
                  <v:imagedata o:title=""/>
                  <o:lock v:ext="edit" aspectratio="f"/>
                </v:rect>
              </v:group>
            </w:pict>
          </mc:Fallback>
        </mc:AlternateContent>
      </w:r>
    </w:p>
    <w:p>
      <w:pPr>
        <w:spacing w:line="600" w:lineRule="exact"/>
        <w:jc w:val="center"/>
        <w:outlineLvl w:val="9"/>
        <w:rPr>
          <w:rFonts w:hint="default" w:ascii="Times New Roman" w:hAnsi="Times New Roman" w:eastAsia="方正小标宋_GBK" w:cs="Times New Roman"/>
          <w:bCs/>
          <w:sz w:val="44"/>
          <w:szCs w:val="44"/>
        </w:rPr>
      </w:pPr>
    </w:p>
    <w:p>
      <w:pPr>
        <w:jc w:val="center"/>
        <w:rPr>
          <w:rFonts w:hint="default" w:ascii="Times New Roman" w:hAnsi="Times New Roman" w:eastAsia="黑体" w:cs="Times New Roman"/>
          <w:b/>
          <w:bCs/>
          <w:spacing w:val="33"/>
          <w:sz w:val="33"/>
          <w:szCs w:val="33"/>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bCs/>
          <w:sz w:val="30"/>
          <w:szCs w:val="30"/>
          <w:lang w:val="en-US" w:eastAsia="zh-CN"/>
        </w:rPr>
      </w:pPr>
      <w:r>
        <w:rPr>
          <w:rFonts w:hint="default" w:ascii="Times New Roman" w:hAnsi="Times New Roman" w:eastAsia="仿宋" w:cs="Times New Roman"/>
          <w:b/>
          <w:bCs/>
          <w:sz w:val="30"/>
          <w:szCs w:val="30"/>
        </w:rPr>
        <mc:AlternateContent>
          <mc:Choice Requires="wps">
            <w:drawing>
              <wp:anchor distT="0" distB="0" distL="114935" distR="114935" simplePos="0" relativeHeight="251660288" behindDoc="0" locked="0" layoutInCell="1" allowOverlap="1">
                <wp:simplePos x="0" y="0"/>
                <wp:positionH relativeFrom="column">
                  <wp:posOffset>-305435</wp:posOffset>
                </wp:positionH>
                <wp:positionV relativeFrom="page">
                  <wp:posOffset>2144395</wp:posOffset>
                </wp:positionV>
                <wp:extent cx="5923915"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779145" y="2103120"/>
                          <a:ext cx="5923915" cy="635"/>
                        </a:xfrm>
                        <a:prstGeom prst="line">
                          <a:avLst/>
                        </a:prstGeom>
                        <a:ln w="28575" cmpd="sng">
                          <a:no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05pt;margin-top:168.85pt;height:0.05pt;width:466.45pt;mso-position-vertical-relative:page;mso-wrap-distance-bottom:0pt;mso-wrap-distance-left:9.05pt;mso-wrap-distance-right:9.05pt;mso-wrap-distance-top:0pt;z-index:251660288;mso-width-relative:page;mso-height-relative:page;" filled="f" stroked="f" coordsize="21600,21600" o:gfxdata="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cWPx2QAA&#10;AAsBAAAPAAAAAAAAAAEAIAAAACIAAABkcnMvZG93bnJldi54bWxQSwECFAAUAAAACACHTuJAd39K&#10;MeQBAACWAwAADgAAAAAAAAABACAAAAAoAQAAZHJzL2Uyb0RvYy54bWxQSwUGAAAAAAYABgBZAQAA&#10;fgUAAAAA&#10;">
                <v:fill on="f" focussize="0,0"/>
                <v:stroke on="f" weight="2.25pt" miterlimit="8" joinstyle="miter"/>
                <v:imagedata o:title=""/>
                <o:lock v:ext="edit" aspectratio="f"/>
                <w10:wrap type="square"/>
              </v:line>
            </w:pict>
          </mc:Fallback>
        </mc:AlternateContent>
      </w:r>
      <w:r>
        <w:rPr>
          <w:rFonts w:hint="default" w:ascii="Times New Roman" w:hAnsi="Times New Roman" w:eastAsia="仿宋" w:cs="Times New Roman"/>
          <w:b/>
          <w:bCs/>
          <w:sz w:val="30"/>
          <w:szCs w:val="30"/>
          <w:lang w:val="en-US" w:eastAsia="zh-CN"/>
        </w:rPr>
        <w:t>湘财正咨字</w:t>
      </w:r>
      <w:r>
        <w:rPr>
          <w:rFonts w:hint="default" w:ascii="Times New Roman" w:hAnsi="Times New Roman" w:eastAsia="仿宋" w:cs="Times New Roman"/>
          <w:b w:val="0"/>
          <w:bCs w:val="0"/>
          <w:sz w:val="30"/>
          <w:szCs w:val="30"/>
          <w:lang w:val="en-US" w:eastAsia="zh-CN"/>
        </w:rPr>
        <w:t>[</w:t>
      </w:r>
      <w:r>
        <w:rPr>
          <w:rFonts w:hint="default" w:ascii="Times New Roman" w:hAnsi="Times New Roman" w:eastAsia="仿宋" w:cs="Times New Roman"/>
          <w:b w:val="0"/>
          <w:bCs w:val="0"/>
          <w:sz w:val="30"/>
          <w:szCs w:val="30"/>
          <w:highlight w:val="none"/>
          <w:lang w:val="en-US" w:eastAsia="zh-CN"/>
        </w:rPr>
        <w:t>2023]</w:t>
      </w:r>
      <w:r>
        <w:rPr>
          <w:rFonts w:hint="default" w:ascii="Times New Roman" w:hAnsi="Times New Roman" w:eastAsia="仿宋" w:cs="Times New Roman"/>
          <w:b/>
          <w:bCs/>
          <w:sz w:val="30"/>
          <w:szCs w:val="30"/>
          <w:highlight w:val="none"/>
          <w:lang w:val="en-US" w:eastAsia="zh-CN"/>
        </w:rPr>
        <w:t>第</w:t>
      </w:r>
      <w:r>
        <w:rPr>
          <w:rFonts w:hint="default" w:ascii="Times New Roman" w:hAnsi="Times New Roman" w:eastAsia="仿宋" w:cs="Times New Roman"/>
          <w:b w:val="0"/>
          <w:bCs w:val="0"/>
          <w:color w:val="auto"/>
          <w:sz w:val="30"/>
          <w:szCs w:val="30"/>
          <w:highlight w:val="none"/>
          <w:lang w:val="en-US" w:eastAsia="zh-CN"/>
        </w:rPr>
        <w:t>0</w:t>
      </w:r>
      <w:r>
        <w:rPr>
          <w:rFonts w:hint="eastAsia" w:cs="Times New Roman"/>
          <w:b w:val="0"/>
          <w:bCs w:val="0"/>
          <w:color w:val="auto"/>
          <w:sz w:val="30"/>
          <w:szCs w:val="30"/>
          <w:highlight w:val="none"/>
          <w:lang w:val="en-US" w:eastAsia="zh-CN"/>
        </w:rPr>
        <w:t>86</w:t>
      </w:r>
      <w:r>
        <w:rPr>
          <w:rFonts w:hint="default" w:ascii="Times New Roman" w:hAnsi="Times New Roman" w:eastAsia="仿宋" w:cs="Times New Roman"/>
          <w:b/>
          <w:bCs/>
          <w:sz w:val="30"/>
          <w:szCs w:val="30"/>
          <w:highlight w:val="none"/>
          <w:lang w:val="en-US" w:eastAsia="zh-CN"/>
        </w:rPr>
        <w:t>号</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33"/>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邵阳市北塔区畜牧水产事务中心</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2022年度部门整体支出绩效评价报告</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为加强预算绩效管理，强化预算支出的责任意识和效率意识，提高财政资金使用效益，根据《中共中央国务院关于全面实施预算绩效管理的意见》（中发〔2018〕34号）、《中共湖南省委办公厅湖南省人民政府办公厅关于全面实施预算绩效管理的实施意见》（湘办发〔2019〕10号）、</w:t>
      </w:r>
      <w:r>
        <w:rPr>
          <w:rFonts w:hint="default" w:ascii="Times New Roman" w:hAnsi="Times New Roman" w:eastAsia="仿宋" w:cs="Times New Roman"/>
          <w:sz w:val="32"/>
          <w:szCs w:val="32"/>
          <w:lang w:val="en-US" w:eastAsia="zh-CN"/>
        </w:rPr>
        <w:t>《湖南省财政厅关于印发&lt;湖南省预算支出绩效评价管理办法&gt;的通知》（湘财绩〔2020〕7号）</w:t>
      </w:r>
      <w:r>
        <w:rPr>
          <w:rFonts w:hint="default" w:ascii="Times New Roman" w:hAnsi="Times New Roman" w:eastAsia="仿宋" w:cs="Times New Roman"/>
          <w:b w:val="0"/>
          <w:bCs w:val="0"/>
          <w:sz w:val="32"/>
          <w:szCs w:val="32"/>
          <w:lang w:val="en-US" w:eastAsia="zh-CN"/>
        </w:rPr>
        <w:t>等精神及相关工作要求，受邵阳市北塔区财政局委托，湖南财正会计师事务所（以下简称“我所”）对邵阳市北塔区畜牧水产事务中心2022年度部门整体支出开展了绩效评价。现将有关情况报告如下：</w:t>
      </w:r>
    </w:p>
    <w:p>
      <w:pPr>
        <w:pStyle w:val="3"/>
        <w:bidi w:val="0"/>
        <w:rPr>
          <w:rFonts w:hint="default" w:ascii="Times New Roman" w:hAnsi="Times New Roman" w:eastAsia="仿宋" w:cs="Times New Roman"/>
          <w:b w:val="0"/>
          <w:bCs w:val="0"/>
          <w:sz w:val="32"/>
          <w:szCs w:val="32"/>
          <w:lang w:val="en-US" w:eastAsia="zh-CN"/>
        </w:rPr>
        <w:sectPr>
          <w:headerReference r:id="rId5" w:type="default"/>
          <w:footerReference r:id="rId6" w:type="default"/>
          <w:pgSz w:w="11906" w:h="16838"/>
          <w:pgMar w:top="1440" w:right="1803" w:bottom="1440" w:left="1803" w:header="624"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ascii="Times New Roman" w:hAnsi="Times New Roman" w:eastAsia="仿宋" w:cs="Times New Roman"/>
          <w:b w:val="0"/>
          <w:bCs w:val="0"/>
          <w:sz w:val="32"/>
          <w:szCs w:val="32"/>
          <w:lang w:val="en-US" w:eastAsia="zh-CN"/>
        </w:rPr>
        <w:br w:type="page"/>
      </w:r>
      <w:bookmarkStart w:id="0" w:name="_Toc17556"/>
    </w:p>
    <w:p>
      <w:pPr>
        <w:pStyle w:val="3"/>
        <w:bidi w:val="0"/>
        <w:rPr>
          <w:rFonts w:hint="default" w:ascii="Times New Roman" w:hAnsi="Times New Roman" w:cs="Times New Roman"/>
          <w:lang w:val="en-US" w:eastAsia="zh-CN"/>
        </w:rPr>
      </w:pPr>
      <w:r>
        <w:rPr>
          <w:rFonts w:hint="default" w:ascii="Times New Roman" w:hAnsi="Times New Roman" w:cs="Times New Roman"/>
          <w:lang w:val="en-US" w:eastAsia="zh-CN"/>
        </w:rPr>
        <w:t>一、单位基本情况</w:t>
      </w:r>
      <w:bookmarkEnd w:id="0"/>
    </w:p>
    <w:p>
      <w:pPr>
        <w:pStyle w:val="6"/>
        <w:bidi w:val="0"/>
        <w:rPr>
          <w:rFonts w:hint="default" w:ascii="Times New Roman" w:hAnsi="Times New Roman" w:cs="Times New Roman"/>
          <w:lang w:val="en-US" w:eastAsia="zh-CN"/>
        </w:rPr>
      </w:pPr>
      <w:bookmarkStart w:id="1" w:name="_Toc4706"/>
      <w:r>
        <w:rPr>
          <w:rFonts w:hint="default" w:ascii="Times New Roman" w:hAnsi="Times New Roman" w:cs="Times New Roman"/>
          <w:lang w:val="en-US" w:eastAsia="zh-CN"/>
        </w:rPr>
        <w:t>（</w:t>
      </w:r>
      <w:r>
        <w:rPr>
          <w:rFonts w:hint="default" w:ascii="Times New Roman" w:hAnsi="Times New Roman" w:cs="Times New Roman"/>
          <w:b/>
          <w:lang w:val="en-US" w:eastAsia="zh-CN"/>
        </w:rPr>
        <w:t>一）部门概况</w:t>
      </w:r>
      <w:bookmarkEnd w:id="1"/>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邵阳市北塔区畜牧水产事务中心（以下简称“畜牧水产中心”）成立于2019年12月9日，</w:t>
      </w:r>
      <w:r>
        <w:rPr>
          <w:rFonts w:hint="default" w:cs="Times New Roman"/>
          <w:lang w:val="en-US" w:eastAsia="zh-CN"/>
        </w:rPr>
        <w:t>单位</w:t>
      </w:r>
      <w:r>
        <w:rPr>
          <w:rFonts w:hint="default" w:ascii="Times New Roman" w:hAnsi="Times New Roman" w:cs="Times New Roman"/>
          <w:lang w:val="en-US" w:eastAsia="zh-CN"/>
        </w:rPr>
        <w:t>地址为：</w:t>
      </w:r>
      <w:r>
        <w:rPr>
          <w:rFonts w:hint="eastAsia" w:cs="Times New Roman"/>
          <w:lang w:val="en-US" w:eastAsia="zh-CN"/>
        </w:rPr>
        <w:t>湖南省邵阳市</w:t>
      </w:r>
      <w:r>
        <w:rPr>
          <w:rFonts w:hint="default" w:ascii="Times New Roman" w:hAnsi="Times New Roman" w:cs="Times New Roman"/>
          <w:lang w:val="en-US" w:eastAsia="zh-CN"/>
        </w:rPr>
        <w:t>北塔区魏源路与九江路交叉口东260米；经国家企业信用信息公示系统查询得知，邵阳市北塔区畜牧水产事务中心的信用代码/税号为12430511MB15866563，法人是谭辉</w:t>
      </w:r>
      <w:r>
        <w:rPr>
          <w:rFonts w:hint="default" w:cs="Times New Roman"/>
          <w:lang w:val="en-US" w:eastAsia="zh-CN"/>
        </w:rPr>
        <w:t>。</w:t>
      </w:r>
    </w:p>
    <w:p>
      <w:pPr>
        <w:pStyle w:val="6"/>
        <w:bidi w:val="0"/>
        <w:ind w:firstLine="420"/>
        <w:rPr>
          <w:rFonts w:hint="default" w:ascii="Times New Roman" w:hAnsi="Times New Roman" w:cs="Times New Roman"/>
          <w:b/>
          <w:lang w:val="en-US" w:eastAsia="zh-CN"/>
        </w:rPr>
      </w:pPr>
      <w:bookmarkStart w:id="2" w:name="_Toc7477"/>
      <w:r>
        <w:rPr>
          <w:rFonts w:hint="default" w:ascii="Times New Roman" w:hAnsi="Times New Roman" w:cs="Times New Roman"/>
          <w:b/>
          <w:lang w:val="en-US" w:eastAsia="zh-CN"/>
        </w:rPr>
        <w:t>（二）主要职责</w:t>
      </w:r>
      <w:bookmarkEnd w:id="2"/>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1、贯彻执行国家、省有关畜牧水产业的法律法规和方针政策，拟定全区畜牧水产业发展中长期规划、年度计划和政策措施并组织实施。</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2、拟订全区有关畜牧、水产、兽医、兽药、饲料等规范性文件；负责畜禽养殖、种畜禽、兽医、兽药、饲料和畜禽水产品质量安全等监督管理。</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指导全区畜牧水产业生产，引导畜牧水产业结构调整、区域布局和优质畜产品生产基地建设；指导畜牧水产业规模化养殖、标准化生产和产业化经营；负责区级种畜禽场的资格审查、审批和种畜禽质量监督管理工作；加强地方畜禽遗传资源的保护开发，推广畜禽水产新品种，培育、保护和发展畜产品品牌。</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w:t>
      </w:r>
      <w:r>
        <w:rPr>
          <w:rFonts w:hint="eastAsia" w:cs="Times New Roman"/>
          <w:lang w:val="en-US" w:eastAsia="zh-CN"/>
        </w:rPr>
        <w:t>、</w:t>
      </w:r>
      <w:r>
        <w:rPr>
          <w:rFonts w:hint="default" w:ascii="Times New Roman" w:hAnsi="Times New Roman" w:cs="Times New Roman"/>
          <w:lang w:val="en-US" w:eastAsia="zh-CN"/>
        </w:rPr>
        <w:t>负责全区动物防疫检疫工作。组织制定并实施全区动物疫病防治规划和动物防疫检疫基础设施建设规划，负责种畜禽场动物防疫条件审核、管理和发证工作；负责突发重大动物疫情应急管理工作。</w:t>
      </w:r>
    </w:p>
    <w:p>
      <w:pPr>
        <w:bidi w:val="0"/>
        <w:rPr>
          <w:rFonts w:hint="default" w:ascii="Times New Roman" w:hAnsi="Times New Roman" w:cs="Times New Roman"/>
          <w:lang w:val="en-US" w:eastAsia="zh-CN"/>
        </w:rPr>
      </w:pPr>
      <w:r>
        <w:rPr>
          <w:rFonts w:hint="default" w:ascii="Times New Roman" w:hAnsi="Times New Roman" w:cs="Times New Roman"/>
          <w:b w:val="0"/>
          <w:bCs w:val="0"/>
          <w:szCs w:val="32"/>
          <w:lang w:val="en-US" w:eastAsia="zh-CN"/>
        </w:rPr>
        <w:t>5、</w:t>
      </w:r>
      <w:r>
        <w:rPr>
          <w:rFonts w:hint="default" w:ascii="Times New Roman" w:hAnsi="Times New Roman" w:cs="Times New Roman"/>
          <w:lang w:val="en-US" w:eastAsia="zh-CN"/>
        </w:rPr>
        <w:t>负责兽医医政、兽药药政药检、兽医卫生的监督管理。</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6、承担生鲜乳生产环节、收购环节的食品安全责任。指导生鲜乳收购站布局规划和建设，负责奶畜饲养以及生鲜乳生产环节、收购环节的监督管理。</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7、承担畜牧业的监测分析、预警和有关统计工作，发布畜牧业经济信息。</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8、组织制定全区畜牧水产业科技、教育、培训、技术推广规划，组织实施畜牧业技术研究、畜牧业科研成果转化和技术推广，负责全区畜牧兽医科技推广队伍建设；负责畜牧业服务体系的建设管理；指导畜牧业环境保护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9、负责全区屠宰行业信息统计，承担区政府委托的区农林水局的畜禽屠宰环节的产品质量安全监管及技术鉴定工作。</w:t>
      </w:r>
    </w:p>
    <w:p>
      <w:pPr>
        <w:bidi w:val="0"/>
        <w:rPr>
          <w:rFonts w:hint="default" w:ascii="Times New Roman" w:hAnsi="Times New Roman" w:eastAsia="仿宋" w:cs="Times New Roman"/>
          <w:b w:val="0"/>
          <w:bCs w:val="0"/>
          <w:szCs w:val="32"/>
          <w:lang w:val="en-US" w:eastAsia="zh-CN"/>
        </w:rPr>
      </w:pPr>
      <w:r>
        <w:rPr>
          <w:rFonts w:hint="default" w:ascii="Times New Roman" w:hAnsi="Times New Roman" w:cs="Times New Roman"/>
          <w:lang w:val="en-US" w:eastAsia="zh-CN"/>
        </w:rPr>
        <w:t>10、承办区人民政府</w:t>
      </w:r>
      <w:r>
        <w:rPr>
          <w:rFonts w:hint="default" w:ascii="Times New Roman" w:hAnsi="Times New Roman" w:eastAsia="仿宋" w:cs="Times New Roman"/>
          <w:b w:val="0"/>
          <w:bCs w:val="0"/>
          <w:szCs w:val="32"/>
          <w:lang w:val="en-US" w:eastAsia="zh-CN"/>
        </w:rPr>
        <w:t>交办的其他事项。</w:t>
      </w:r>
    </w:p>
    <w:p>
      <w:pPr>
        <w:pStyle w:val="6"/>
        <w:bidi w:val="0"/>
        <w:ind w:firstLine="420"/>
        <w:rPr>
          <w:rFonts w:hint="default" w:ascii="Times New Roman" w:hAnsi="Times New Roman" w:cs="Times New Roman"/>
          <w:b/>
          <w:lang w:val="en-US" w:eastAsia="zh-CN"/>
        </w:rPr>
      </w:pPr>
      <w:bookmarkStart w:id="3" w:name="_Toc29554"/>
      <w:r>
        <w:rPr>
          <w:rFonts w:hint="default" w:ascii="Times New Roman" w:hAnsi="Times New Roman" w:cs="Times New Roman"/>
          <w:b/>
          <w:lang w:val="en-US" w:eastAsia="zh-CN"/>
        </w:rPr>
        <w:t>（三）人员情况</w:t>
      </w:r>
      <w:bookmarkEnd w:id="3"/>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邵阳市北塔区畜牧水产事务中心共有编制人数13人，实有人数11人。内设股室3个，分别为：办公室，财务室，业务股室。</w:t>
      </w:r>
    </w:p>
    <w:p>
      <w:pPr>
        <w:pStyle w:val="3"/>
        <w:bidi w:val="0"/>
        <w:ind w:firstLine="643"/>
        <w:rPr>
          <w:rFonts w:hint="default" w:ascii="Times New Roman" w:hAnsi="Times New Roman" w:cs="Times New Roman"/>
          <w:b/>
          <w:lang w:val="en-US" w:eastAsia="zh-CN"/>
        </w:rPr>
      </w:pPr>
      <w:bookmarkStart w:id="4" w:name="_Toc21067"/>
      <w:r>
        <w:rPr>
          <w:rFonts w:hint="default" w:ascii="Times New Roman" w:hAnsi="Times New Roman" w:cs="Times New Roman"/>
          <w:b/>
          <w:lang w:val="en-US" w:eastAsia="zh-CN"/>
        </w:rPr>
        <w:t>二、部门整体收支情况</w:t>
      </w:r>
      <w:bookmarkEnd w:id="4"/>
    </w:p>
    <w:p>
      <w:pPr>
        <w:pStyle w:val="6"/>
        <w:bidi w:val="0"/>
        <w:ind w:firstLine="420"/>
        <w:rPr>
          <w:rFonts w:hint="default" w:ascii="Times New Roman" w:hAnsi="Times New Roman" w:cs="Times New Roman"/>
          <w:b/>
          <w:lang w:val="en-US" w:eastAsia="zh-CN"/>
        </w:rPr>
      </w:pPr>
      <w:bookmarkStart w:id="5" w:name="_Toc4"/>
      <w:r>
        <w:rPr>
          <w:rFonts w:hint="default" w:ascii="Times New Roman" w:hAnsi="Times New Roman" w:cs="Times New Roman"/>
          <w:b/>
          <w:lang w:val="en-US" w:eastAsia="zh-CN"/>
        </w:rPr>
        <w:t>（一）资金收入情况</w:t>
      </w:r>
      <w:bookmarkEnd w:id="5"/>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根据畜牧水产中心2022年度部门决算报表，2022年度部门收入决算数为349.08万元，其中：一般公共预算财政拨款收入344.07万元、其他收入5.01万元。</w:t>
      </w:r>
    </w:p>
    <w:p>
      <w:pPr>
        <w:pStyle w:val="6"/>
        <w:bidi w:val="0"/>
        <w:rPr>
          <w:rFonts w:hint="default" w:ascii="Times New Roman" w:hAnsi="Times New Roman" w:cs="Times New Roman"/>
          <w:lang w:val="en-US" w:eastAsia="zh-CN"/>
        </w:rPr>
      </w:pPr>
      <w:bookmarkStart w:id="6" w:name="_Toc2880"/>
      <w:r>
        <w:rPr>
          <w:rFonts w:hint="default" w:ascii="Times New Roman" w:hAnsi="Times New Roman" w:cs="Times New Roman"/>
          <w:lang w:val="en-US" w:eastAsia="zh-CN"/>
        </w:rPr>
        <w:t>（二）资金支出情况</w:t>
      </w:r>
      <w:bookmarkEnd w:id="6"/>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根据畜牧水产中心2022年度部门决算报表，2022年度共计支出349.08万元，其中：基本支出256.39万元，项目支出92.69万元</w:t>
      </w:r>
      <w:r>
        <w:rPr>
          <w:rFonts w:hint="default" w:cs="Times New Roman"/>
          <w:lang w:val="en-US" w:eastAsia="zh-CN"/>
        </w:rPr>
        <w:t>，</w:t>
      </w:r>
      <w:r>
        <w:rPr>
          <w:rFonts w:hint="default" w:ascii="Times New Roman" w:hAnsi="Times New Roman" w:cs="Times New Roman"/>
          <w:lang w:val="en-US" w:eastAsia="zh-CN"/>
        </w:rPr>
        <w:t>年末结转和结余0.00万元。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1、基本经费支出情况</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根据畜牧水产中心2022年度部门决算报表，2022年度畜牧水产中心一般公共预算财政拨款支出共计344.07万元，其中基本支出252.54万元（人员经费177.5</w:t>
      </w:r>
      <w:r>
        <w:rPr>
          <w:rFonts w:hint="eastAsia" w:cs="Times New Roman"/>
          <w:lang w:val="en-US" w:eastAsia="zh-CN"/>
        </w:rPr>
        <w:t>7</w:t>
      </w:r>
      <w:r>
        <w:rPr>
          <w:rFonts w:hint="default" w:ascii="Times New Roman" w:hAnsi="Times New Roman" w:cs="Times New Roman"/>
          <w:lang w:val="en-US" w:eastAsia="zh-CN"/>
        </w:rPr>
        <w:t>万元，公用经费74.97万元），其他支出91.53万元。一般公共预算财政拨款支出基本支出中人员经费和公用经费具体明细如下：</w:t>
      </w:r>
    </w:p>
    <w:tbl>
      <w:tblPr>
        <w:tblStyle w:val="24"/>
        <w:tblW w:w="4989" w:type="pct"/>
        <w:tblInd w:w="0" w:type="dxa"/>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Layout w:type="autofit"/>
        <w:tblCellMar>
          <w:top w:w="0" w:type="dxa"/>
          <w:left w:w="0" w:type="dxa"/>
          <w:bottom w:w="0" w:type="dxa"/>
          <w:right w:w="0" w:type="dxa"/>
        </w:tblCellMar>
      </w:tblPr>
      <w:tblGrid>
        <w:gridCol w:w="1643"/>
        <w:gridCol w:w="4404"/>
        <w:gridCol w:w="2235"/>
      </w:tblGrid>
      <w:tr>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128" w:hRule="atLeast"/>
          <w:tblHeader/>
        </w:trPr>
        <w:tc>
          <w:tcPr>
            <w:tcW w:w="992" w:type="pct"/>
            <w:tcBorders>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pacing w:val="-5"/>
                <w:sz w:val="21"/>
                <w:szCs w:val="21"/>
              </w:rPr>
              <w:t>序号</w:t>
            </w:r>
          </w:p>
        </w:tc>
        <w:tc>
          <w:tcPr>
            <w:tcW w:w="2657" w:type="pct"/>
            <w:tcBorders>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pacing w:val="6"/>
                <w:sz w:val="21"/>
                <w:szCs w:val="21"/>
              </w:rPr>
              <w:t>支出项目</w:t>
            </w:r>
          </w:p>
        </w:tc>
        <w:tc>
          <w:tcPr>
            <w:tcW w:w="1349" w:type="pct"/>
            <w:tcBorders>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b/>
                <w:bCs/>
                <w:spacing w:val="4"/>
                <w:sz w:val="21"/>
                <w:szCs w:val="21"/>
              </w:rPr>
              <w:t>金额</w:t>
            </w:r>
            <w:r>
              <w:rPr>
                <w:rFonts w:hint="default" w:ascii="Times New Roman" w:hAnsi="Times New Roman" w:cs="Times New Roman" w:eastAsiaTheme="minorEastAsia"/>
                <w:b/>
                <w:bCs/>
                <w:spacing w:val="4"/>
                <w:sz w:val="21"/>
                <w:szCs w:val="21"/>
                <w:lang w:eastAsia="zh-CN"/>
              </w:rPr>
              <w:t>（</w:t>
            </w:r>
            <w:r>
              <w:rPr>
                <w:rFonts w:hint="default" w:ascii="Times New Roman" w:hAnsi="Times New Roman" w:cs="Times New Roman" w:eastAsiaTheme="minorEastAsia"/>
                <w:b/>
                <w:bCs/>
                <w:spacing w:val="4"/>
                <w:sz w:val="21"/>
                <w:szCs w:val="21"/>
              </w:rPr>
              <w:t>万元</w:t>
            </w:r>
            <w:r>
              <w:rPr>
                <w:rFonts w:hint="default" w:ascii="Times New Roman" w:hAnsi="Times New Roman" w:cs="Times New Roman" w:eastAsiaTheme="minorEastAsia"/>
                <w:b/>
                <w:bCs/>
                <w:spacing w:val="4"/>
                <w:sz w:val="21"/>
                <w:szCs w:val="21"/>
                <w:lang w:eastAsia="zh-CN"/>
              </w:rPr>
              <w:t>）</w:t>
            </w:r>
          </w:p>
        </w:tc>
      </w:tr>
      <w:tr>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128" w:hRule="atLeast"/>
        </w:trPr>
        <w:tc>
          <w:tcPr>
            <w:tcW w:w="992" w:type="pct"/>
            <w:tcBorders>
              <w:top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一</w:t>
            </w:r>
          </w:p>
        </w:tc>
        <w:tc>
          <w:tcPr>
            <w:tcW w:w="2657" w:type="pct"/>
            <w:tcBorders>
              <w:top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pacing w:val="-5"/>
                <w:sz w:val="21"/>
                <w:szCs w:val="21"/>
              </w:rPr>
              <w:t>人员经费</w:t>
            </w:r>
          </w:p>
        </w:tc>
        <w:tc>
          <w:tcPr>
            <w:tcW w:w="1349" w:type="pct"/>
            <w:tcBorders>
              <w:top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pacing w:val="-4"/>
                <w:sz w:val="21"/>
                <w:szCs w:val="21"/>
                <w:lang w:val="en-US" w:eastAsia="zh-CN"/>
              </w:rPr>
              <w:t>177.5</w:t>
            </w:r>
            <w:r>
              <w:rPr>
                <w:rFonts w:hint="eastAsia" w:cs="Times New Roman" w:eastAsiaTheme="minorEastAsia"/>
                <w:b/>
                <w:bCs/>
                <w:spacing w:val="-4"/>
                <w:sz w:val="21"/>
                <w:szCs w:val="21"/>
                <w:lang w:val="en-US" w:eastAsia="zh-CN"/>
              </w:rPr>
              <w:t>7</w:t>
            </w:r>
          </w:p>
        </w:tc>
      </w:tr>
      <w:tr>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128" w:hRule="atLeast"/>
        </w:trPr>
        <w:tc>
          <w:tcPr>
            <w:tcW w:w="9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z w:val="21"/>
                <w:szCs w:val="21"/>
                <w:lang w:val="en-US" w:eastAsia="zh-CN"/>
              </w:rPr>
            </w:pPr>
            <w:bookmarkStart w:id="7" w:name="OLE_LINK1" w:colFirst="2" w:colLast="2"/>
            <w:r>
              <w:rPr>
                <w:rFonts w:hint="default" w:ascii="Times New Roman" w:hAnsi="Times New Roman" w:cs="Times New Roman" w:eastAsiaTheme="minorEastAsia"/>
                <w:sz w:val="21"/>
                <w:szCs w:val="21"/>
                <w:lang w:val="en-US" w:eastAsia="zh-CN"/>
              </w:rPr>
              <w:t>1</w:t>
            </w:r>
          </w:p>
        </w:tc>
        <w:tc>
          <w:tcPr>
            <w:tcW w:w="265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基本工资</w:t>
            </w:r>
          </w:p>
        </w:tc>
        <w:tc>
          <w:tcPr>
            <w:tcW w:w="134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48.9</w:t>
            </w:r>
            <w:r>
              <w:rPr>
                <w:rFonts w:hint="eastAsia" w:cs="Times New Roman" w:eastAsiaTheme="minorEastAsia"/>
                <w:i w:val="0"/>
                <w:iCs w:val="0"/>
                <w:color w:val="000000"/>
                <w:kern w:val="0"/>
                <w:sz w:val="21"/>
                <w:szCs w:val="21"/>
                <w:u w:val="none"/>
                <w:lang w:val="en-US" w:eastAsia="zh-CN" w:bidi="ar"/>
              </w:rPr>
              <w:t>7</w:t>
            </w:r>
          </w:p>
        </w:tc>
      </w:tr>
      <w:tr>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128" w:hRule="atLeast"/>
        </w:trPr>
        <w:tc>
          <w:tcPr>
            <w:tcW w:w="9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265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津贴补贴</w:t>
            </w:r>
          </w:p>
        </w:tc>
        <w:tc>
          <w:tcPr>
            <w:tcW w:w="134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6.4</w:t>
            </w:r>
            <w:r>
              <w:rPr>
                <w:rFonts w:hint="eastAsia" w:cs="Times New Roman" w:eastAsiaTheme="minorEastAsia"/>
                <w:i w:val="0"/>
                <w:iCs w:val="0"/>
                <w:color w:val="000000"/>
                <w:kern w:val="0"/>
                <w:sz w:val="21"/>
                <w:szCs w:val="21"/>
                <w:u w:val="none"/>
                <w:lang w:val="en-US" w:eastAsia="zh-CN" w:bidi="ar"/>
              </w:rPr>
              <w:t>7</w:t>
            </w:r>
          </w:p>
        </w:tc>
      </w:tr>
      <w:tr>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128" w:hRule="atLeast"/>
        </w:trPr>
        <w:tc>
          <w:tcPr>
            <w:tcW w:w="9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w:t>
            </w:r>
          </w:p>
        </w:tc>
        <w:tc>
          <w:tcPr>
            <w:tcW w:w="265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奖金</w:t>
            </w:r>
          </w:p>
        </w:tc>
        <w:tc>
          <w:tcPr>
            <w:tcW w:w="134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58.4</w:t>
            </w:r>
            <w:r>
              <w:rPr>
                <w:rFonts w:hint="eastAsia" w:cs="Times New Roman" w:eastAsiaTheme="minorEastAsia"/>
                <w:i w:val="0"/>
                <w:iCs w:val="0"/>
                <w:color w:val="000000"/>
                <w:kern w:val="0"/>
                <w:sz w:val="21"/>
                <w:szCs w:val="21"/>
                <w:u w:val="none"/>
                <w:lang w:val="en-US" w:eastAsia="zh-CN" w:bidi="ar"/>
              </w:rPr>
              <w:t>4</w:t>
            </w:r>
          </w:p>
        </w:tc>
      </w:tr>
      <w:tr>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128" w:hRule="atLeast"/>
        </w:trPr>
        <w:tc>
          <w:tcPr>
            <w:tcW w:w="9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w:t>
            </w:r>
          </w:p>
        </w:tc>
        <w:tc>
          <w:tcPr>
            <w:tcW w:w="265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绩效工资</w:t>
            </w:r>
          </w:p>
        </w:tc>
        <w:tc>
          <w:tcPr>
            <w:tcW w:w="134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0.39</w:t>
            </w:r>
          </w:p>
        </w:tc>
      </w:tr>
      <w:tr>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128" w:hRule="atLeast"/>
        </w:trPr>
        <w:tc>
          <w:tcPr>
            <w:tcW w:w="9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w:t>
            </w:r>
          </w:p>
        </w:tc>
        <w:tc>
          <w:tcPr>
            <w:tcW w:w="265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机关事业单位基本养老保险缴费</w:t>
            </w:r>
          </w:p>
        </w:tc>
        <w:tc>
          <w:tcPr>
            <w:tcW w:w="134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18.92</w:t>
            </w:r>
          </w:p>
        </w:tc>
      </w:tr>
      <w:tr>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128" w:hRule="atLeast"/>
        </w:trPr>
        <w:tc>
          <w:tcPr>
            <w:tcW w:w="9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w:t>
            </w:r>
          </w:p>
        </w:tc>
        <w:tc>
          <w:tcPr>
            <w:tcW w:w="265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职业年金缴费</w:t>
            </w:r>
          </w:p>
        </w:tc>
        <w:tc>
          <w:tcPr>
            <w:tcW w:w="134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3.04</w:t>
            </w:r>
          </w:p>
        </w:tc>
      </w:tr>
      <w:tr>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128" w:hRule="atLeast"/>
        </w:trPr>
        <w:tc>
          <w:tcPr>
            <w:tcW w:w="9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w:t>
            </w:r>
          </w:p>
        </w:tc>
        <w:tc>
          <w:tcPr>
            <w:tcW w:w="265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职工基本医疗保险缴费</w:t>
            </w:r>
          </w:p>
        </w:tc>
        <w:tc>
          <w:tcPr>
            <w:tcW w:w="134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15.35</w:t>
            </w:r>
          </w:p>
        </w:tc>
      </w:tr>
      <w:tr>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128" w:hRule="atLeast"/>
        </w:trPr>
        <w:tc>
          <w:tcPr>
            <w:tcW w:w="9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8</w:t>
            </w:r>
          </w:p>
        </w:tc>
        <w:tc>
          <w:tcPr>
            <w:tcW w:w="265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其他社会保障缴费</w:t>
            </w:r>
          </w:p>
        </w:tc>
        <w:tc>
          <w:tcPr>
            <w:tcW w:w="134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0.91</w:t>
            </w:r>
          </w:p>
        </w:tc>
      </w:tr>
      <w:tr>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128" w:hRule="atLeast"/>
        </w:trPr>
        <w:tc>
          <w:tcPr>
            <w:tcW w:w="9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9</w:t>
            </w:r>
          </w:p>
        </w:tc>
        <w:tc>
          <w:tcPr>
            <w:tcW w:w="265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住房公积金</w:t>
            </w:r>
          </w:p>
        </w:tc>
        <w:tc>
          <w:tcPr>
            <w:tcW w:w="134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25.08</w:t>
            </w:r>
          </w:p>
        </w:tc>
      </w:tr>
      <w:tr>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128" w:hRule="atLeast"/>
        </w:trPr>
        <w:tc>
          <w:tcPr>
            <w:tcW w:w="9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b/>
                <w:bCs/>
                <w:position w:val="-4"/>
                <w:sz w:val="21"/>
                <w:szCs w:val="21"/>
              </w:rPr>
              <w:t>二</w:t>
            </w:r>
          </w:p>
        </w:tc>
        <w:tc>
          <w:tcPr>
            <w:tcW w:w="265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snapToGrid w:val="0"/>
                <w:color w:val="000000"/>
                <w:kern w:val="0"/>
                <w:sz w:val="21"/>
                <w:szCs w:val="21"/>
              </w:rPr>
            </w:pPr>
            <w:r>
              <w:rPr>
                <w:rFonts w:hint="default" w:ascii="Times New Roman" w:hAnsi="Times New Roman" w:cs="Times New Roman" w:eastAsiaTheme="minorEastAsia"/>
                <w:b/>
                <w:bCs/>
                <w:spacing w:val="-1"/>
                <w:sz w:val="21"/>
                <w:szCs w:val="21"/>
              </w:rPr>
              <w:t>公用经费</w:t>
            </w:r>
          </w:p>
        </w:tc>
        <w:tc>
          <w:tcPr>
            <w:tcW w:w="13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b/>
                <w:bCs/>
                <w:spacing w:val="-4"/>
                <w:sz w:val="21"/>
                <w:szCs w:val="21"/>
                <w:lang w:val="en-US" w:eastAsia="zh-CN"/>
              </w:rPr>
              <w:t>74.97</w:t>
            </w:r>
          </w:p>
        </w:tc>
      </w:tr>
      <w:tr>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128" w:hRule="atLeast"/>
        </w:trPr>
        <w:tc>
          <w:tcPr>
            <w:tcW w:w="9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z w:val="21"/>
                <w:szCs w:val="21"/>
              </w:rPr>
              <w:t>1</w:t>
            </w:r>
          </w:p>
        </w:tc>
        <w:tc>
          <w:tcPr>
            <w:tcW w:w="265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办公费</w:t>
            </w:r>
          </w:p>
        </w:tc>
        <w:tc>
          <w:tcPr>
            <w:tcW w:w="1349" w:type="pct"/>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0.81</w:t>
            </w:r>
          </w:p>
        </w:tc>
      </w:tr>
      <w:tr>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128" w:hRule="atLeast"/>
        </w:trPr>
        <w:tc>
          <w:tcPr>
            <w:tcW w:w="9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z w:val="21"/>
                <w:szCs w:val="21"/>
              </w:rPr>
              <w:t>2</w:t>
            </w:r>
          </w:p>
        </w:tc>
        <w:tc>
          <w:tcPr>
            <w:tcW w:w="265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印刷费</w:t>
            </w:r>
          </w:p>
        </w:tc>
        <w:tc>
          <w:tcPr>
            <w:tcW w:w="1349" w:type="pct"/>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0.68</w:t>
            </w:r>
          </w:p>
        </w:tc>
      </w:tr>
      <w:tr>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128" w:hRule="atLeast"/>
        </w:trPr>
        <w:tc>
          <w:tcPr>
            <w:tcW w:w="9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z w:val="21"/>
                <w:szCs w:val="21"/>
              </w:rPr>
              <w:t>3</w:t>
            </w:r>
          </w:p>
        </w:tc>
        <w:tc>
          <w:tcPr>
            <w:tcW w:w="265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咨询费</w:t>
            </w:r>
          </w:p>
        </w:tc>
        <w:tc>
          <w:tcPr>
            <w:tcW w:w="1349" w:type="pct"/>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0.20</w:t>
            </w:r>
          </w:p>
        </w:tc>
      </w:tr>
      <w:tr>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128" w:hRule="atLeast"/>
        </w:trPr>
        <w:tc>
          <w:tcPr>
            <w:tcW w:w="9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z w:val="21"/>
                <w:szCs w:val="21"/>
              </w:rPr>
              <w:t>4</w:t>
            </w:r>
          </w:p>
        </w:tc>
        <w:tc>
          <w:tcPr>
            <w:tcW w:w="265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电费</w:t>
            </w:r>
          </w:p>
        </w:tc>
        <w:tc>
          <w:tcPr>
            <w:tcW w:w="1349" w:type="pct"/>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0.94</w:t>
            </w:r>
          </w:p>
        </w:tc>
      </w:tr>
      <w:tr>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128" w:hRule="atLeast"/>
        </w:trPr>
        <w:tc>
          <w:tcPr>
            <w:tcW w:w="9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z w:val="21"/>
                <w:szCs w:val="21"/>
              </w:rPr>
              <w:t>5</w:t>
            </w:r>
          </w:p>
        </w:tc>
        <w:tc>
          <w:tcPr>
            <w:tcW w:w="265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培训费</w:t>
            </w:r>
          </w:p>
        </w:tc>
        <w:tc>
          <w:tcPr>
            <w:tcW w:w="1349" w:type="pct"/>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0.20</w:t>
            </w:r>
          </w:p>
        </w:tc>
      </w:tr>
      <w:tr>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128" w:hRule="atLeast"/>
        </w:trPr>
        <w:tc>
          <w:tcPr>
            <w:tcW w:w="9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z w:val="21"/>
                <w:szCs w:val="21"/>
              </w:rPr>
              <w:t>6</w:t>
            </w:r>
          </w:p>
        </w:tc>
        <w:tc>
          <w:tcPr>
            <w:tcW w:w="265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专用材料费</w:t>
            </w:r>
          </w:p>
        </w:tc>
        <w:tc>
          <w:tcPr>
            <w:tcW w:w="1349" w:type="pct"/>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8.66</w:t>
            </w:r>
          </w:p>
        </w:tc>
      </w:tr>
      <w:tr>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128" w:hRule="atLeast"/>
        </w:trPr>
        <w:tc>
          <w:tcPr>
            <w:tcW w:w="9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z w:val="21"/>
                <w:szCs w:val="21"/>
              </w:rPr>
              <w:t>7</w:t>
            </w:r>
          </w:p>
        </w:tc>
        <w:tc>
          <w:tcPr>
            <w:tcW w:w="265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劳务费</w:t>
            </w:r>
          </w:p>
        </w:tc>
        <w:tc>
          <w:tcPr>
            <w:tcW w:w="1349" w:type="pct"/>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30.53</w:t>
            </w:r>
          </w:p>
        </w:tc>
      </w:tr>
      <w:tr>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128" w:hRule="atLeast"/>
        </w:trPr>
        <w:tc>
          <w:tcPr>
            <w:tcW w:w="9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z w:val="21"/>
                <w:szCs w:val="21"/>
              </w:rPr>
              <w:t>8</w:t>
            </w:r>
          </w:p>
        </w:tc>
        <w:tc>
          <w:tcPr>
            <w:tcW w:w="265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其他交通费用</w:t>
            </w:r>
          </w:p>
        </w:tc>
        <w:tc>
          <w:tcPr>
            <w:tcW w:w="1349" w:type="pct"/>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9.48</w:t>
            </w:r>
          </w:p>
        </w:tc>
      </w:tr>
      <w:tr>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128" w:hRule="atLeast"/>
        </w:trPr>
        <w:tc>
          <w:tcPr>
            <w:tcW w:w="9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z w:val="21"/>
                <w:szCs w:val="21"/>
              </w:rPr>
              <w:t>9</w:t>
            </w:r>
          </w:p>
        </w:tc>
        <w:tc>
          <w:tcPr>
            <w:tcW w:w="265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其他商品和服务支出</w:t>
            </w:r>
          </w:p>
        </w:tc>
        <w:tc>
          <w:tcPr>
            <w:tcW w:w="1349" w:type="pct"/>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22.67</w:t>
            </w:r>
          </w:p>
        </w:tc>
      </w:tr>
      <w:tr>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128" w:hRule="atLeast"/>
        </w:trPr>
        <w:tc>
          <w:tcPr>
            <w:tcW w:w="9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pacing w:val="-6"/>
                <w:sz w:val="21"/>
                <w:szCs w:val="21"/>
                <w:lang w:val="en-US" w:eastAsia="zh-CN"/>
              </w:rPr>
              <w:t>10</w:t>
            </w:r>
          </w:p>
        </w:tc>
        <w:tc>
          <w:tcPr>
            <w:tcW w:w="265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办公设备购置</w:t>
            </w:r>
          </w:p>
        </w:tc>
        <w:tc>
          <w:tcPr>
            <w:tcW w:w="1349" w:type="pct"/>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0.80</w:t>
            </w:r>
          </w:p>
        </w:tc>
      </w:tr>
      <w:tr>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132" w:hRule="atLeast"/>
        </w:trPr>
        <w:tc>
          <w:tcPr>
            <w:tcW w:w="3650"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napToGrid w:val="0"/>
                <w:color w:val="000000"/>
                <w:kern w:val="0"/>
                <w:sz w:val="21"/>
                <w:szCs w:val="21"/>
              </w:rPr>
            </w:pPr>
            <w:r>
              <w:rPr>
                <w:rFonts w:hint="default" w:ascii="Times New Roman" w:hAnsi="Times New Roman" w:cs="Times New Roman" w:eastAsiaTheme="minorEastAsia"/>
                <w:b/>
                <w:bCs/>
                <w:spacing w:val="-3"/>
                <w:sz w:val="21"/>
                <w:szCs w:val="21"/>
              </w:rPr>
              <w:t>合计</w:t>
            </w:r>
          </w:p>
        </w:tc>
        <w:tc>
          <w:tcPr>
            <w:tcW w:w="13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b/>
                <w:bCs/>
                <w:spacing w:val="-4"/>
                <w:sz w:val="21"/>
                <w:szCs w:val="21"/>
                <w:lang w:val="en-US" w:eastAsia="zh-CN"/>
              </w:rPr>
              <w:t>252.54</w:t>
            </w:r>
          </w:p>
        </w:tc>
      </w:tr>
      <w:bookmarkEnd w:id="7"/>
    </w:tbl>
    <w:p>
      <w:pPr>
        <w:pStyle w:val="7"/>
        <w:bidi w:val="0"/>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bCs/>
          <w:sz w:val="32"/>
          <w:szCs w:val="32"/>
          <w:lang w:val="en-US" w:eastAsia="zh-CN"/>
        </w:rPr>
        <w:t>2、“三公经费”支出情况</w:t>
      </w:r>
    </w:p>
    <w:p>
      <w:pPr>
        <w:bidi w:val="0"/>
        <w:rPr>
          <w:rFonts w:hint="default" w:ascii="Times New Roman" w:hAnsi="Times New Roman" w:eastAsia="仿宋" w:cs="Times New Roman"/>
          <w:b w:val="0"/>
          <w:bCs w:val="0"/>
          <w:color w:val="FF0000"/>
          <w:sz w:val="32"/>
          <w:szCs w:val="32"/>
          <w:lang w:val="en-US" w:eastAsia="zh-CN"/>
        </w:rPr>
      </w:pPr>
      <w:r>
        <w:rPr>
          <w:rFonts w:hint="default" w:ascii="Times New Roman" w:hAnsi="Times New Roman" w:eastAsia="仿宋" w:cs="Times New Roman"/>
          <w:b w:val="0"/>
          <w:bCs w:val="0"/>
          <w:sz w:val="32"/>
          <w:szCs w:val="32"/>
          <w:lang w:val="en-US" w:eastAsia="zh-CN"/>
        </w:rPr>
        <w:t>根据畜牧水产中心2022年度部门决算报表，2022年“三公经费”年初预算数为0.50万元</w:t>
      </w:r>
      <w:r>
        <w:rPr>
          <w:rFonts w:hint="default" w:ascii="Times New Roman" w:hAnsi="Times New Roman" w:eastAsia="仿宋" w:cs="Times New Roman"/>
          <w:b w:val="0"/>
          <w:bCs w:val="0"/>
          <w:color w:val="auto"/>
          <w:sz w:val="32"/>
          <w:szCs w:val="32"/>
          <w:lang w:val="en-US" w:eastAsia="zh-CN"/>
        </w:rPr>
        <w:t>，2022年共计支出0.00万元，其中公务用车购置及运行维护费0.00万元，公务接待费0.50万元，因公出国（境）费用0.00元。具体见下表：</w:t>
      </w:r>
    </w:p>
    <w:tbl>
      <w:tblPr>
        <w:tblStyle w:val="20"/>
        <w:tblW w:w="0" w:type="auto"/>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437"/>
        <w:gridCol w:w="1741"/>
        <w:gridCol w:w="1700"/>
        <w:gridCol w:w="1730"/>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3437" w:type="dxa"/>
            <w:tcBorders>
              <w:bottom w:val="single" w:color="000000"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eastAsiaTheme="minorEastAsia"/>
                <w:b/>
                <w:bCs/>
                <w:sz w:val="21"/>
                <w:szCs w:val="21"/>
                <w:vertAlign w:val="baseline"/>
                <w:lang w:val="en-US" w:eastAsia="zh-CN"/>
              </w:rPr>
              <w:t>“三公经费”类别</w:t>
            </w:r>
          </w:p>
        </w:tc>
        <w:tc>
          <w:tcPr>
            <w:tcW w:w="1741" w:type="dxa"/>
            <w:tcBorders>
              <w:bottom w:val="single" w:color="000000"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eastAsiaTheme="minorEastAsia"/>
                <w:b/>
                <w:bCs/>
                <w:sz w:val="21"/>
                <w:szCs w:val="21"/>
                <w:vertAlign w:val="baseline"/>
                <w:lang w:val="en-US" w:eastAsia="zh-CN"/>
              </w:rPr>
              <w:t>预算数</w:t>
            </w:r>
          </w:p>
        </w:tc>
        <w:tc>
          <w:tcPr>
            <w:tcW w:w="1700" w:type="dxa"/>
            <w:tcBorders>
              <w:bottom w:val="single" w:color="000000"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eastAsiaTheme="minorEastAsia"/>
                <w:b/>
                <w:bCs/>
                <w:sz w:val="21"/>
                <w:szCs w:val="21"/>
                <w:vertAlign w:val="baseline"/>
                <w:lang w:val="en-US" w:eastAsia="zh-CN"/>
              </w:rPr>
              <w:t>决算数</w:t>
            </w:r>
          </w:p>
        </w:tc>
        <w:tc>
          <w:tcPr>
            <w:tcW w:w="1730" w:type="dxa"/>
            <w:tcBorders>
              <w:bottom w:val="single" w:color="000000"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eastAsiaTheme="minorEastAsia"/>
                <w:b/>
                <w:bCs/>
                <w:sz w:val="21"/>
                <w:szCs w:val="21"/>
                <w:vertAlign w:val="baseline"/>
                <w:lang w:val="en-US" w:eastAsia="zh-CN"/>
              </w:rPr>
              <w:t>偏离预算数</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437" w:type="dxa"/>
            <w:tcBorders>
              <w:top w:val="single" w:color="000000"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因公出国（境）费</w:t>
            </w:r>
          </w:p>
        </w:tc>
        <w:tc>
          <w:tcPr>
            <w:tcW w:w="1741" w:type="dxa"/>
            <w:tcBorders>
              <w:top w:val="single" w:color="000000"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0.00</w:t>
            </w:r>
          </w:p>
        </w:tc>
        <w:tc>
          <w:tcPr>
            <w:tcW w:w="1700" w:type="dxa"/>
            <w:tcBorders>
              <w:top w:val="single" w:color="000000"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0.00</w:t>
            </w:r>
          </w:p>
        </w:tc>
        <w:tc>
          <w:tcPr>
            <w:tcW w:w="1730" w:type="dxa"/>
            <w:tcBorders>
              <w:top w:val="single" w:color="000000"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43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公务用车购置及运行维护费</w:t>
            </w:r>
          </w:p>
        </w:tc>
        <w:tc>
          <w:tcPr>
            <w:tcW w:w="174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0.00</w:t>
            </w:r>
          </w:p>
        </w:tc>
        <w:tc>
          <w:tcPr>
            <w:tcW w:w="17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0.00</w:t>
            </w:r>
          </w:p>
        </w:tc>
        <w:tc>
          <w:tcPr>
            <w:tcW w:w="17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43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其中：公务用车购置费</w:t>
            </w:r>
          </w:p>
        </w:tc>
        <w:tc>
          <w:tcPr>
            <w:tcW w:w="174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0.00</w:t>
            </w:r>
          </w:p>
        </w:tc>
        <w:tc>
          <w:tcPr>
            <w:tcW w:w="17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0.00</w:t>
            </w:r>
          </w:p>
        </w:tc>
        <w:tc>
          <w:tcPr>
            <w:tcW w:w="17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43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 xml:space="preserve">          公务用车运行维护费</w:t>
            </w:r>
          </w:p>
        </w:tc>
        <w:tc>
          <w:tcPr>
            <w:tcW w:w="174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0.00</w:t>
            </w:r>
          </w:p>
        </w:tc>
        <w:tc>
          <w:tcPr>
            <w:tcW w:w="17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0.00</w:t>
            </w:r>
          </w:p>
        </w:tc>
        <w:tc>
          <w:tcPr>
            <w:tcW w:w="17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43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公务接待费</w:t>
            </w:r>
          </w:p>
        </w:tc>
        <w:tc>
          <w:tcPr>
            <w:tcW w:w="174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0.50</w:t>
            </w:r>
          </w:p>
        </w:tc>
        <w:tc>
          <w:tcPr>
            <w:tcW w:w="17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0.00</w:t>
            </w:r>
          </w:p>
        </w:tc>
        <w:tc>
          <w:tcPr>
            <w:tcW w:w="17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0.50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43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合计</w:t>
            </w:r>
          </w:p>
        </w:tc>
        <w:tc>
          <w:tcPr>
            <w:tcW w:w="174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0.50</w:t>
            </w:r>
          </w:p>
        </w:tc>
        <w:tc>
          <w:tcPr>
            <w:tcW w:w="17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0.00</w:t>
            </w:r>
          </w:p>
        </w:tc>
        <w:tc>
          <w:tcPr>
            <w:tcW w:w="17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0.50</w:t>
            </w:r>
          </w:p>
        </w:tc>
      </w:tr>
    </w:tbl>
    <w:p>
      <w:pPr>
        <w:pStyle w:val="7"/>
        <w:bidi w:val="0"/>
        <w:rPr>
          <w:rFonts w:hint="default" w:ascii="Times New Roman" w:hAnsi="Times New Roman" w:cs="Times New Roman"/>
          <w:lang w:val="en-US" w:eastAsia="zh-CN"/>
        </w:rPr>
      </w:pPr>
      <w:r>
        <w:rPr>
          <w:rFonts w:hint="default" w:ascii="Times New Roman" w:hAnsi="Times New Roman" w:cs="Times New Roman"/>
          <w:lang w:val="en-US" w:eastAsia="zh-CN"/>
        </w:rPr>
        <w:t>3、项目支出情况</w:t>
      </w:r>
    </w:p>
    <w:p>
      <w:pPr>
        <w:bidi w:val="0"/>
        <w:rPr>
          <w:rFonts w:hint="default" w:ascii="Times New Roman" w:hAnsi="Times New Roman" w:cs="Times New Roman" w:eastAsiaTheme="minorEastAsia"/>
          <w:color w:val="auto"/>
          <w:kern w:val="2"/>
          <w:sz w:val="32"/>
          <w:szCs w:val="32"/>
          <w:lang w:val="en-US" w:eastAsia="zh-CN" w:bidi="ar-SA"/>
        </w:rPr>
      </w:pPr>
      <w:r>
        <w:rPr>
          <w:rFonts w:hint="default" w:ascii="Times New Roman" w:hAnsi="Times New Roman" w:eastAsia="仿宋" w:cs="Times New Roman"/>
          <w:b w:val="0"/>
          <w:bCs w:val="0"/>
          <w:color w:val="auto"/>
          <w:sz w:val="32"/>
          <w:szCs w:val="32"/>
          <w:lang w:val="en-US" w:eastAsia="zh-CN"/>
        </w:rPr>
        <w:t>根据畜牧水产中心2022年度部门决算报表，2022年度畜牧水产中心项目支出共计92.69万元，详细支出情况见下表：</w:t>
      </w:r>
      <w:r>
        <w:rPr>
          <w:rFonts w:hint="default" w:ascii="Times New Roman" w:hAnsi="Times New Roman" w:cs="Times New Roman"/>
          <w:color w:val="auto"/>
          <w:kern w:val="2"/>
          <w:sz w:val="32"/>
          <w:szCs w:val="32"/>
          <w:lang w:val="en-US" w:eastAsia="zh-CN" w:bidi="ar-SA"/>
        </w:rPr>
        <w:tab/>
      </w:r>
    </w:p>
    <w:tbl>
      <w:tblPr>
        <w:tblStyle w:val="24"/>
        <w:tblW w:w="8269" w:type="dxa"/>
        <w:tblInd w:w="22" w:type="dxa"/>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Layout w:type="fixed"/>
        <w:tblCellMar>
          <w:top w:w="0" w:type="dxa"/>
          <w:left w:w="0" w:type="dxa"/>
          <w:bottom w:w="0" w:type="dxa"/>
          <w:right w:w="0" w:type="dxa"/>
        </w:tblCellMar>
      </w:tblPr>
      <w:tblGrid>
        <w:gridCol w:w="1333"/>
        <w:gridCol w:w="4894"/>
        <w:gridCol w:w="2042"/>
      </w:tblGrid>
      <w:tr>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40" w:hRule="atLeast"/>
          <w:tblHeader/>
        </w:trPr>
        <w:tc>
          <w:tcPr>
            <w:tcW w:w="1333"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pacing w:val="-5"/>
                <w:sz w:val="21"/>
                <w:szCs w:val="21"/>
              </w:rPr>
              <w:t>序号</w:t>
            </w:r>
          </w:p>
        </w:tc>
        <w:tc>
          <w:tcPr>
            <w:tcW w:w="4894"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pacing w:val="6"/>
                <w:sz w:val="21"/>
                <w:szCs w:val="21"/>
              </w:rPr>
              <w:t>支出项目</w:t>
            </w:r>
          </w:p>
        </w:tc>
        <w:tc>
          <w:tcPr>
            <w:tcW w:w="2042"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pacing w:val="4"/>
                <w:sz w:val="21"/>
                <w:szCs w:val="21"/>
              </w:rPr>
              <w:t>金额</w:t>
            </w:r>
            <w:r>
              <w:rPr>
                <w:rFonts w:hint="default" w:ascii="Times New Roman" w:hAnsi="Times New Roman" w:cs="Times New Roman" w:eastAsiaTheme="minorEastAsia"/>
                <w:b/>
                <w:bCs/>
                <w:spacing w:val="4"/>
                <w:sz w:val="21"/>
                <w:szCs w:val="21"/>
                <w:lang w:eastAsia="zh-CN"/>
              </w:rPr>
              <w:t>（</w:t>
            </w:r>
            <w:r>
              <w:rPr>
                <w:rFonts w:hint="default" w:ascii="Times New Roman" w:hAnsi="Times New Roman" w:cs="Times New Roman" w:eastAsiaTheme="minorEastAsia"/>
                <w:b/>
                <w:bCs/>
                <w:spacing w:val="4"/>
                <w:sz w:val="21"/>
                <w:szCs w:val="21"/>
              </w:rPr>
              <w:t>万元</w:t>
            </w:r>
            <w:r>
              <w:rPr>
                <w:rFonts w:hint="default" w:ascii="Times New Roman" w:hAnsi="Times New Roman" w:cs="Times New Roman" w:eastAsiaTheme="minorEastAsia"/>
                <w:b/>
                <w:bCs/>
                <w:spacing w:val="4"/>
                <w:sz w:val="21"/>
                <w:szCs w:val="21"/>
                <w:lang w:eastAsia="zh-CN"/>
              </w:rPr>
              <w:t>）</w:t>
            </w:r>
          </w:p>
        </w:tc>
      </w:tr>
      <w:tr>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40" w:hRule="atLeast"/>
        </w:trPr>
        <w:tc>
          <w:tcPr>
            <w:tcW w:w="1333" w:type="dxa"/>
            <w:tcBorders>
              <w:top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1</w:t>
            </w:r>
          </w:p>
        </w:tc>
        <w:tc>
          <w:tcPr>
            <w:tcW w:w="4894" w:type="dxa"/>
            <w:tcBorders>
              <w:top w:val="single" w:color="000000"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畜牧水产事业经费</w:t>
            </w:r>
          </w:p>
        </w:tc>
        <w:tc>
          <w:tcPr>
            <w:tcW w:w="2042" w:type="dxa"/>
            <w:tcBorders>
              <w:top w:val="single" w:color="000000" w:sz="4" w:space="0"/>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20.00</w:t>
            </w:r>
          </w:p>
        </w:tc>
      </w:tr>
      <w:tr>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40" w:hRule="atLeast"/>
        </w:trPr>
        <w:tc>
          <w:tcPr>
            <w:tcW w:w="13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napToGrid w:val="0"/>
                <w:color w:val="000000"/>
                <w:kern w:val="0"/>
                <w:sz w:val="21"/>
                <w:szCs w:val="21"/>
                <w:lang w:val="en-US" w:eastAsia="zh-CN"/>
              </w:rPr>
              <w:t>2</w:t>
            </w:r>
          </w:p>
        </w:tc>
        <w:tc>
          <w:tcPr>
            <w:tcW w:w="489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钓鱼台拆除工作</w:t>
            </w:r>
          </w:p>
        </w:tc>
        <w:tc>
          <w:tcPr>
            <w:tcW w:w="2042"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16.86</w:t>
            </w:r>
          </w:p>
        </w:tc>
      </w:tr>
      <w:tr>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40" w:hRule="atLeast"/>
        </w:trPr>
        <w:tc>
          <w:tcPr>
            <w:tcW w:w="13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b w:val="0"/>
                <w:bCs w:val="0"/>
                <w:snapToGrid w:val="0"/>
                <w:color w:val="000000"/>
                <w:kern w:val="0"/>
                <w:sz w:val="21"/>
                <w:szCs w:val="21"/>
                <w:lang w:val="en-US" w:eastAsia="zh-CN"/>
              </w:rPr>
            </w:pPr>
            <w:r>
              <w:rPr>
                <w:rFonts w:hint="default" w:ascii="Times New Roman" w:hAnsi="Times New Roman" w:cs="Times New Roman" w:eastAsiaTheme="minorEastAsia"/>
                <w:b w:val="0"/>
                <w:bCs w:val="0"/>
                <w:snapToGrid w:val="0"/>
                <w:color w:val="000000"/>
                <w:kern w:val="0"/>
                <w:sz w:val="21"/>
                <w:szCs w:val="21"/>
                <w:lang w:val="en-US" w:eastAsia="zh-CN"/>
              </w:rPr>
              <w:t>3</w:t>
            </w:r>
          </w:p>
        </w:tc>
        <w:tc>
          <w:tcPr>
            <w:tcW w:w="489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中央长江禁捕退捕补助资金</w:t>
            </w:r>
          </w:p>
        </w:tc>
        <w:tc>
          <w:tcPr>
            <w:tcW w:w="2042"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19.11</w:t>
            </w:r>
          </w:p>
        </w:tc>
      </w:tr>
      <w:tr>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40" w:hRule="atLeast"/>
        </w:trPr>
        <w:tc>
          <w:tcPr>
            <w:tcW w:w="13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b w:val="0"/>
                <w:bCs w:val="0"/>
                <w:snapToGrid w:val="0"/>
                <w:color w:val="000000"/>
                <w:kern w:val="0"/>
                <w:sz w:val="21"/>
                <w:szCs w:val="21"/>
                <w:lang w:val="en-US" w:eastAsia="zh-CN"/>
              </w:rPr>
            </w:pPr>
            <w:r>
              <w:rPr>
                <w:rFonts w:hint="default" w:ascii="Times New Roman" w:hAnsi="Times New Roman" w:cs="Times New Roman" w:eastAsiaTheme="minorEastAsia"/>
                <w:b w:val="0"/>
                <w:bCs w:val="0"/>
                <w:snapToGrid w:val="0"/>
                <w:color w:val="000000"/>
                <w:kern w:val="0"/>
                <w:sz w:val="21"/>
                <w:szCs w:val="21"/>
                <w:lang w:val="en-US" w:eastAsia="zh-CN"/>
              </w:rPr>
              <w:t>4</w:t>
            </w:r>
          </w:p>
        </w:tc>
        <w:tc>
          <w:tcPr>
            <w:tcW w:w="489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非洲猪瘟防控</w:t>
            </w:r>
          </w:p>
        </w:tc>
        <w:tc>
          <w:tcPr>
            <w:tcW w:w="2042"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2.56</w:t>
            </w:r>
          </w:p>
        </w:tc>
      </w:tr>
      <w:tr>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40" w:hRule="atLeast"/>
        </w:trPr>
        <w:tc>
          <w:tcPr>
            <w:tcW w:w="13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b w:val="0"/>
                <w:bCs w:val="0"/>
                <w:snapToGrid w:val="0"/>
                <w:color w:val="000000"/>
                <w:kern w:val="0"/>
                <w:sz w:val="21"/>
                <w:szCs w:val="21"/>
                <w:lang w:val="en-US" w:eastAsia="zh-CN"/>
              </w:rPr>
            </w:pPr>
            <w:r>
              <w:rPr>
                <w:rFonts w:hint="default" w:ascii="Times New Roman" w:hAnsi="Times New Roman" w:cs="Times New Roman" w:eastAsiaTheme="minorEastAsia"/>
                <w:b w:val="0"/>
                <w:bCs w:val="0"/>
                <w:snapToGrid w:val="0"/>
                <w:color w:val="000000"/>
                <w:kern w:val="0"/>
                <w:sz w:val="21"/>
                <w:szCs w:val="21"/>
                <w:lang w:val="en-US" w:eastAsia="zh-CN"/>
              </w:rPr>
              <w:t>5</w:t>
            </w:r>
          </w:p>
        </w:tc>
        <w:tc>
          <w:tcPr>
            <w:tcW w:w="489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无害化处理</w:t>
            </w:r>
          </w:p>
        </w:tc>
        <w:tc>
          <w:tcPr>
            <w:tcW w:w="2042"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7.00</w:t>
            </w:r>
          </w:p>
        </w:tc>
      </w:tr>
      <w:tr>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40" w:hRule="atLeast"/>
        </w:trPr>
        <w:tc>
          <w:tcPr>
            <w:tcW w:w="13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b w:val="0"/>
                <w:bCs w:val="0"/>
                <w:snapToGrid w:val="0"/>
                <w:color w:val="000000"/>
                <w:kern w:val="0"/>
                <w:sz w:val="21"/>
                <w:szCs w:val="21"/>
                <w:lang w:val="en-US" w:eastAsia="zh-CN"/>
              </w:rPr>
            </w:pPr>
            <w:r>
              <w:rPr>
                <w:rFonts w:hint="default" w:ascii="Times New Roman" w:hAnsi="Times New Roman" w:cs="Times New Roman" w:eastAsiaTheme="minorEastAsia"/>
                <w:b w:val="0"/>
                <w:bCs w:val="0"/>
                <w:snapToGrid w:val="0"/>
                <w:color w:val="000000"/>
                <w:kern w:val="0"/>
                <w:sz w:val="21"/>
                <w:szCs w:val="21"/>
                <w:lang w:val="en-US" w:eastAsia="zh-CN"/>
              </w:rPr>
              <w:t>6</w:t>
            </w:r>
          </w:p>
        </w:tc>
        <w:tc>
          <w:tcPr>
            <w:tcW w:w="489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2022年中央动物防疫等补助资金</w:t>
            </w:r>
          </w:p>
        </w:tc>
        <w:tc>
          <w:tcPr>
            <w:tcW w:w="2042"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26.00</w:t>
            </w:r>
          </w:p>
        </w:tc>
      </w:tr>
      <w:tr>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40" w:hRule="atLeast"/>
        </w:trPr>
        <w:tc>
          <w:tcPr>
            <w:tcW w:w="13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b w:val="0"/>
                <w:bCs w:val="0"/>
                <w:snapToGrid w:val="0"/>
                <w:color w:val="000000"/>
                <w:kern w:val="0"/>
                <w:sz w:val="21"/>
                <w:szCs w:val="21"/>
                <w:lang w:val="en-US" w:eastAsia="zh-CN"/>
              </w:rPr>
            </w:pPr>
            <w:r>
              <w:rPr>
                <w:rFonts w:hint="default" w:ascii="Times New Roman" w:hAnsi="Times New Roman" w:cs="Times New Roman" w:eastAsiaTheme="minorEastAsia"/>
                <w:b w:val="0"/>
                <w:bCs w:val="0"/>
                <w:snapToGrid w:val="0"/>
                <w:color w:val="000000"/>
                <w:kern w:val="0"/>
                <w:sz w:val="21"/>
                <w:szCs w:val="21"/>
                <w:lang w:val="en-US" w:eastAsia="zh-CN"/>
              </w:rPr>
              <w:t>7</w:t>
            </w:r>
          </w:p>
        </w:tc>
        <w:tc>
          <w:tcPr>
            <w:tcW w:w="489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种质资源普查相关支出</w:t>
            </w:r>
          </w:p>
        </w:tc>
        <w:tc>
          <w:tcPr>
            <w:tcW w:w="2042"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1.16</w:t>
            </w:r>
          </w:p>
        </w:tc>
      </w:tr>
      <w:tr>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40" w:hRule="atLeast"/>
        </w:trPr>
        <w:tc>
          <w:tcPr>
            <w:tcW w:w="622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b w:val="0"/>
                <w:bCs w:val="0"/>
                <w:snapToGrid w:val="0"/>
                <w:color w:val="000000"/>
                <w:kern w:val="0"/>
                <w:sz w:val="21"/>
                <w:szCs w:val="21"/>
                <w:lang w:val="en-US" w:eastAsia="zh-CN"/>
              </w:rPr>
            </w:pPr>
            <w:r>
              <w:rPr>
                <w:rFonts w:hint="default" w:ascii="Times New Roman" w:hAnsi="Times New Roman" w:cs="Times New Roman" w:eastAsiaTheme="minorEastAsia"/>
                <w:b w:val="0"/>
                <w:bCs w:val="0"/>
                <w:snapToGrid w:val="0"/>
                <w:color w:val="000000"/>
                <w:kern w:val="0"/>
                <w:sz w:val="21"/>
                <w:szCs w:val="21"/>
                <w:lang w:val="en-US" w:eastAsia="zh-CN"/>
              </w:rPr>
              <w:t>合计</w:t>
            </w:r>
          </w:p>
        </w:tc>
        <w:tc>
          <w:tcPr>
            <w:tcW w:w="20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b w:val="0"/>
                <w:bCs w:val="0"/>
                <w:snapToGrid w:val="0"/>
                <w:color w:val="000000"/>
                <w:kern w:val="0"/>
                <w:sz w:val="21"/>
                <w:szCs w:val="21"/>
                <w:lang w:val="en-US" w:eastAsia="zh-CN"/>
              </w:rPr>
            </w:pPr>
            <w:r>
              <w:rPr>
                <w:rFonts w:hint="default" w:ascii="Times New Roman" w:hAnsi="Times New Roman" w:cs="Times New Roman" w:eastAsiaTheme="minorEastAsia"/>
                <w:b w:val="0"/>
                <w:bCs w:val="0"/>
                <w:snapToGrid w:val="0"/>
                <w:color w:val="000000"/>
                <w:kern w:val="0"/>
                <w:sz w:val="21"/>
                <w:szCs w:val="21"/>
                <w:lang w:val="en-US" w:eastAsia="zh-CN"/>
              </w:rPr>
              <w:fldChar w:fldCharType="begin"/>
            </w:r>
            <w:r>
              <w:rPr>
                <w:rFonts w:hint="default" w:ascii="Times New Roman" w:hAnsi="Times New Roman" w:cs="Times New Roman" w:eastAsiaTheme="minorEastAsia"/>
                <w:b w:val="0"/>
                <w:bCs w:val="0"/>
                <w:snapToGrid w:val="0"/>
                <w:color w:val="000000"/>
                <w:kern w:val="0"/>
                <w:sz w:val="21"/>
                <w:szCs w:val="21"/>
                <w:lang w:val="en-US" w:eastAsia="zh-CN"/>
              </w:rPr>
              <w:instrText xml:space="preserve"> = sum(C2:C8) \* MERGEFORMAT </w:instrText>
            </w:r>
            <w:r>
              <w:rPr>
                <w:rFonts w:hint="default" w:ascii="Times New Roman" w:hAnsi="Times New Roman" w:cs="Times New Roman" w:eastAsiaTheme="minorEastAsia"/>
                <w:b w:val="0"/>
                <w:bCs w:val="0"/>
                <w:snapToGrid w:val="0"/>
                <w:color w:val="000000"/>
                <w:kern w:val="0"/>
                <w:sz w:val="21"/>
                <w:szCs w:val="21"/>
                <w:lang w:val="en-US" w:eastAsia="zh-CN"/>
              </w:rPr>
              <w:fldChar w:fldCharType="separate"/>
            </w:r>
            <w:r>
              <w:rPr>
                <w:rFonts w:hint="default" w:ascii="Times New Roman" w:hAnsi="Times New Roman" w:cs="Times New Roman" w:eastAsiaTheme="minorEastAsia"/>
                <w:b w:val="0"/>
                <w:bCs w:val="0"/>
                <w:snapToGrid w:val="0"/>
                <w:color w:val="000000"/>
                <w:kern w:val="0"/>
                <w:sz w:val="21"/>
                <w:szCs w:val="21"/>
                <w:lang w:val="en-US" w:eastAsia="zh-CN"/>
              </w:rPr>
              <w:t>92.69</w:t>
            </w:r>
            <w:r>
              <w:rPr>
                <w:rFonts w:hint="default" w:ascii="Times New Roman" w:hAnsi="Times New Roman" w:cs="Times New Roman" w:eastAsiaTheme="minorEastAsia"/>
                <w:b w:val="0"/>
                <w:bCs w:val="0"/>
                <w:snapToGrid w:val="0"/>
                <w:color w:val="000000"/>
                <w:kern w:val="0"/>
                <w:sz w:val="21"/>
                <w:szCs w:val="21"/>
                <w:lang w:val="en-US" w:eastAsia="zh-CN"/>
              </w:rPr>
              <w:fldChar w:fldCharType="end"/>
            </w:r>
          </w:p>
        </w:tc>
      </w:tr>
    </w:tbl>
    <w:p>
      <w:pPr>
        <w:pStyle w:val="6"/>
        <w:bidi w:val="0"/>
        <w:ind w:firstLine="420"/>
        <w:rPr>
          <w:rFonts w:hint="default" w:ascii="Times New Roman" w:hAnsi="Times New Roman" w:eastAsia="楷体" w:cs="Times New Roman"/>
          <w:b/>
          <w:bCs/>
          <w:sz w:val="32"/>
          <w:szCs w:val="32"/>
          <w:lang w:val="en-US" w:eastAsia="zh-CN"/>
        </w:rPr>
      </w:pPr>
      <w:bookmarkStart w:id="8" w:name="_Toc4806"/>
      <w:r>
        <w:rPr>
          <w:rFonts w:hint="default" w:ascii="Times New Roman" w:hAnsi="Times New Roman" w:eastAsia="楷体" w:cs="Times New Roman"/>
          <w:b/>
          <w:bCs/>
          <w:sz w:val="32"/>
          <w:szCs w:val="32"/>
          <w:lang w:val="en-US" w:eastAsia="zh-CN"/>
        </w:rPr>
        <w:t>（三）资金管理情况</w:t>
      </w:r>
      <w:bookmarkEnd w:id="8"/>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畜牧水产中心制定了《区畜牧水产事务中心财务管理制度》，从财务管理工作制度、财务开支审批制度、财务公开制度等方面进行了有关规定，严格按照有关财务制度，加强机关财务管理，节约使用资金，降低行政成本。</w:t>
      </w:r>
    </w:p>
    <w:p>
      <w:pPr>
        <w:pStyle w:val="3"/>
        <w:bidi w:val="0"/>
        <w:rPr>
          <w:rFonts w:hint="default" w:ascii="Times New Roman" w:hAnsi="Times New Roman" w:cs="Times New Roman"/>
          <w:lang w:val="en-US" w:eastAsia="zh-CN"/>
        </w:rPr>
      </w:pPr>
      <w:bookmarkStart w:id="9" w:name="_Toc3377"/>
      <w:r>
        <w:rPr>
          <w:rFonts w:hint="default" w:ascii="Times New Roman" w:hAnsi="Times New Roman" w:cs="Times New Roman"/>
          <w:lang w:val="en-US" w:eastAsia="zh-CN"/>
        </w:rPr>
        <w:t>三、制度建设情况</w:t>
      </w:r>
      <w:bookmarkEnd w:id="9"/>
    </w:p>
    <w:p>
      <w:pPr>
        <w:pStyle w:val="6"/>
        <w:bidi w:val="0"/>
        <w:ind w:firstLine="420"/>
        <w:rPr>
          <w:rFonts w:hint="default" w:ascii="Times New Roman" w:hAnsi="Times New Roman" w:eastAsia="楷体" w:cs="Times New Roman"/>
          <w:b/>
          <w:bCs/>
          <w:sz w:val="32"/>
          <w:szCs w:val="32"/>
          <w:lang w:val="en-US" w:eastAsia="zh-CN"/>
        </w:rPr>
      </w:pPr>
      <w:bookmarkStart w:id="10" w:name="_Toc1255"/>
      <w:r>
        <w:rPr>
          <w:rFonts w:hint="default" w:ascii="Times New Roman" w:hAnsi="Times New Roman" w:eastAsia="楷体" w:cs="Times New Roman"/>
          <w:b/>
          <w:bCs/>
          <w:sz w:val="32"/>
          <w:szCs w:val="32"/>
          <w:lang w:val="en-US" w:eastAsia="zh-CN"/>
        </w:rPr>
        <w:t>（一）内控制度建设情况</w:t>
      </w:r>
      <w:bookmarkEnd w:id="10"/>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畜牧水产中心制定了《北塔区畜牧水产事务中心内部控制制度》，主要对管理机构及职责、组织形式与方式、政府采购预算、政府采购实施计划、采购审批流程、采政府集中采购、部门集中及单位分散采购、政府采购合同、采购验收与结算、采购档案管理、监督与检查等方面做出了具体规定。</w:t>
      </w:r>
    </w:p>
    <w:p>
      <w:pPr>
        <w:pStyle w:val="6"/>
        <w:bidi w:val="0"/>
        <w:ind w:firstLine="420"/>
        <w:rPr>
          <w:rFonts w:hint="default" w:ascii="Times New Roman" w:hAnsi="Times New Roman" w:eastAsia="楷体" w:cs="Times New Roman"/>
          <w:b/>
          <w:bCs/>
          <w:sz w:val="32"/>
          <w:szCs w:val="32"/>
          <w:lang w:val="en-US" w:eastAsia="zh-CN"/>
        </w:rPr>
      </w:pPr>
      <w:bookmarkStart w:id="11" w:name="_Toc23312"/>
      <w:r>
        <w:rPr>
          <w:rFonts w:hint="default" w:ascii="Times New Roman" w:hAnsi="Times New Roman" w:eastAsia="楷体" w:cs="Times New Roman"/>
          <w:b/>
          <w:bCs/>
          <w:sz w:val="32"/>
          <w:szCs w:val="32"/>
          <w:lang w:val="en-US" w:eastAsia="zh-CN"/>
        </w:rPr>
        <w:t>（二）资产管理</w:t>
      </w:r>
      <w:r>
        <w:rPr>
          <w:rFonts w:hint="default" w:ascii="Times New Roman" w:hAnsi="Times New Roman" w:cs="Times New Roman"/>
          <w:b/>
          <w:lang w:val="en-US" w:eastAsia="zh-CN"/>
        </w:rPr>
        <w:t>制度</w:t>
      </w:r>
      <w:r>
        <w:rPr>
          <w:rFonts w:hint="default" w:ascii="Times New Roman" w:hAnsi="Times New Roman" w:eastAsia="楷体" w:cs="Times New Roman"/>
          <w:b/>
          <w:bCs/>
          <w:sz w:val="32"/>
          <w:szCs w:val="32"/>
          <w:lang w:val="en-US" w:eastAsia="zh-CN"/>
        </w:rPr>
        <w:t>建设及使用情况</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为加强和规范国有资产管理，保障国有资产的安全完整，推进节约型机关建设，根据财政部《行政事业单位国有资产管理暂行办法》和《行政事业单位内部控制规范（试行）》要求，在《财务管理制度》对有关资产管理进行了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color w:val="FF0000"/>
          <w:sz w:val="32"/>
          <w:szCs w:val="32"/>
          <w:lang w:val="en-US" w:eastAsia="zh-CN"/>
        </w:rPr>
      </w:pPr>
      <w:r>
        <w:rPr>
          <w:rFonts w:hint="default" w:ascii="Times New Roman" w:hAnsi="Times New Roman" w:eastAsia="仿宋" w:cs="Times New Roman"/>
          <w:b w:val="0"/>
          <w:bCs w:val="0"/>
          <w:sz w:val="32"/>
          <w:szCs w:val="32"/>
          <w:lang w:val="en-US" w:eastAsia="zh-CN"/>
        </w:rPr>
        <w:t>截至2022年12月31日，畜牧水产中心固定资产账面原值13.74万元。其中：家具和用具2.92万元，设备10.82万元。</w:t>
      </w:r>
      <w:r>
        <w:rPr>
          <w:rFonts w:hint="default" w:ascii="Times New Roman" w:hAnsi="Times New Roman" w:eastAsia="仿宋" w:cs="Times New Roman"/>
          <w:b w:val="0"/>
          <w:bCs w:val="0"/>
          <w:color w:val="auto"/>
          <w:sz w:val="32"/>
          <w:szCs w:val="32"/>
          <w:lang w:val="en-US" w:eastAsia="zh-CN"/>
        </w:rPr>
        <w:t>资产在用</w:t>
      </w:r>
      <w:r>
        <w:rPr>
          <w:rFonts w:hint="default" w:ascii="Times New Roman" w:hAnsi="Times New Roman" w:eastAsia="仿宋" w:cs="Times New Roman"/>
          <w:b w:val="0"/>
          <w:bCs w:val="0"/>
          <w:sz w:val="32"/>
          <w:szCs w:val="32"/>
          <w:lang w:val="en-US" w:eastAsia="zh-CN"/>
        </w:rPr>
        <w:t>13.74</w:t>
      </w:r>
      <w:r>
        <w:rPr>
          <w:rFonts w:hint="default" w:ascii="Times New Roman" w:hAnsi="Times New Roman" w:eastAsia="仿宋" w:cs="Times New Roman"/>
          <w:b w:val="0"/>
          <w:bCs w:val="0"/>
          <w:color w:val="auto"/>
          <w:sz w:val="32"/>
          <w:szCs w:val="32"/>
          <w:lang w:val="en-US" w:eastAsia="zh-CN"/>
        </w:rPr>
        <w:t>万元，资产使用率100%。</w:t>
      </w:r>
    </w:p>
    <w:p>
      <w:pPr>
        <w:pStyle w:val="6"/>
        <w:bidi w:val="0"/>
        <w:ind w:firstLine="420"/>
        <w:rPr>
          <w:rFonts w:hint="default" w:ascii="Times New Roman" w:hAnsi="Times New Roman" w:eastAsia="楷体" w:cs="Times New Roman"/>
          <w:b/>
          <w:bCs/>
          <w:sz w:val="32"/>
          <w:szCs w:val="32"/>
          <w:lang w:val="en-US" w:eastAsia="zh-CN"/>
        </w:rPr>
      </w:pPr>
      <w:bookmarkStart w:id="12" w:name="_Toc2595"/>
      <w:r>
        <w:rPr>
          <w:rFonts w:hint="default" w:ascii="Times New Roman" w:hAnsi="Times New Roman" w:eastAsia="楷体" w:cs="Times New Roman"/>
          <w:b/>
          <w:bCs/>
          <w:sz w:val="32"/>
          <w:szCs w:val="32"/>
          <w:lang w:val="en-US" w:eastAsia="zh-CN"/>
        </w:rPr>
        <w:t>（三）政府采购</w:t>
      </w:r>
      <w:r>
        <w:rPr>
          <w:rFonts w:hint="default" w:ascii="Times New Roman" w:hAnsi="Times New Roman" w:cs="Times New Roman"/>
          <w:b/>
          <w:lang w:val="en-US" w:eastAsia="zh-CN"/>
        </w:rPr>
        <w:t>制度</w:t>
      </w:r>
      <w:r>
        <w:rPr>
          <w:rFonts w:hint="default" w:ascii="Times New Roman" w:hAnsi="Times New Roman" w:eastAsia="楷体" w:cs="Times New Roman"/>
          <w:b/>
          <w:bCs/>
          <w:sz w:val="32"/>
          <w:szCs w:val="32"/>
          <w:lang w:val="en-US" w:eastAsia="zh-CN"/>
        </w:rPr>
        <w:t>建设情况</w:t>
      </w:r>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Style w:val="25"/>
          <w:rFonts w:hint="default" w:ascii="Times New Roman" w:hAnsi="Times New Roman" w:cs="Times New Roman"/>
          <w:lang w:val="en-US" w:eastAsia="zh-CN"/>
        </w:rPr>
      </w:pPr>
      <w:r>
        <w:rPr>
          <w:rFonts w:hint="default" w:ascii="Times New Roman" w:hAnsi="Times New Roman" w:eastAsia="仿宋" w:cs="Times New Roman"/>
          <w:b w:val="0"/>
          <w:bCs w:val="0"/>
          <w:sz w:val="32"/>
          <w:szCs w:val="32"/>
          <w:lang w:val="en-US" w:eastAsia="zh-CN"/>
        </w:rPr>
        <w:t>畜牧水产中心在《北塔区畜牧水产事务中心内部控制制度》中明确了政府采购相关规定。</w:t>
      </w:r>
    </w:p>
    <w:p>
      <w:pPr>
        <w:pStyle w:val="3"/>
        <w:bidi w:val="0"/>
        <w:rPr>
          <w:rFonts w:hint="default" w:ascii="Times New Roman" w:hAnsi="Times New Roman" w:cs="Times New Roman"/>
          <w:lang w:val="en-US" w:eastAsia="zh-CN"/>
        </w:rPr>
      </w:pPr>
      <w:bookmarkStart w:id="13" w:name="_Toc27635"/>
      <w:r>
        <w:rPr>
          <w:rFonts w:hint="default" w:ascii="Times New Roman" w:hAnsi="Times New Roman" w:cs="Times New Roman"/>
          <w:lang w:val="en-US" w:eastAsia="zh-CN"/>
        </w:rPr>
        <w:t>四、第三方重点绩效评价工作情况</w:t>
      </w:r>
      <w:bookmarkEnd w:id="13"/>
    </w:p>
    <w:p>
      <w:pPr>
        <w:pStyle w:val="6"/>
        <w:bidi w:val="0"/>
        <w:ind w:firstLine="420"/>
        <w:rPr>
          <w:rFonts w:hint="default" w:ascii="Times New Roman" w:hAnsi="Times New Roman" w:eastAsia="仿宋" w:cs="Times New Roman"/>
          <w:b w:val="0"/>
          <w:bCs w:val="0"/>
          <w:sz w:val="32"/>
          <w:szCs w:val="32"/>
          <w:lang w:val="en-US" w:eastAsia="zh-CN"/>
        </w:rPr>
      </w:pPr>
      <w:bookmarkStart w:id="14" w:name="_Toc11865"/>
      <w:r>
        <w:rPr>
          <w:rFonts w:hint="default" w:ascii="Times New Roman" w:hAnsi="Times New Roman" w:eastAsia="楷体" w:cs="Times New Roman"/>
          <w:b/>
          <w:bCs/>
          <w:sz w:val="32"/>
          <w:szCs w:val="32"/>
          <w:lang w:val="en-US" w:eastAsia="zh-CN"/>
        </w:rPr>
        <w:t>（一）重点绩效评价目的</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通过开展第三方重点绩效评价，全面了解、分析部门</w:t>
      </w:r>
      <w:r>
        <w:rPr>
          <w:rFonts w:hint="default" w:cs="Times New Roman"/>
          <w:b w:val="0"/>
          <w:bCs w:val="0"/>
          <w:sz w:val="32"/>
          <w:szCs w:val="32"/>
          <w:lang w:val="en-US" w:eastAsia="zh-CN"/>
        </w:rPr>
        <w:t>整体</w:t>
      </w:r>
      <w:r>
        <w:rPr>
          <w:rFonts w:hint="default" w:ascii="Times New Roman" w:hAnsi="Times New Roman" w:eastAsia="仿宋" w:cs="Times New Roman"/>
          <w:b w:val="0"/>
          <w:bCs w:val="0"/>
          <w:sz w:val="32"/>
          <w:szCs w:val="32"/>
          <w:lang w:val="en-US" w:eastAsia="zh-CN"/>
        </w:rPr>
        <w:t>支出情况，包括部门基本支出和项目支出。主要是部门财政支出管理情况，具体从资金的投入、过程、产出和效果四个方面进行评价。重点评价关注贯彻落实厉行节约、严控“三公”经费、降低一般运行经费、加强项目支出管理等方面取得的成绩、存在的问题及改进措施。增强职能设置科学合理性、</w:t>
      </w:r>
      <w:r>
        <w:rPr>
          <w:rFonts w:hint="default" w:ascii="Times New Roman" w:hAnsi="Times New Roman" w:eastAsia="仿宋" w:cs="Times New Roman"/>
          <w:b w:val="0"/>
          <w:bCs w:val="0"/>
          <w:color w:val="auto"/>
          <w:sz w:val="32"/>
          <w:szCs w:val="32"/>
          <w:lang w:val="en-US" w:eastAsia="zh-CN"/>
        </w:rPr>
        <w:t>部门中长期财政规划适应性、</w:t>
      </w:r>
      <w:r>
        <w:rPr>
          <w:rFonts w:hint="default" w:ascii="Times New Roman" w:hAnsi="Times New Roman" w:eastAsia="仿宋" w:cs="Times New Roman"/>
          <w:b w:val="0"/>
          <w:bCs w:val="0"/>
          <w:sz w:val="32"/>
          <w:szCs w:val="32"/>
          <w:lang w:val="en-US" w:eastAsia="zh-CN"/>
        </w:rPr>
        <w:t>年度工作计划科学完整性、年度绩效目标明确性、年度部门预算计划科学性，规划部门预算执行管理、内部制度管理，切实提高部门产出及效益。</w:t>
      </w:r>
    </w:p>
    <w:p>
      <w:pPr>
        <w:pStyle w:val="6"/>
        <w:bidi w:val="0"/>
        <w:ind w:firstLine="420"/>
        <w:rPr>
          <w:rFonts w:hint="default" w:ascii="Times New Roman" w:hAnsi="Times New Roman" w:eastAsia="楷体" w:cs="Times New Roman"/>
          <w:b/>
          <w:bCs/>
          <w:sz w:val="32"/>
          <w:szCs w:val="32"/>
          <w:lang w:val="en-US" w:eastAsia="zh-CN"/>
        </w:rPr>
      </w:pPr>
      <w:bookmarkStart w:id="15" w:name="_Toc20691"/>
      <w:r>
        <w:rPr>
          <w:rFonts w:hint="default" w:ascii="Times New Roman" w:hAnsi="Times New Roman" w:eastAsia="楷体" w:cs="Times New Roman"/>
          <w:b/>
          <w:bCs/>
          <w:sz w:val="32"/>
          <w:szCs w:val="32"/>
          <w:lang w:val="en-US" w:eastAsia="zh-CN"/>
        </w:rPr>
        <w:t>（二）重点绩效评价工作过程</w:t>
      </w:r>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参考</w:t>
      </w:r>
      <w:r>
        <w:rPr>
          <w:rFonts w:hint="default" w:ascii="Times New Roman" w:hAnsi="Times New Roman" w:eastAsia="仿宋" w:cs="Times New Roman"/>
          <w:sz w:val="32"/>
          <w:szCs w:val="32"/>
          <w:lang w:val="en-US" w:eastAsia="zh-CN"/>
        </w:rPr>
        <w:t>《湖南省财政厅关于印发〈湖南省预算支出绩效评价管理办法〉的通知》（湘财绩〔2020〕7号）</w:t>
      </w:r>
      <w:r>
        <w:rPr>
          <w:rFonts w:hint="default" w:ascii="Times New Roman" w:hAnsi="Times New Roman" w:eastAsia="仿宋" w:cs="Times New Roman"/>
          <w:b w:val="0"/>
          <w:bCs w:val="0"/>
          <w:sz w:val="32"/>
          <w:szCs w:val="32"/>
          <w:lang w:val="en-US" w:eastAsia="zh-CN"/>
        </w:rPr>
        <w:t>的要求和相关政策规定，我所按下列步骤开展了绩效评价工作：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b w:val="0"/>
          <w:bCs w:val="0"/>
          <w:sz w:val="32"/>
          <w:szCs w:val="32"/>
          <w:lang w:val="en-US" w:eastAsia="zh-CN"/>
        </w:rPr>
      </w:pPr>
      <w:r>
        <w:rPr>
          <w:rStyle w:val="26"/>
          <w:rFonts w:hint="default" w:ascii="Times New Roman" w:hAnsi="Times New Roman" w:cs="Times New Roman"/>
          <w:lang w:val="en-US" w:eastAsia="zh-CN"/>
        </w:rPr>
        <w:t>1、前期准备。</w:t>
      </w:r>
      <w:r>
        <w:rPr>
          <w:rFonts w:hint="default" w:ascii="Times New Roman" w:hAnsi="Times New Roman" w:eastAsia="仿宋" w:cs="Times New Roman"/>
          <w:b w:val="0"/>
          <w:bCs w:val="0"/>
          <w:sz w:val="32"/>
          <w:szCs w:val="32"/>
          <w:lang w:val="en-US" w:eastAsia="zh-CN"/>
        </w:rPr>
        <w:t>专人成立重点绩效评价工作小组，明确了工作职责，制定了现场评价方案，并设计了相关表格，通过联系相关单位，确定了绩效评价的实施时间。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b w:val="0"/>
          <w:bCs w:val="0"/>
          <w:sz w:val="32"/>
          <w:szCs w:val="32"/>
          <w:lang w:val="en-US" w:eastAsia="zh-CN"/>
        </w:rPr>
      </w:pPr>
      <w:r>
        <w:rPr>
          <w:rStyle w:val="26"/>
          <w:rFonts w:hint="default" w:ascii="Times New Roman" w:hAnsi="Times New Roman" w:cs="Times New Roman"/>
          <w:lang w:val="en-US" w:eastAsia="zh-CN"/>
        </w:rPr>
        <w:t>2、具体实施。</w:t>
      </w:r>
      <w:r>
        <w:rPr>
          <w:rFonts w:hint="default" w:ascii="Times New Roman" w:hAnsi="Times New Roman" w:eastAsia="仿宋" w:cs="Times New Roman"/>
          <w:b w:val="0"/>
          <w:bCs w:val="0"/>
          <w:sz w:val="32"/>
          <w:szCs w:val="32"/>
          <w:lang w:val="en-US" w:eastAsia="zh-CN"/>
        </w:rPr>
        <w:t>一是收集、检查单位资料。收集单位三定方案、制度建设、资金拨付明细、预决算报表、工作计划与总结等资料；核查相关制度是否完善，专项项目申报、审批、实施、验收等程序是否合规，资金拨付手续是否齐全，是否存在截留、挪用等情况；二是进入单位实地查看。通过与相关负责人员面对面交谈、现场查看畜牧水产中心专项项目实施等方式，采集了相关数据，核查了资金使用、相关制度落实等情况；三是形成评价报告。通过对相关资料进行综合分析，按照确定的评价指标和标准，结合现场评价情况，得出评价结论，形成绩效评价报告。</w:t>
      </w:r>
    </w:p>
    <w:p>
      <w:pPr>
        <w:pStyle w:val="3"/>
        <w:bidi w:val="0"/>
        <w:rPr>
          <w:rFonts w:hint="default" w:ascii="Times New Roman" w:hAnsi="Times New Roman" w:cs="Times New Roman"/>
          <w:lang w:val="en-US" w:eastAsia="zh-CN"/>
        </w:rPr>
      </w:pPr>
      <w:bookmarkStart w:id="16" w:name="_Toc2258"/>
      <w:r>
        <w:rPr>
          <w:rFonts w:hint="default" w:ascii="Times New Roman" w:hAnsi="Times New Roman" w:cs="Times New Roman"/>
          <w:lang w:val="en-US" w:eastAsia="zh-CN"/>
        </w:rPr>
        <w:t>五、部门整体支出绩效情况</w:t>
      </w:r>
      <w:bookmarkEnd w:id="16"/>
    </w:p>
    <w:p>
      <w:pPr>
        <w:pStyle w:val="6"/>
        <w:bidi w:val="0"/>
        <w:ind w:firstLine="420"/>
        <w:rPr>
          <w:rFonts w:hint="default" w:ascii="Times New Roman" w:hAnsi="Times New Roman" w:eastAsia="仿宋" w:cs="Times New Roman"/>
          <w:b w:val="0"/>
          <w:bCs w:val="0"/>
          <w:sz w:val="32"/>
          <w:szCs w:val="32"/>
          <w:lang w:val="en-US" w:eastAsia="zh-CN"/>
        </w:rPr>
      </w:pPr>
      <w:bookmarkStart w:id="17" w:name="_Toc11587"/>
      <w:r>
        <w:rPr>
          <w:rFonts w:hint="default" w:ascii="Times New Roman" w:hAnsi="Times New Roman" w:eastAsia="楷体" w:cs="Times New Roman"/>
          <w:b/>
          <w:bCs/>
          <w:sz w:val="32"/>
          <w:szCs w:val="32"/>
          <w:lang w:val="en-US" w:eastAsia="zh-CN"/>
        </w:rPr>
        <w:t>（一）部门整体</w:t>
      </w:r>
      <w:r>
        <w:rPr>
          <w:rFonts w:hint="default" w:ascii="Times New Roman" w:hAnsi="Times New Roman" w:cs="Times New Roman"/>
          <w:b/>
          <w:lang w:val="en-US" w:eastAsia="zh-CN"/>
        </w:rPr>
        <w:t>实际</w:t>
      </w:r>
      <w:r>
        <w:rPr>
          <w:rFonts w:hint="default" w:ascii="Times New Roman" w:hAnsi="Times New Roman" w:eastAsia="楷体" w:cs="Times New Roman"/>
          <w:b/>
          <w:bCs/>
          <w:sz w:val="32"/>
          <w:szCs w:val="32"/>
          <w:lang w:val="en-US" w:eastAsia="zh-CN"/>
        </w:rPr>
        <w:t>产出情况</w:t>
      </w:r>
      <w:bookmarkEnd w:id="17"/>
    </w:p>
    <w:p>
      <w:pPr>
        <w:pStyle w:val="7"/>
        <w:bidi w:val="0"/>
        <w:rPr>
          <w:rFonts w:hint="default"/>
          <w:lang w:val="en-US" w:eastAsia="zh-CN"/>
        </w:rPr>
      </w:pPr>
      <w:bookmarkStart w:id="18" w:name="_Toc32652"/>
      <w:bookmarkStart w:id="19" w:name="_Toc12228"/>
      <w:r>
        <w:rPr>
          <w:rFonts w:hint="default"/>
          <w:lang w:val="en-US" w:eastAsia="zh-CN"/>
        </w:rPr>
        <w:t>1、</w:t>
      </w:r>
      <w:bookmarkEnd w:id="18"/>
      <w:bookmarkEnd w:id="19"/>
      <w:r>
        <w:rPr>
          <w:rFonts w:hint="default"/>
          <w:lang w:val="en-US" w:eastAsia="zh-CN"/>
        </w:rPr>
        <w:t>非洲猪瘟防控</w:t>
      </w:r>
    </w:p>
    <w:p>
      <w:pPr>
        <w:bidi w:val="0"/>
        <w:rPr>
          <w:rFonts w:hint="default"/>
          <w:lang w:val="en-US" w:eastAsia="zh-CN"/>
        </w:rPr>
      </w:pPr>
      <w:r>
        <w:rPr>
          <w:rFonts w:hint="default"/>
        </w:rPr>
        <w:t>2022年春季和秋季动物疫病防控“集中攻坚行动”，生猪接种口蹄疫疫苗6.41万头、猪瘟疫苗6.41万头、蓝耳病疫苗3万头；牛羊接种口蹄疫疫苗2</w:t>
      </w:r>
      <w:r>
        <w:rPr>
          <w:rFonts w:hint="default"/>
          <w:lang w:val="en-US" w:eastAsia="zh-CN"/>
        </w:rPr>
        <w:t>.2</w:t>
      </w:r>
      <w:r>
        <w:rPr>
          <w:rFonts w:hint="default"/>
        </w:rPr>
        <w:t>万头、小反刍兽疫疫苗1万头；家禽禽流感200万羽。在全区范围内开展“大消毒、大清洗”100次，使用消毒粉10吨、出动车辆100次；开展非洲猪瘟排查600次。</w:t>
      </w:r>
    </w:p>
    <w:p>
      <w:pPr>
        <w:pStyle w:val="7"/>
        <w:bidi w:val="0"/>
        <w:rPr>
          <w:rFonts w:hint="default"/>
          <w:lang w:val="en-US" w:eastAsia="zh-CN"/>
        </w:rPr>
      </w:pPr>
      <w:bookmarkStart w:id="20" w:name="_Toc10374"/>
      <w:bookmarkStart w:id="21" w:name="_Toc550"/>
      <w:r>
        <w:rPr>
          <w:rFonts w:hint="default"/>
          <w:lang w:val="en-US" w:eastAsia="zh-CN"/>
        </w:rPr>
        <w:t>2、</w:t>
      </w:r>
      <w:bookmarkEnd w:id="20"/>
      <w:bookmarkEnd w:id="21"/>
      <w:r>
        <w:rPr>
          <w:rFonts w:hint="default"/>
          <w:lang w:val="en-US" w:eastAsia="zh-CN"/>
        </w:rPr>
        <w:t>畜牧水产发展经费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仿宋" w:cs="Times New Roman"/>
          <w:b w:val="0"/>
          <w:bCs w:val="0"/>
          <w:color w:val="auto"/>
          <w:sz w:val="32"/>
          <w:szCs w:val="32"/>
          <w:lang w:val="en-US" w:eastAsia="zh-CN"/>
        </w:rPr>
      </w:pPr>
      <w:bookmarkStart w:id="22" w:name="_Toc6803"/>
      <w:r>
        <w:rPr>
          <w:rFonts w:hint="default" w:ascii="Times New Roman" w:hAnsi="Times New Roman" w:eastAsia="仿宋" w:cs="Times New Roman"/>
          <w:sz w:val="32"/>
          <w:szCs w:val="32"/>
        </w:rPr>
        <w:t>今年市定生猪出栏任务4万头，已完成出栏4.01万头，目前生猪存栏2.2万头，能繁母猪2000头。2022年出栏牛0.12万头，存栏0.1万头；出栏羊0.6万只，存栏0.4万只；出笼家禽200万羽，存笼2</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0万羽；全年水产品总产量3万吨。目前为止屠宰生猪3.2万头，提供猪肉4056吨，集中屠宰量在全市一直处于优秀序列，尤其是在疫情期间，确保鲜肉足量供应，且价格始终保持平稳，开展瘦肉精检测900批次。</w:t>
      </w:r>
      <w:bookmarkEnd w:id="22"/>
    </w:p>
    <w:p>
      <w:pPr>
        <w:pStyle w:val="7"/>
        <w:bidi w:val="0"/>
        <w:rPr>
          <w:rFonts w:hint="default" w:ascii="Times New Roman" w:hAnsi="Times New Roman" w:cs="Times New Roman"/>
          <w:lang w:val="en-US" w:eastAsia="zh-CN"/>
        </w:rPr>
      </w:pPr>
      <w:bookmarkStart w:id="23" w:name="_Toc28818"/>
      <w:bookmarkStart w:id="24" w:name="_Toc10181"/>
      <w:r>
        <w:rPr>
          <w:rFonts w:hint="default" w:ascii="Times New Roman" w:hAnsi="Times New Roman" w:cs="Times New Roman"/>
          <w:lang w:val="en-US" w:eastAsia="zh-CN"/>
        </w:rPr>
        <w:t>3、</w:t>
      </w:r>
      <w:bookmarkEnd w:id="23"/>
      <w:bookmarkEnd w:id="24"/>
      <w:r>
        <w:rPr>
          <w:rFonts w:hint="default" w:ascii="Times New Roman" w:hAnsi="Times New Roman" w:cs="Times New Roman"/>
          <w:lang w:val="en-US" w:eastAsia="zh-CN"/>
        </w:rPr>
        <w:t>重大疫情防控经费</w:t>
      </w:r>
    </w:p>
    <w:p>
      <w:pPr>
        <w:ind w:firstLine="640" w:firstLineChars="200"/>
        <w:rPr>
          <w:rFonts w:hint="default" w:ascii="Times New Roman" w:hAnsi="Times New Roman" w:eastAsia="仿宋" w:cs="Times New Roman"/>
          <w:b w:val="0"/>
          <w:bCs w:val="0"/>
          <w:color w:val="auto"/>
          <w:sz w:val="32"/>
          <w:szCs w:val="32"/>
          <w:lang w:val="en-US" w:eastAsia="zh-CN"/>
        </w:rPr>
      </w:pPr>
      <w:bookmarkStart w:id="25" w:name="_Toc12181"/>
      <w:bookmarkStart w:id="26" w:name="_Toc23816"/>
      <w:r>
        <w:rPr>
          <w:rFonts w:hint="default" w:ascii="Times New Roman" w:hAnsi="Times New Roman" w:eastAsia="仿宋" w:cs="Times New Roman"/>
          <w:b w:val="0"/>
          <w:bCs w:val="0"/>
          <w:color w:val="auto"/>
          <w:sz w:val="32"/>
          <w:szCs w:val="32"/>
          <w:lang w:val="en-US" w:eastAsia="zh-CN"/>
        </w:rPr>
        <w:t>完成既定任务、应防尽防、有效防止重大疫情、重大疫情防控。</w:t>
      </w:r>
      <w:bookmarkEnd w:id="25"/>
      <w:bookmarkEnd w:id="26"/>
      <w:r>
        <w:rPr>
          <w:rFonts w:hint="default" w:ascii="Times New Roman" w:hAnsi="Times New Roman" w:eastAsia="仿宋" w:cs="Times New Roman"/>
          <w:sz w:val="32"/>
          <w:szCs w:val="32"/>
        </w:rPr>
        <w:t>养殖户、屠宰场纳入“湖南省动物卫生监督网”系统，实行网上申报，实地检疫，电子出证，全年动物产地检疫出证5000张、动物产品检疫出证3.2万张。“瘦肉精”检测结果全部为阴性</w:t>
      </w:r>
      <w:r>
        <w:rPr>
          <w:rFonts w:hint="default" w:cs="Times New Roman"/>
          <w:sz w:val="32"/>
          <w:szCs w:val="32"/>
          <w:lang w:eastAsia="zh-CN"/>
        </w:rPr>
        <w:t>，</w:t>
      </w:r>
      <w:r>
        <w:rPr>
          <w:rFonts w:hint="default" w:ascii="Times New Roman" w:hAnsi="Times New Roman" w:eastAsia="仿宋" w:cs="Times New Roman"/>
          <w:sz w:val="32"/>
          <w:szCs w:val="32"/>
        </w:rPr>
        <w:t>兽药、饲料样品经检测全部合格，同时切实抓好养殖业安全生产，今年来，全区未发生重大畜禽水产品质量安全事件与养殖业安全生产事故。</w:t>
      </w:r>
    </w:p>
    <w:p>
      <w:pPr>
        <w:pStyle w:val="6"/>
        <w:bidi w:val="0"/>
        <w:ind w:firstLine="420"/>
        <w:rPr>
          <w:rFonts w:hint="default" w:ascii="Times New Roman" w:hAnsi="Times New Roman" w:eastAsia="楷体" w:cs="Times New Roman"/>
          <w:b/>
          <w:bCs/>
          <w:sz w:val="32"/>
          <w:szCs w:val="32"/>
          <w:lang w:val="en-US" w:eastAsia="zh-CN"/>
        </w:rPr>
      </w:pPr>
      <w:bookmarkStart w:id="27" w:name="_Toc17132"/>
      <w:r>
        <w:rPr>
          <w:rFonts w:hint="default" w:ascii="Times New Roman" w:hAnsi="Times New Roman" w:eastAsia="楷体" w:cs="Times New Roman"/>
          <w:b/>
          <w:bCs/>
          <w:sz w:val="32"/>
          <w:szCs w:val="32"/>
          <w:lang w:val="en-US" w:eastAsia="zh-CN"/>
        </w:rPr>
        <w:t>（二）部门整体效益情况</w:t>
      </w:r>
      <w:bookmarkEnd w:id="27"/>
    </w:p>
    <w:p>
      <w:pPr>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2022年，在区委、区政府的正确领导和上级业务部门的精心指导下，</w:t>
      </w:r>
      <w:r>
        <w:rPr>
          <w:rFonts w:hint="default" w:ascii="Times New Roman" w:hAnsi="Times New Roman" w:eastAsia="仿宋" w:cs="Times New Roman"/>
          <w:sz w:val="32"/>
          <w:szCs w:val="32"/>
          <w:lang w:eastAsia="zh-CN"/>
        </w:rPr>
        <w:t>畜牧水产</w:t>
      </w:r>
      <w:r>
        <w:rPr>
          <w:rFonts w:hint="default" w:ascii="Times New Roman" w:hAnsi="Times New Roman" w:eastAsia="仿宋" w:cs="Times New Roman"/>
          <w:sz w:val="32"/>
          <w:szCs w:val="32"/>
        </w:rPr>
        <w:t>中心继续以养殖业增效、养殖户增收为立足点，紧紧围绕生猪生产、重大动物疫病防控、禁捕退捕等工作重点，强化组织，狠抓各项工作措施落实</w:t>
      </w:r>
      <w:r>
        <w:rPr>
          <w:rFonts w:hint="default" w:ascii="Times New Roman" w:hAnsi="Times New Roman" w:eastAsia="仿宋" w:cs="Times New Roman"/>
          <w:sz w:val="32"/>
          <w:szCs w:val="32"/>
          <w:lang w:eastAsia="zh-CN"/>
        </w:rPr>
        <w:t>。</w:t>
      </w:r>
    </w:p>
    <w:p>
      <w:pPr>
        <w:pStyle w:val="7"/>
        <w:bidi w:val="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eastAsia="zh-CN"/>
        </w:rPr>
        <w:t>、</w:t>
      </w:r>
      <w:r>
        <w:rPr>
          <w:rFonts w:hint="default" w:ascii="Times New Roman" w:hAnsi="Times New Roman" w:cs="Times New Roman"/>
        </w:rPr>
        <w:t>提质增效，保障供给</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坚持新发展理念为引领，更加注重提高发展质量和效益，确保主要畜产品市场有效供给。加快先进实用技术推广、适度规模经营和</w:t>
      </w:r>
      <w:r>
        <w:rPr>
          <w:rFonts w:hint="default" w:cs="Times New Roman"/>
          <w:sz w:val="32"/>
          <w:szCs w:val="32"/>
          <w:lang w:eastAsia="zh-CN"/>
        </w:rPr>
        <w:t>一、二、三产业</w:t>
      </w:r>
      <w:r>
        <w:rPr>
          <w:rFonts w:hint="default" w:ascii="Times New Roman" w:hAnsi="Times New Roman" w:eastAsia="仿宋" w:cs="Times New Roman"/>
          <w:sz w:val="32"/>
          <w:szCs w:val="32"/>
        </w:rPr>
        <w:t>融合发展，引导水产畜牧经济增长由主要依靠增加物质资源消耗向主要依靠科技进步、劳动者素质提高、管理模式创新转变，挖掘内生增长潜力，不断提高发展质量效益。</w:t>
      </w:r>
    </w:p>
    <w:p>
      <w:pPr>
        <w:pStyle w:val="7"/>
        <w:bidi w:val="0"/>
        <w:ind w:firstLine="420"/>
        <w:rPr>
          <w:rFonts w:hint="default" w:ascii="Times New Roman" w:hAnsi="Times New Roman" w:cs="Times New Roman"/>
          <w:b/>
        </w:rPr>
      </w:pPr>
      <w:r>
        <w:rPr>
          <w:rFonts w:hint="default" w:ascii="Times New Roman" w:hAnsi="Times New Roman" w:cs="Times New Roman"/>
          <w:b/>
        </w:rPr>
        <w:t>2</w:t>
      </w:r>
      <w:r>
        <w:rPr>
          <w:rFonts w:hint="default" w:ascii="Times New Roman" w:hAnsi="Times New Roman" w:cs="Times New Roman"/>
          <w:b/>
          <w:lang w:eastAsia="zh-CN"/>
        </w:rPr>
        <w:t>、</w:t>
      </w:r>
      <w:r>
        <w:rPr>
          <w:rFonts w:hint="default" w:ascii="Times New Roman" w:hAnsi="Times New Roman" w:cs="Times New Roman"/>
          <w:b/>
        </w:rPr>
        <w:t>创新驱动，科技发展</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大力推进水产畜牧业生态化、无害化、资源化等技术推广应用，破解发展瓶颈，实现创新驱动。积极推进水产畜牧业与信息化融合发展，提高水产畜牧业科技装备水平，全面提升从业人员科技应用能力，加快推进科技成果应用，发展生态养殖。</w:t>
      </w:r>
    </w:p>
    <w:p>
      <w:pPr>
        <w:pStyle w:val="7"/>
        <w:bidi w:val="0"/>
        <w:ind w:firstLine="420"/>
        <w:rPr>
          <w:rFonts w:hint="default" w:ascii="Times New Roman" w:hAnsi="Times New Roman" w:cs="Times New Roman"/>
          <w:b/>
        </w:rPr>
      </w:pPr>
      <w:r>
        <w:rPr>
          <w:rFonts w:hint="default" w:ascii="Times New Roman" w:hAnsi="Times New Roman" w:cs="Times New Roman"/>
          <w:b/>
        </w:rPr>
        <w:t>3</w:t>
      </w:r>
      <w:r>
        <w:rPr>
          <w:rFonts w:hint="default" w:ascii="Times New Roman" w:hAnsi="Times New Roman" w:cs="Times New Roman"/>
          <w:b/>
          <w:lang w:eastAsia="zh-CN"/>
        </w:rPr>
        <w:t>、</w:t>
      </w:r>
      <w:r>
        <w:rPr>
          <w:rFonts w:hint="default" w:ascii="Times New Roman" w:hAnsi="Times New Roman" w:cs="Times New Roman"/>
          <w:b/>
        </w:rPr>
        <w:t>合理布局、优化结构</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立足资源禀赋和环境承载能力，因地制宜确定养殖区域、养殖种类，积极推进农牧结合发展，进一步优化水产畜牧业的空间布局。积极发展适度规模养殖，进一步调优畜牧水产产业结构。</w:t>
      </w:r>
    </w:p>
    <w:p>
      <w:pPr>
        <w:pStyle w:val="7"/>
        <w:bidi w:val="0"/>
        <w:ind w:firstLine="420"/>
        <w:rPr>
          <w:rFonts w:hint="default" w:ascii="Times New Roman" w:hAnsi="Times New Roman" w:cs="Times New Roman"/>
          <w:b/>
        </w:rPr>
      </w:pPr>
      <w:r>
        <w:rPr>
          <w:rFonts w:hint="default" w:ascii="Times New Roman" w:hAnsi="Times New Roman" w:cs="Times New Roman"/>
          <w:b/>
        </w:rPr>
        <w:t>4</w:t>
      </w:r>
      <w:r>
        <w:rPr>
          <w:rFonts w:hint="default" w:ascii="Times New Roman" w:hAnsi="Times New Roman" w:cs="Times New Roman"/>
          <w:b/>
          <w:lang w:eastAsia="zh-CN"/>
        </w:rPr>
        <w:t>、</w:t>
      </w:r>
      <w:r>
        <w:rPr>
          <w:rFonts w:hint="default" w:ascii="Times New Roman" w:hAnsi="Times New Roman" w:cs="Times New Roman"/>
          <w:b/>
        </w:rPr>
        <w:t>禁捕退捕，持续发力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 w:hAnsi="仿宋" w:eastAsia="仿宋" w:cs="仿宋"/>
          <w:sz w:val="32"/>
          <w:szCs w:val="32"/>
        </w:rPr>
      </w:pPr>
      <w:bookmarkStart w:id="28" w:name="_Toc14453"/>
      <w:r>
        <w:rPr>
          <w:rFonts w:hint="eastAsia" w:ascii="仿宋" w:hAnsi="仿宋" w:eastAsia="仿宋" w:cs="仿宋"/>
          <w:sz w:val="32"/>
          <w:szCs w:val="32"/>
        </w:rPr>
        <w:t>继续推进资江流域禁捕退捕后续工作。稳步推进资江流域禁捕退捕后续工作，加强对登记移交船舶的管理；加强联合执法监管，完善智慧渔政系统摄像头布局，确保全面实现“四无”和“四清”目标任务。</w:t>
      </w:r>
      <w:bookmarkEnd w:id="28"/>
    </w:p>
    <w:p>
      <w:pPr>
        <w:pStyle w:val="6"/>
        <w:bidi w:val="0"/>
        <w:ind w:firstLine="420"/>
        <w:rPr>
          <w:rFonts w:hint="default" w:ascii="Times New Roman" w:hAnsi="Times New Roman" w:eastAsia="仿宋" w:cs="Times New Roman"/>
          <w:b w:val="0"/>
          <w:bCs w:val="0"/>
          <w:sz w:val="32"/>
          <w:szCs w:val="32"/>
          <w:lang w:val="en-US" w:eastAsia="zh-CN"/>
        </w:rPr>
      </w:pPr>
      <w:bookmarkStart w:id="29" w:name="_Toc3533"/>
      <w:r>
        <w:rPr>
          <w:rFonts w:hint="default" w:ascii="Times New Roman" w:hAnsi="Times New Roman" w:eastAsia="楷体" w:cs="Times New Roman"/>
          <w:b/>
          <w:bCs/>
          <w:sz w:val="32"/>
          <w:szCs w:val="32"/>
          <w:lang w:val="en-US" w:eastAsia="zh-CN"/>
        </w:rPr>
        <w:t>（三）部门整体满意度</w:t>
      </w:r>
      <w:bookmarkEnd w:id="29"/>
    </w:p>
    <w:p>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绩效评价小组针对畜牧水产中心整体情况通过电子问卷向单位职工、相关受益群体发放问卷进行满意度调查，共</w:t>
      </w:r>
      <w:r>
        <w:rPr>
          <w:rFonts w:hint="default" w:ascii="Times New Roman" w:hAnsi="Times New Roman" w:eastAsia="仿宋" w:cs="Times New Roman"/>
          <w:b w:val="0"/>
          <w:bCs w:val="0"/>
          <w:color w:val="auto"/>
          <w:sz w:val="32"/>
          <w:szCs w:val="32"/>
          <w:highlight w:val="none"/>
          <w:lang w:val="en-US" w:eastAsia="zh-CN"/>
        </w:rPr>
        <w:t>收集有效问卷</w:t>
      </w:r>
      <w:r>
        <w:rPr>
          <w:rFonts w:hint="eastAsia" w:cs="Times New Roman"/>
          <w:b w:val="0"/>
          <w:bCs w:val="0"/>
          <w:color w:val="auto"/>
          <w:sz w:val="32"/>
          <w:szCs w:val="32"/>
          <w:highlight w:val="none"/>
          <w:lang w:val="en-US" w:eastAsia="zh-CN"/>
        </w:rPr>
        <w:t>16</w:t>
      </w:r>
      <w:r>
        <w:rPr>
          <w:rFonts w:hint="default" w:ascii="Times New Roman" w:hAnsi="Times New Roman" w:eastAsia="仿宋" w:cs="Times New Roman"/>
          <w:b w:val="0"/>
          <w:bCs w:val="0"/>
          <w:color w:val="auto"/>
          <w:sz w:val="32"/>
          <w:szCs w:val="32"/>
          <w:highlight w:val="none"/>
          <w:lang w:val="en-US" w:eastAsia="zh-CN"/>
        </w:rPr>
        <w:t>份。经统计，2022年畜牧水产中心整体满意度为</w:t>
      </w:r>
      <w:r>
        <w:rPr>
          <w:rFonts w:hint="eastAsia" w:cs="Times New Roman"/>
          <w:b w:val="0"/>
          <w:bCs w:val="0"/>
          <w:color w:val="auto"/>
          <w:sz w:val="32"/>
          <w:szCs w:val="32"/>
          <w:highlight w:val="none"/>
          <w:lang w:val="en-US" w:eastAsia="zh-CN"/>
        </w:rPr>
        <w:t>100.00</w:t>
      </w:r>
      <w:r>
        <w:rPr>
          <w:rFonts w:hint="default" w:ascii="Times New Roman" w:hAnsi="Times New Roman" w:eastAsia="仿宋" w:cs="Times New Roman"/>
          <w:b w:val="0"/>
          <w:bCs w:val="0"/>
          <w:color w:val="auto"/>
          <w:sz w:val="32"/>
          <w:szCs w:val="32"/>
          <w:highlight w:val="none"/>
          <w:lang w:val="en-US" w:eastAsia="zh-CN"/>
        </w:rPr>
        <w:t>%。</w:t>
      </w:r>
    </w:p>
    <w:p>
      <w:pPr>
        <w:pStyle w:val="3"/>
        <w:bidi w:val="0"/>
        <w:rPr>
          <w:rFonts w:hint="default" w:ascii="Times New Roman" w:hAnsi="Times New Roman" w:cs="Times New Roman"/>
          <w:lang w:val="en-US" w:eastAsia="zh-CN"/>
        </w:rPr>
      </w:pPr>
      <w:bookmarkStart w:id="30" w:name="_Toc9950"/>
      <w:r>
        <w:rPr>
          <w:rFonts w:hint="default" w:ascii="Times New Roman" w:hAnsi="Times New Roman" w:cs="Times New Roman"/>
          <w:lang w:val="en-US" w:eastAsia="zh-CN"/>
        </w:rPr>
        <w:t>六、综合评价情况及评价结论</w:t>
      </w:r>
      <w:bookmarkEnd w:id="3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根据资金绩效评价指标体系和绩效检查情况，畜牧水产中心2022年度部门整体支出重点绩效评价分值100分，从部门决策、部门预算、内部制度管理、部门产出、部门效益等方面总体评价，实得</w:t>
      </w:r>
      <w:r>
        <w:rPr>
          <w:rFonts w:hint="default" w:ascii="Times New Roman" w:hAnsi="Times New Roman" w:eastAsia="仿宋" w:cs="Times New Roman"/>
          <w:b w:val="0"/>
          <w:bCs w:val="0"/>
          <w:color w:val="auto"/>
          <w:sz w:val="32"/>
          <w:szCs w:val="32"/>
          <w:highlight w:val="none"/>
          <w:lang w:val="en-US" w:eastAsia="zh-CN"/>
        </w:rPr>
        <w:t>9</w:t>
      </w:r>
      <w:r>
        <w:rPr>
          <w:rFonts w:hint="eastAsia" w:cs="Times New Roman"/>
          <w:b w:val="0"/>
          <w:bCs w:val="0"/>
          <w:color w:val="auto"/>
          <w:sz w:val="32"/>
          <w:szCs w:val="32"/>
          <w:highlight w:val="none"/>
          <w:lang w:val="en-US" w:eastAsia="zh-CN"/>
        </w:rPr>
        <w:t>0</w:t>
      </w:r>
      <w:r>
        <w:rPr>
          <w:rFonts w:hint="default" w:ascii="Times New Roman" w:hAnsi="Times New Roman" w:eastAsia="仿宋" w:cs="Times New Roman"/>
          <w:b w:val="0"/>
          <w:bCs w:val="0"/>
          <w:color w:val="auto"/>
          <w:sz w:val="32"/>
          <w:szCs w:val="32"/>
          <w:highlight w:val="none"/>
          <w:lang w:val="en-US" w:eastAsia="zh-CN"/>
        </w:rPr>
        <w:t>.00</w:t>
      </w:r>
      <w:r>
        <w:rPr>
          <w:rFonts w:hint="default" w:ascii="Times New Roman" w:hAnsi="Times New Roman" w:eastAsia="仿宋" w:cs="Times New Roman"/>
          <w:b w:val="0"/>
          <w:bCs w:val="0"/>
          <w:sz w:val="32"/>
          <w:szCs w:val="32"/>
          <w:lang w:val="en-US" w:eastAsia="zh-CN"/>
        </w:rPr>
        <w:t>分，被评为</w:t>
      </w:r>
      <w:r>
        <w:rPr>
          <w:rFonts w:hint="default" w:ascii="Times New Roman" w:hAnsi="Times New Roman" w:eastAsia="仿宋" w:cs="Times New Roman"/>
          <w:b w:val="0"/>
          <w:bCs w:val="0"/>
          <w:color w:val="auto"/>
          <w:sz w:val="32"/>
          <w:szCs w:val="32"/>
          <w:highlight w:val="none"/>
          <w:lang w:val="en-US" w:eastAsia="zh-CN"/>
        </w:rPr>
        <w:t>“优”</w:t>
      </w:r>
      <w:r>
        <w:rPr>
          <w:rFonts w:hint="default" w:ascii="Times New Roman" w:hAnsi="Times New Roman" w:eastAsia="仿宋" w:cs="Times New Roman"/>
          <w:b w:val="0"/>
          <w:bCs w:val="0"/>
          <w:sz w:val="32"/>
          <w:szCs w:val="32"/>
          <w:lang w:val="en-US" w:eastAsia="zh-CN"/>
        </w:rPr>
        <w:t>等级</w:t>
      </w:r>
      <w:r>
        <w:rPr>
          <w:rFonts w:hint="default"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详见附件</w:t>
      </w:r>
      <w:r>
        <w:rPr>
          <w:rFonts w:hint="default"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w:t>
      </w:r>
    </w:p>
    <w:p>
      <w:pPr>
        <w:pStyle w:val="3"/>
        <w:bidi w:val="0"/>
        <w:rPr>
          <w:rFonts w:hint="default" w:ascii="Times New Roman" w:hAnsi="Times New Roman" w:cs="Times New Roman"/>
          <w:lang w:val="en-US" w:eastAsia="zh-CN"/>
        </w:rPr>
      </w:pPr>
      <w:bookmarkStart w:id="31" w:name="_Toc8078"/>
      <w:r>
        <w:rPr>
          <w:rFonts w:hint="default" w:ascii="Times New Roman" w:hAnsi="Times New Roman" w:cs="Times New Roman"/>
          <w:lang w:val="en-US" w:eastAsia="zh-CN"/>
        </w:rPr>
        <w:t>七、存在的主要问题</w:t>
      </w:r>
      <w:bookmarkEnd w:id="31"/>
    </w:p>
    <w:p>
      <w:pPr>
        <w:pStyle w:val="6"/>
        <w:bidi w:val="0"/>
        <w:ind w:firstLine="420"/>
        <w:rPr>
          <w:rFonts w:hint="default" w:ascii="Times New Roman" w:hAnsi="Times New Roman" w:eastAsia="楷体" w:cs="Times New Roman"/>
          <w:b/>
          <w:bCs/>
          <w:sz w:val="32"/>
          <w:szCs w:val="32"/>
          <w:lang w:val="en-US" w:eastAsia="zh-CN"/>
        </w:rPr>
      </w:pPr>
      <w:bookmarkStart w:id="32" w:name="_Toc31815"/>
      <w:r>
        <w:rPr>
          <w:rFonts w:hint="default" w:ascii="Times New Roman" w:hAnsi="Times New Roman" w:eastAsia="楷体" w:cs="Times New Roman"/>
          <w:b/>
          <w:bCs/>
          <w:sz w:val="32"/>
          <w:szCs w:val="32"/>
          <w:lang w:val="en-US" w:eastAsia="zh-CN"/>
        </w:rPr>
        <w:t>（一）预决算管理方面</w:t>
      </w:r>
      <w:bookmarkEnd w:id="32"/>
    </w:p>
    <w:p>
      <w:pPr>
        <w:pStyle w:val="7"/>
        <w:bidi w:val="0"/>
        <w:ind w:firstLine="420"/>
        <w:rPr>
          <w:rFonts w:hint="default" w:ascii="Times New Roman" w:hAnsi="Times New Roman" w:cs="Times New Roman"/>
          <w:b/>
          <w:lang w:val="en-US" w:eastAsia="zh-CN"/>
        </w:rPr>
      </w:pPr>
      <w:r>
        <w:rPr>
          <w:rFonts w:hint="eastAsia" w:ascii="Times New Roman" w:hAnsi="Times New Roman" w:cs="Times New Roman"/>
          <w:b/>
          <w:lang w:val="en-US" w:eastAsia="zh-CN"/>
        </w:rPr>
        <w:t>1</w:t>
      </w:r>
      <w:r>
        <w:rPr>
          <w:rFonts w:hint="default" w:ascii="Times New Roman" w:hAnsi="Times New Roman" w:cs="Times New Roman"/>
          <w:b/>
          <w:lang w:val="en-US" w:eastAsia="zh-CN"/>
        </w:rPr>
        <w:t>、预算资金调剂使用</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根据2022年支出决算表，安排项目支出——2299999其他支出资金11617.8元，该资金实际用于支付种质资源普查加班餐费6200元，支付资源普查办公用品2075.8元，支付种质资源普查公车使用费3342元。</w:t>
      </w:r>
    </w:p>
    <w:p>
      <w:pPr>
        <w:pStyle w:val="7"/>
        <w:bidi w:val="0"/>
        <w:ind w:firstLine="420"/>
        <w:rPr>
          <w:rFonts w:hint="default" w:ascii="Times New Roman" w:hAnsi="Times New Roman" w:cs="Times New Roman"/>
          <w:b/>
          <w:lang w:val="en-US" w:eastAsia="zh-CN"/>
        </w:rPr>
      </w:pPr>
      <w:r>
        <w:rPr>
          <w:rFonts w:hint="eastAsia" w:ascii="Times New Roman" w:hAnsi="Times New Roman" w:cs="Times New Roman"/>
          <w:b/>
          <w:lang w:val="en-US" w:eastAsia="zh-CN"/>
        </w:rPr>
        <w:t>2</w:t>
      </w:r>
      <w:r>
        <w:rPr>
          <w:rFonts w:hint="default" w:ascii="Times New Roman" w:hAnsi="Times New Roman" w:cs="Times New Roman"/>
          <w:b/>
          <w:lang w:val="en-US" w:eastAsia="zh-CN"/>
        </w:rPr>
        <w:t>、</w:t>
      </w:r>
      <w:r>
        <w:rPr>
          <w:rFonts w:hint="eastAsia" w:ascii="Times New Roman" w:hAnsi="Times New Roman" w:cs="Times New Roman"/>
          <w:b/>
          <w:lang w:val="en-US" w:eastAsia="zh-CN"/>
        </w:rPr>
        <w:t>单位未进行绩效目标申报</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邵阳市北塔区畜牧水产事务中心未设置2022年整体支出绩效目标。</w:t>
      </w:r>
    </w:p>
    <w:p>
      <w:pPr>
        <w:pStyle w:val="6"/>
        <w:bidi w:val="0"/>
        <w:ind w:firstLine="420"/>
        <w:rPr>
          <w:rFonts w:hint="default" w:ascii="Times New Roman" w:hAnsi="Times New Roman" w:eastAsia="楷体" w:cs="Times New Roman"/>
          <w:b/>
          <w:bCs/>
          <w:sz w:val="32"/>
          <w:szCs w:val="32"/>
          <w:lang w:val="en-US" w:eastAsia="zh-CN"/>
        </w:rPr>
      </w:pPr>
      <w:bookmarkStart w:id="33" w:name="_Toc6765"/>
      <w:r>
        <w:rPr>
          <w:rFonts w:hint="default" w:ascii="Times New Roman" w:hAnsi="Times New Roman" w:eastAsia="楷体" w:cs="Times New Roman"/>
          <w:b/>
          <w:bCs/>
          <w:sz w:val="32"/>
          <w:szCs w:val="32"/>
          <w:lang w:val="en-US" w:eastAsia="zh-CN"/>
        </w:rPr>
        <w:t>（二）固定资产管理方面</w:t>
      </w:r>
      <w:bookmarkEnd w:id="33"/>
    </w:p>
    <w:p>
      <w:pPr>
        <w:pStyle w:val="7"/>
        <w:bidi w:val="0"/>
        <w:rPr>
          <w:rFonts w:hint="default"/>
          <w:lang w:val="en-US" w:eastAsia="zh-CN"/>
        </w:rPr>
      </w:pPr>
      <w:r>
        <w:rPr>
          <w:rFonts w:hint="default" w:ascii="Times New Roman" w:hAnsi="Times New Roman" w:cs="Times New Roman"/>
          <w:lang w:val="en-US" w:eastAsia="zh-CN"/>
        </w:rPr>
        <w:t>1、固</w:t>
      </w:r>
      <w:r>
        <w:rPr>
          <w:rFonts w:hint="default"/>
          <w:lang w:val="en-US" w:eastAsia="zh-CN"/>
        </w:rPr>
        <w:t>定资产管理欠规范</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固定资产未实行卡片或条码管理，全年未定期或不定期的进行资产清查盘点；部分固定资产实物已无法使用，但固定资产台账中仍记录在用状态，未做报废处理。</w:t>
      </w:r>
    </w:p>
    <w:p>
      <w:pPr>
        <w:pStyle w:val="7"/>
        <w:bidi w:val="0"/>
        <w:ind w:firstLine="420"/>
        <w:rPr>
          <w:rFonts w:hint="default" w:ascii="Times New Roman" w:hAnsi="Times New Roman" w:cs="Times New Roman"/>
          <w:b/>
          <w:lang w:val="en-US" w:eastAsia="zh-CN"/>
        </w:rPr>
      </w:pPr>
      <w:r>
        <w:rPr>
          <w:rFonts w:hint="default" w:ascii="Times New Roman" w:hAnsi="Times New Roman" w:cs="Times New Roman"/>
          <w:b/>
          <w:lang w:val="en-US" w:eastAsia="zh-CN"/>
        </w:rPr>
        <w:t>2、个别资产未计入固定资产</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2022年6月5#凭证，购入布艺折叠沙发1个，价值1280元，计入业务活动费用——商品和服务费用——30201办公费，未纳入固定资产中。</w:t>
      </w:r>
    </w:p>
    <w:p>
      <w:pPr>
        <w:pStyle w:val="6"/>
        <w:bidi w:val="0"/>
        <w:ind w:firstLine="420"/>
        <w:rPr>
          <w:rFonts w:hint="default" w:ascii="Times New Roman" w:hAnsi="Times New Roman" w:eastAsia="楷体" w:cs="Times New Roman"/>
          <w:b/>
          <w:bCs/>
          <w:sz w:val="32"/>
          <w:szCs w:val="32"/>
          <w:lang w:val="en-US" w:eastAsia="zh-CN"/>
        </w:rPr>
      </w:pPr>
      <w:bookmarkStart w:id="34" w:name="_Toc18682"/>
      <w:r>
        <w:rPr>
          <w:rFonts w:hint="default" w:ascii="Times New Roman" w:hAnsi="Times New Roman" w:eastAsia="楷体" w:cs="Times New Roman"/>
          <w:b/>
          <w:bCs/>
          <w:sz w:val="32"/>
          <w:szCs w:val="32"/>
          <w:lang w:val="en-US" w:eastAsia="zh-CN"/>
        </w:rPr>
        <w:t>（三）财务管理方面</w:t>
      </w:r>
      <w:bookmarkEnd w:id="34"/>
    </w:p>
    <w:p>
      <w:pPr>
        <w:pStyle w:val="7"/>
        <w:bidi w:val="0"/>
        <w:ind w:firstLine="420"/>
        <w:rPr>
          <w:rFonts w:hint="default" w:ascii="Times New Roman" w:hAnsi="Times New Roman" w:cs="Times New Roman"/>
          <w:b/>
          <w:lang w:val="en-US" w:eastAsia="zh-CN"/>
        </w:rPr>
      </w:pPr>
      <w:r>
        <w:rPr>
          <w:rFonts w:hint="default" w:ascii="Times New Roman" w:hAnsi="Times New Roman" w:cs="Times New Roman"/>
          <w:b/>
          <w:lang w:val="en-US" w:eastAsia="zh-CN"/>
        </w:rPr>
        <w:t>1、凭证附件不全</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2022年1月14#凭证，支付屠宰场加班盒饭费用600元，未附加班人数；2022年4月3#凭证，支付邵阳市北塔区机关第二食堂1-2月餐费807元，未见发票等附件。</w:t>
      </w:r>
    </w:p>
    <w:p>
      <w:pPr>
        <w:pStyle w:val="7"/>
        <w:bidi w:val="0"/>
        <w:ind w:firstLine="420"/>
        <w:rPr>
          <w:rFonts w:hint="default" w:ascii="Times New Roman" w:hAnsi="Times New Roman" w:cs="Times New Roman"/>
          <w:b/>
          <w:lang w:val="en-US" w:eastAsia="zh-CN"/>
        </w:rPr>
      </w:pPr>
      <w:r>
        <w:rPr>
          <w:rFonts w:hint="default" w:ascii="Times New Roman" w:hAnsi="Times New Roman" w:cs="Times New Roman"/>
          <w:b/>
          <w:lang w:val="en-US" w:eastAsia="zh-CN"/>
        </w:rPr>
        <w:t>2、发票管理欠规范</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2022年1月14#凭证，其中支付报刊费144元，发票购货方为“朱江珍”；购买《今日女报》《中国审计》共计486元，发票购货方为“畜牧水产中心”；支付老年大学学费980元</w:t>
      </w:r>
      <w:r>
        <w:rPr>
          <w:rFonts w:hint="eastAsia" w:cs="Times New Roman"/>
          <w:lang w:val="en-US" w:eastAsia="zh-CN"/>
        </w:rPr>
        <w:t>，使用定额发票</w:t>
      </w:r>
      <w:r>
        <w:rPr>
          <w:rFonts w:hint="default" w:ascii="Times New Roman" w:hAnsi="Times New Roman" w:cs="Times New Roman"/>
          <w:lang w:val="en-US" w:eastAsia="zh-CN"/>
        </w:rPr>
        <w:t>；支付机关食堂2358元</w:t>
      </w:r>
      <w:r>
        <w:rPr>
          <w:rFonts w:hint="eastAsia"/>
          <w:lang w:eastAsia="zh-CN"/>
        </w:rPr>
        <w:t>，使用收据，未见其他有效票据</w:t>
      </w:r>
      <w:r>
        <w:rPr>
          <w:rFonts w:hint="default" w:ascii="Times New Roman" w:hAnsi="Times New Roman" w:cs="Times New Roman"/>
          <w:lang w:val="en-US" w:eastAsia="zh-CN"/>
        </w:rPr>
        <w:t>。以上款项共计3968元，均通过财政授权支付凭证支付给“朱江珍”个人</w:t>
      </w:r>
      <w:r>
        <w:rPr>
          <w:rFonts w:hint="eastAsia" w:ascii="Times New Roman" w:hAnsi="Times New Roman" w:cs="Times New Roman"/>
          <w:lang w:val="en-US" w:eastAsia="zh-CN"/>
        </w:rPr>
        <w:t>，不符合</w:t>
      </w:r>
      <w:r>
        <w:rPr>
          <w:rFonts w:hint="default" w:cs="Times New Roman"/>
        </w:rPr>
        <w:t>《中华人民共和国会计法》第十四条“……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的规定。</w:t>
      </w:r>
    </w:p>
    <w:p>
      <w:pPr>
        <w:pStyle w:val="7"/>
        <w:bidi w:val="0"/>
        <w:ind w:firstLine="420"/>
        <w:rPr>
          <w:rFonts w:hint="default" w:ascii="Times New Roman" w:hAnsi="Times New Roman" w:cs="Times New Roman"/>
          <w:b/>
          <w:lang w:val="en-US" w:eastAsia="zh-CN"/>
        </w:rPr>
      </w:pPr>
      <w:r>
        <w:rPr>
          <w:rFonts w:hint="default" w:ascii="Times New Roman" w:hAnsi="Times New Roman" w:cs="Times New Roman"/>
          <w:b/>
          <w:lang w:val="en-US" w:eastAsia="zh-CN"/>
        </w:rPr>
        <w:t>3、未签订纸质合同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trike w:val="0"/>
          <w:dstrike w:val="0"/>
          <w:sz w:val="32"/>
          <w:szCs w:val="32"/>
          <w:lang w:val="en-US" w:eastAsia="zh-CN"/>
        </w:rPr>
      </w:pPr>
      <w:r>
        <w:rPr>
          <w:rFonts w:hint="default" w:ascii="Times New Roman" w:hAnsi="Times New Roman" w:eastAsia="仿宋" w:cs="Times New Roman"/>
          <w:b w:val="0"/>
          <w:bCs w:val="0"/>
          <w:strike w:val="0"/>
          <w:dstrike w:val="0"/>
          <w:sz w:val="32"/>
          <w:szCs w:val="32"/>
          <w:lang w:val="en-US" w:eastAsia="zh-CN"/>
        </w:rPr>
        <w:t>2022年7月4#凭证，支付非洲猪瘟大清洗大消毒租赁及劳务费25600元，与“邵阳家洁环境服务有限公司”签订的电子卖场合同约定合同履行日期为2022年7月25日，履行期限为5天。签订的纸质合同中承包期限为自2021年4月1日起至2021年7月30日止，为期四个月，合同已过期，未重新签订纸质合同。</w:t>
      </w:r>
    </w:p>
    <w:p>
      <w:pPr>
        <w:pStyle w:val="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
      </w:pPr>
      <w:bookmarkStart w:id="35" w:name="_Toc28810"/>
      <w:r>
        <w:rPr>
          <w:rFonts w:hint="default" w:ascii="Times New Roman" w:hAnsi="Times New Roman" w:cs="Times New Roman"/>
          <w:lang w:val="en-US" w:eastAsia="zh-CN"/>
        </w:rPr>
        <w:t>八、相关建议</w:t>
      </w:r>
      <w:bookmarkEnd w:id="35"/>
    </w:p>
    <w:p>
      <w:pPr>
        <w:pStyle w:val="6"/>
        <w:keepNext w:val="0"/>
        <w:keepLines w:val="0"/>
        <w:pageBreakBefore w:val="0"/>
        <w:widowControl w:val="0"/>
        <w:kinsoku/>
        <w:wordWrap/>
        <w:overflowPunct/>
        <w:topLinePunct w:val="0"/>
        <w:autoSpaceDE/>
        <w:autoSpaceDN/>
        <w:bidi w:val="0"/>
        <w:textAlignment w:val="auto"/>
        <w:rPr>
          <w:rFonts w:hint="default"/>
          <w:lang w:eastAsia="zh-CN"/>
        </w:rPr>
      </w:pPr>
      <w:bookmarkStart w:id="36" w:name="_Toc13733"/>
      <w:r>
        <w:rPr>
          <w:rFonts w:hint="default"/>
        </w:rPr>
        <w:t>（</w:t>
      </w:r>
      <w:r>
        <w:rPr>
          <w:rFonts w:hint="eastAsia"/>
          <w:lang w:eastAsia="zh-CN"/>
        </w:rPr>
        <w:t>一</w:t>
      </w:r>
      <w:r>
        <w:rPr>
          <w:rFonts w:hint="default"/>
        </w:rPr>
        <w:t>）</w:t>
      </w:r>
      <w:r>
        <w:rPr>
          <w:rFonts w:hint="default"/>
          <w:lang w:eastAsia="zh-CN"/>
        </w:rPr>
        <w:t>完善预算编制，强化预算执行</w:t>
      </w:r>
      <w:bookmarkEnd w:id="36"/>
    </w:p>
    <w:p>
      <w:pPr>
        <w:keepNext w:val="0"/>
        <w:keepLines w:val="0"/>
        <w:pageBreakBefore w:val="0"/>
        <w:widowControl w:val="0"/>
        <w:kinsoku/>
        <w:wordWrap/>
        <w:overflowPunct/>
        <w:topLinePunct w:val="0"/>
        <w:autoSpaceDE/>
        <w:autoSpaceDN/>
        <w:bidi w:val="0"/>
        <w:textAlignment w:val="auto"/>
        <w:rPr>
          <w:rFonts w:hint="default"/>
          <w:lang w:eastAsia="zh-CN"/>
        </w:rPr>
      </w:pPr>
      <w:r>
        <w:rPr>
          <w:rFonts w:hint="default"/>
          <w:lang w:eastAsia="zh-CN"/>
        </w:rPr>
        <w:t>一是单位应强化预算相关宣传培训，</w:t>
      </w:r>
      <w:r>
        <w:rPr>
          <w:rFonts w:hint="eastAsia"/>
          <w:lang w:eastAsia="zh-CN"/>
        </w:rPr>
        <w:t>铸</w:t>
      </w:r>
      <w:r>
        <w:rPr>
          <w:rFonts w:hint="default"/>
          <w:lang w:eastAsia="zh-CN"/>
        </w:rPr>
        <w:t>牢预算管理理念，并且加强预算统筹，全面推进项目立项、部门资金、预算编制和预算执行统筹管理；二是加强预算执行管理，提高财政资金的使用效益和预算约束力；要细化预算编制，增强预算编制的科学性、精准性，加强与财政部门的沟通衔接，及时了解财政、财务规章制度，减少部门预算调整；制定预算目标控制措施和办法，加强预算意识，并对项目执行过程中存在的问题应及时</w:t>
      </w:r>
      <w:r>
        <w:rPr>
          <w:rFonts w:hint="eastAsia"/>
          <w:lang w:eastAsia="zh-CN"/>
        </w:rPr>
        <w:t>作出</w:t>
      </w:r>
      <w:r>
        <w:rPr>
          <w:rFonts w:hint="default"/>
          <w:lang w:eastAsia="zh-CN"/>
        </w:rPr>
        <w:t>整改，制定合理进度计划，加强项目预算支出的执行进度，提高资金使用效率；三是加强财政资金支出审批和管理，单位应严格按基本支出和项目支出实行分类核算，项目资金应做到分项核算、专款专用，保证财政资金实际用途与预算批复相一致。</w:t>
      </w:r>
    </w:p>
    <w:p>
      <w:pPr>
        <w:pStyle w:val="6"/>
        <w:bidi w:val="0"/>
        <w:rPr>
          <w:rFonts w:hint="default" w:ascii="Times New Roman" w:hAnsi="Times New Roman" w:cs="Times New Roman"/>
          <w:lang w:val="en-US" w:eastAsia="zh-CN"/>
        </w:rPr>
      </w:pPr>
      <w:bookmarkStart w:id="37" w:name="_Toc29343"/>
      <w:r>
        <w:rPr>
          <w:rFonts w:hint="default" w:ascii="Times New Roman" w:hAnsi="Times New Roman" w:cs="Times New Roman"/>
          <w:lang w:val="en-US" w:eastAsia="zh-CN"/>
        </w:rPr>
        <w:t>（</w:t>
      </w:r>
      <w:r>
        <w:rPr>
          <w:rFonts w:hint="eastAsia" w:ascii="Times New Roman" w:hAnsi="Times New Roman" w:cs="Times New Roman"/>
          <w:lang w:val="en-US" w:eastAsia="zh-CN"/>
        </w:rPr>
        <w:t>二</w:t>
      </w:r>
      <w:r>
        <w:rPr>
          <w:rFonts w:hint="default" w:ascii="Times New Roman" w:hAnsi="Times New Roman" w:cs="Times New Roman"/>
          <w:lang w:val="en-US" w:eastAsia="zh-CN"/>
        </w:rPr>
        <w:t>）规范资产管理</w:t>
      </w:r>
      <w:bookmarkEnd w:id="37"/>
    </w:p>
    <w:p>
      <w:pPr>
        <w:pStyle w:val="1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val="0"/>
          <w:bCs w:val="0"/>
          <w:kern w:val="2"/>
          <w:sz w:val="32"/>
          <w:szCs w:val="32"/>
          <w:lang w:val="en-US" w:eastAsia="zh-CN" w:bidi="ar-SA"/>
        </w:rPr>
        <w:t>建议单位进一步规范实物资产的管理，对实物资产进行定期或不定期的盘点，对于资产分类、资产品牌、规格型号等资产信息录入错误的情况及时更正，确保固定资产账实相符，对固定资产实行卡片管理，每一个固定资产进行贴标，明确使用部门及责任，确保国有资产的安全、完整。</w:t>
      </w:r>
    </w:p>
    <w:p>
      <w:pPr>
        <w:pStyle w:val="6"/>
        <w:bidi w:val="0"/>
        <w:ind w:firstLine="420"/>
        <w:rPr>
          <w:rFonts w:hint="default" w:ascii="Times New Roman" w:hAnsi="Times New Roman" w:cs="Times New Roman"/>
          <w:b/>
          <w:lang w:val="en-US" w:eastAsia="zh-CN"/>
        </w:rPr>
      </w:pPr>
      <w:bookmarkStart w:id="38" w:name="_Toc6079"/>
      <w:r>
        <w:rPr>
          <w:rFonts w:hint="default" w:ascii="Times New Roman" w:hAnsi="Times New Roman" w:cs="Times New Roman"/>
          <w:b/>
          <w:lang w:val="en-US" w:eastAsia="zh-CN"/>
        </w:rPr>
        <w:t>（</w:t>
      </w:r>
      <w:r>
        <w:rPr>
          <w:rFonts w:hint="eastAsia" w:ascii="Times New Roman" w:hAnsi="Times New Roman" w:cs="Times New Roman"/>
          <w:b/>
          <w:lang w:val="en-US" w:eastAsia="zh-CN"/>
        </w:rPr>
        <w:t>三</w:t>
      </w:r>
      <w:r>
        <w:rPr>
          <w:rFonts w:hint="default" w:ascii="Times New Roman" w:hAnsi="Times New Roman" w:cs="Times New Roman"/>
          <w:b/>
          <w:lang w:val="en-US" w:eastAsia="zh-CN"/>
        </w:rPr>
        <w:t>）提高财务管理规范性</w:t>
      </w:r>
      <w:bookmarkEnd w:id="3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40"/>
          <w:lang w:val="en-US" w:eastAsia="zh-CN"/>
        </w:rPr>
      </w:pPr>
      <w:r>
        <w:rPr>
          <w:rFonts w:hint="default" w:ascii="Times New Roman" w:hAnsi="Times New Roman" w:eastAsia="仿宋" w:cs="Times New Roman"/>
          <w:sz w:val="32"/>
          <w:szCs w:val="40"/>
          <w:lang w:val="en-US" w:eastAsia="zh-CN"/>
        </w:rPr>
        <w:t>建议单位严格按照合同签订的方式进行付款，一方面避免因拖欠项目款项而违约的情况发生，另一方面严格按照合同约定支付避免资金使用风险；三是加强合同签订的合理性，在业务开展前签订合同，保证合同的真实合法性，避免因合同后签导致合同无效从而引起不必要的法律风险。</w:t>
      </w:r>
    </w:p>
    <w:p>
      <w:pPr>
        <w:pStyle w:val="3"/>
        <w:bidi w:val="0"/>
        <w:rPr>
          <w:rFonts w:hint="default" w:ascii="Times New Roman" w:hAnsi="Times New Roman" w:cs="Times New Roman"/>
          <w:lang w:val="en-US" w:eastAsia="zh-CN"/>
        </w:rPr>
      </w:pPr>
      <w:bookmarkStart w:id="39" w:name="_Toc20837"/>
      <w:r>
        <w:rPr>
          <w:rFonts w:hint="default" w:ascii="Times New Roman" w:hAnsi="Times New Roman" w:cs="Times New Roman"/>
          <w:lang w:val="en-US" w:eastAsia="zh-CN"/>
        </w:rPr>
        <w:t>九、报告使用情况说明</w:t>
      </w:r>
      <w:bookmarkEnd w:id="3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本报告仅供委托方了解部门整体支出绩效情况使用，亦可供邵阳市北塔区畜牧水产事务中心加强部门整体绩效管理参考使用，非经委托方和本所许可，不得用于其他目的。</w:t>
      </w:r>
    </w:p>
    <w:p>
      <w:pPr>
        <w:pStyle w:val="14"/>
        <w:rPr>
          <w:rFonts w:hint="default" w:ascii="Times New Roman" w:hAnsi="Times New Roman" w:eastAsia="仿宋" w:cs="Times New Roman"/>
          <w:b w:val="0"/>
          <w:bCs w:val="0"/>
          <w:sz w:val="32"/>
          <w:szCs w:val="32"/>
          <w:lang w:val="en-US" w:eastAsia="zh-CN"/>
        </w:rPr>
      </w:pP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附件</w:t>
      </w:r>
      <w:r>
        <w:rPr>
          <w:rFonts w:hint="eastAsia" w:ascii="Times New Roman" w:hAnsi="Times New Roman" w:eastAsia="仿宋" w:cs="Times New Roman"/>
          <w:kern w:val="2"/>
          <w:sz w:val="32"/>
          <w:szCs w:val="24"/>
          <w:lang w:val="en-US" w:eastAsia="zh-CN" w:bidi="ar-SA"/>
        </w:rPr>
        <w:t>1</w:t>
      </w:r>
      <w:r>
        <w:rPr>
          <w:rFonts w:hint="default" w:ascii="Times New Roman" w:hAnsi="Times New Roman" w:eastAsia="仿宋" w:cs="Times New Roman"/>
          <w:kern w:val="2"/>
          <w:sz w:val="32"/>
          <w:szCs w:val="24"/>
          <w:lang w:val="en-US" w:eastAsia="zh-CN" w:bidi="ar-SA"/>
        </w:rPr>
        <w:t>：</w:t>
      </w:r>
      <w:r>
        <w:rPr>
          <w:rFonts w:hint="default" w:ascii="Times New Roman" w:hAnsi="Times New Roman" w:cs="Times New Roman"/>
          <w:lang w:val="en-US" w:eastAsia="zh-CN"/>
        </w:rPr>
        <w:t>邵阳市北塔区畜牧水产事务中心2022年度部门整体支出绩效评价指标表</w:t>
      </w:r>
    </w:p>
    <w:p>
      <w:pPr>
        <w:pStyle w:val="2"/>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kern w:val="2"/>
          <w:sz w:val="32"/>
          <w:szCs w:val="24"/>
          <w:lang w:val="en-US" w:eastAsia="zh-CN" w:bidi="ar-SA"/>
        </w:rPr>
        <w:t>附件</w:t>
      </w:r>
      <w:r>
        <w:rPr>
          <w:rFonts w:hint="eastAsia" w:ascii="Times New Roman" w:hAnsi="Times New Roman" w:eastAsia="仿宋" w:cs="Times New Roman"/>
          <w:kern w:val="2"/>
          <w:sz w:val="32"/>
          <w:szCs w:val="24"/>
          <w:lang w:val="en-US" w:eastAsia="zh-CN" w:bidi="ar-SA"/>
        </w:rPr>
        <w:t>2：部门整体支出绩效评价基础数据表</w:t>
      </w:r>
    </w:p>
    <w:p>
      <w:pPr>
        <w:keepNext w:val="0"/>
        <w:keepLines w:val="0"/>
        <w:pageBreakBefore w:val="0"/>
        <w:widowControl/>
        <w:kinsoku/>
        <w:overflowPunct/>
        <w:topLinePunct w:val="0"/>
        <w:autoSpaceDE/>
        <w:autoSpaceDN/>
        <w:bidi w:val="0"/>
        <w:adjustRightInd/>
        <w:snapToGrid/>
        <w:spacing w:line="640" w:lineRule="exact"/>
        <w:jc w:val="both"/>
        <w:rPr>
          <w:rFonts w:hint="default" w:ascii="Times New Roman Regular" w:hAnsi="Times New Roman Regular" w:eastAsia="方正小标宋_GBK" w:cs="Times New Roman Regular"/>
          <w:color w:val="000000"/>
          <w:kern w:val="0"/>
          <w:sz w:val="32"/>
          <w:szCs w:val="32"/>
          <w:lang w:val="en-US" w:eastAsia="zh-CN"/>
        </w:rPr>
      </w:pPr>
      <w:r>
        <w:rPr>
          <w:rFonts w:hint="eastAsia" w:cs="Times New Roman"/>
          <w:kern w:val="2"/>
          <w:sz w:val="32"/>
          <w:szCs w:val="24"/>
          <w:lang w:val="en-US" w:eastAsia="zh-CN" w:bidi="ar-SA"/>
        </w:rPr>
        <w:t>附件3：</w:t>
      </w:r>
      <w:r>
        <w:rPr>
          <w:rFonts w:hint="default" w:ascii="Times New Roman" w:hAnsi="Times New Roman" w:eastAsia="仿宋" w:cs="Times New Roman"/>
          <w:kern w:val="2"/>
          <w:sz w:val="32"/>
          <w:szCs w:val="24"/>
          <w:lang w:val="en-US" w:eastAsia="zh-CN" w:bidi="ar-SA"/>
        </w:rPr>
        <w:t>部门整体支出绩效自评表</w:t>
      </w:r>
    </w:p>
    <w:p>
      <w:pPr>
        <w:pStyle w:val="15"/>
        <w:rPr>
          <w:rFonts w:hint="default" w:ascii="Times New Roman" w:hAnsi="Times New Roman" w:cs="Times New Roman"/>
          <w:lang w:val="en-US" w:eastAsia="zh-CN"/>
        </w:rPr>
      </w:pPr>
      <w:r>
        <w:rPr>
          <w:rFonts w:hint="default" w:ascii="Times New Roman" w:hAnsi="Times New Roman" w:cs="Times New Roman"/>
          <w:kern w:val="2"/>
          <w:sz w:val="32"/>
          <w:szCs w:val="24"/>
          <w:lang w:val="en-US" w:eastAsia="zh-CN" w:bidi="ar-SA"/>
        </w:rPr>
        <w:t>附件4：</w:t>
      </w:r>
      <w:r>
        <w:rPr>
          <w:rFonts w:hint="default" w:ascii="Times New Roman" w:hAnsi="Times New Roman" w:eastAsia="仿宋" w:cs="Times New Roman"/>
          <w:kern w:val="2"/>
          <w:sz w:val="32"/>
          <w:szCs w:val="24"/>
          <w:lang w:val="en-US" w:eastAsia="zh-CN" w:bidi="ar-SA"/>
        </w:rPr>
        <w:t>2022年度项目支出绩效自评表</w:t>
      </w:r>
    </w:p>
    <w:p>
      <w:pPr>
        <w:pStyle w:val="15"/>
        <w:rPr>
          <w:rFonts w:hint="default" w:ascii="Times New Roman" w:hAnsi="Times New Roman" w:cs="Times New Roman"/>
          <w:lang w:val="en-US" w:eastAsia="zh-CN"/>
        </w:rPr>
      </w:pPr>
    </w:p>
    <w:p>
      <w:pPr>
        <w:pStyle w:val="14"/>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楷体" w:cs="Times New Roman"/>
          <w:sz w:val="30"/>
          <w:szCs w:val="30"/>
          <w:lang w:val="en-US" w:eastAsia="zh-CN"/>
        </w:rPr>
      </w:pPr>
      <w:r>
        <w:rPr>
          <w:rFonts w:hint="default" w:ascii="Times New Roman" w:hAnsi="Times New Roman" w:eastAsia="楷体" w:cs="Times New Roman"/>
          <w:sz w:val="30"/>
          <w:szCs w:val="30"/>
          <w:lang w:val="en-US" w:eastAsia="zh-CN"/>
        </w:rPr>
        <w:t>湖南财正会计师事务所</w:t>
      </w:r>
      <w:r>
        <w:rPr>
          <w:rFonts w:hint="default" w:eastAsia="楷体" w:cs="Times New Roman"/>
          <w:sz w:val="30"/>
          <w:szCs w:val="30"/>
          <w:lang w:val="en-US" w:eastAsia="zh-CN"/>
        </w:rPr>
        <w:t>（</w:t>
      </w:r>
      <w:r>
        <w:rPr>
          <w:rFonts w:hint="default" w:ascii="Times New Roman" w:hAnsi="Times New Roman" w:eastAsia="楷体" w:cs="Times New Roman"/>
          <w:sz w:val="30"/>
          <w:szCs w:val="30"/>
          <w:lang w:val="en-US" w:eastAsia="zh-CN"/>
        </w:rPr>
        <w:t>普通合伙</w:t>
      </w:r>
      <w:r>
        <w:rPr>
          <w:rFonts w:hint="default" w:eastAsia="楷体" w:cs="Times New Roman"/>
          <w:sz w:val="30"/>
          <w:szCs w:val="30"/>
          <w:lang w:val="en-US" w:eastAsia="zh-CN"/>
        </w:rPr>
        <w:t>）</w:t>
      </w:r>
      <w:r>
        <w:rPr>
          <w:rFonts w:hint="default" w:ascii="Times New Roman" w:hAnsi="Times New Roman" w:eastAsia="楷体" w:cs="Times New Roman"/>
          <w:sz w:val="30"/>
          <w:szCs w:val="30"/>
          <w:lang w:val="en-US" w:eastAsia="zh-CN"/>
        </w:rPr>
        <w:t xml:space="preserve">          中国注册会计师：</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1200" w:firstLineChars="400"/>
        <w:textAlignment w:val="auto"/>
        <w:rPr>
          <w:rFonts w:hint="default" w:ascii="Times New Roman" w:hAnsi="Times New Roman" w:eastAsia="楷体" w:cs="Times New Roman"/>
          <w:b w:val="0"/>
          <w:bCs w:val="0"/>
          <w:sz w:val="30"/>
          <w:szCs w:val="30"/>
          <w:lang w:val="en-US" w:eastAsia="zh-CN"/>
        </w:rPr>
      </w:pPr>
      <w:r>
        <w:rPr>
          <w:rFonts w:hint="default" w:ascii="Times New Roman" w:hAnsi="Times New Roman" w:eastAsia="楷体" w:cs="Times New Roman"/>
          <w:b w:val="0"/>
          <w:bCs w:val="0"/>
          <w:sz w:val="30"/>
          <w:szCs w:val="30"/>
          <w:lang w:val="en-US" w:eastAsia="zh-CN"/>
        </w:rPr>
        <w:t>湖南</w:t>
      </w:r>
      <w:r>
        <w:rPr>
          <w:rFonts w:hint="eastAsia" w:ascii="微软雅黑" w:hAnsi="微软雅黑" w:eastAsia="微软雅黑" w:cs="微软雅黑"/>
          <w:b w:val="0"/>
          <w:bCs w:val="0"/>
          <w:sz w:val="30"/>
          <w:szCs w:val="30"/>
          <w:lang w:val="en-US" w:eastAsia="zh-CN"/>
        </w:rPr>
        <w:t>•</w:t>
      </w:r>
      <w:r>
        <w:rPr>
          <w:rFonts w:hint="default" w:ascii="Times New Roman" w:hAnsi="Times New Roman" w:eastAsia="楷体" w:cs="Times New Roman"/>
          <w:b w:val="0"/>
          <w:bCs w:val="0"/>
          <w:sz w:val="30"/>
          <w:szCs w:val="30"/>
          <w:lang w:val="en-US" w:eastAsia="zh-CN"/>
        </w:rPr>
        <w:t>长沙</w:t>
      </w:r>
      <w:r>
        <w:rPr>
          <w:rFonts w:hint="default" w:ascii="Times New Roman" w:hAnsi="Times New Roman" w:cs="Times New Roman"/>
          <w:sz w:val="30"/>
          <w:szCs w:val="30"/>
          <w:lang w:val="en-US" w:eastAsia="zh-CN"/>
        </w:rPr>
        <w:t xml:space="preserve">  </w:t>
      </w:r>
      <w:r>
        <w:rPr>
          <w:rFonts w:hint="default" w:ascii="Times New Roman" w:hAnsi="Times New Roman" w:cs="Times New Roman"/>
          <w:lang w:val="en-US" w:eastAsia="zh-CN"/>
        </w:rPr>
        <w:t xml:space="preserve">                    </w:t>
      </w:r>
      <w:r>
        <w:rPr>
          <w:rFonts w:hint="default" w:ascii="Times New Roman" w:hAnsi="Times New Roman" w:eastAsia="楷体" w:cs="Times New Roman"/>
          <w:sz w:val="30"/>
          <w:szCs w:val="30"/>
          <w:lang w:val="en-US" w:eastAsia="zh-CN"/>
        </w:rPr>
        <w:t>中国注册会计师：</w:t>
      </w:r>
    </w:p>
    <w:p>
      <w:pPr>
        <w:pStyle w:val="14"/>
        <w:rPr>
          <w:rFonts w:hint="default" w:ascii="Times New Roman" w:hAnsi="Times New Roman" w:cs="Times New Roman"/>
          <w:lang w:val="en-US" w:eastAsia="zh-CN"/>
        </w:rPr>
      </w:pPr>
    </w:p>
    <w:p>
      <w:pPr>
        <w:pStyle w:val="14"/>
        <w:ind w:firstLine="0" w:firstLineChars="0"/>
        <w:jc w:val="right"/>
        <w:rPr>
          <w:rFonts w:hint="default" w:ascii="Times New Roman" w:hAnsi="Times New Roman" w:eastAsia="楷体" w:cs="Times New Roman"/>
          <w:b w:val="0"/>
          <w:bCs w:val="0"/>
          <w:sz w:val="30"/>
          <w:szCs w:val="30"/>
          <w:highlight w:val="none"/>
          <w:lang w:val="en-US" w:eastAsia="zh-CN"/>
        </w:rPr>
      </w:pPr>
      <w:r>
        <w:rPr>
          <w:rFonts w:hint="default" w:ascii="Times New Roman" w:hAnsi="Times New Roman" w:eastAsia="楷体" w:cs="Times New Roman"/>
          <w:kern w:val="2"/>
          <w:sz w:val="30"/>
          <w:szCs w:val="30"/>
          <w:lang w:val="en-US" w:eastAsia="zh-CN" w:bidi="ar-SA"/>
        </w:rPr>
        <w:t>二〇二三年</w:t>
      </w:r>
      <w:r>
        <w:rPr>
          <w:rFonts w:hint="default" w:ascii="Times New Roman" w:hAnsi="Times New Roman" w:eastAsia="楷体" w:cs="Times New Roman"/>
          <w:kern w:val="2"/>
          <w:sz w:val="30"/>
          <w:szCs w:val="30"/>
          <w:highlight w:val="none"/>
          <w:lang w:val="en-US" w:eastAsia="zh-CN" w:bidi="ar-SA"/>
        </w:rPr>
        <w:t>十月二十日</w:t>
      </w:r>
    </w:p>
    <w:p>
      <w:pPr>
        <w:pStyle w:val="14"/>
        <w:ind w:firstLine="5890" w:firstLineChars="1900"/>
        <w:rPr>
          <w:rFonts w:hint="default" w:ascii="Times New Roman" w:hAnsi="Times New Roman" w:eastAsia="仿宋" w:cs="Times New Roman"/>
          <w:b w:val="0"/>
          <w:bCs w:val="0"/>
          <w:sz w:val="31"/>
          <w:szCs w:val="31"/>
          <w:highlight w:val="none"/>
          <w:lang w:val="en-US" w:eastAsia="zh-CN"/>
        </w:rPr>
        <w:sectPr>
          <w:headerReference r:id="rId7" w:type="default"/>
          <w:pgSz w:w="11906" w:h="16838"/>
          <w:pgMar w:top="1440" w:right="1803" w:bottom="1440" w:left="1803" w:header="624"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仿宋" w:cs="Times New Roman"/>
          <w:snapToGrid w:val="0"/>
          <w:color w:val="000000"/>
          <w:spacing w:val="-13"/>
          <w:kern w:val="0"/>
          <w:sz w:val="32"/>
          <w:szCs w:val="32"/>
          <w:lang w:val="en-US" w:eastAsia="zh-CN"/>
        </w:rPr>
      </w:pPr>
      <w:r>
        <w:rPr>
          <w:rFonts w:hint="default" w:ascii="Times New Roman" w:hAnsi="Times New Roman" w:eastAsia="仿宋" w:cs="Times New Roman"/>
          <w:snapToGrid w:val="0"/>
          <w:color w:val="000000"/>
          <w:spacing w:val="-13"/>
          <w:kern w:val="0"/>
          <w:sz w:val="32"/>
          <w:szCs w:val="32"/>
          <w:lang w:val="en-US" w:eastAsia="zh-CN"/>
        </w:rPr>
        <w:t>附件</w:t>
      </w:r>
      <w:r>
        <w:rPr>
          <w:rFonts w:hint="eastAsia" w:cs="Times New Roman"/>
          <w:snapToGrid w:val="0"/>
          <w:color w:val="000000"/>
          <w:spacing w:val="-13"/>
          <w:kern w:val="0"/>
          <w:sz w:val="32"/>
          <w:szCs w:val="32"/>
          <w:lang w:val="en-US" w:eastAsia="zh-CN"/>
        </w:rPr>
        <w:t>1：</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方正小标宋简体" w:cs="Times New Roman"/>
          <w:b w:val="0"/>
          <w:bCs w:val="0"/>
          <w:snapToGrid w:val="0"/>
          <w:color w:val="000000"/>
          <w:spacing w:val="-3"/>
          <w:kern w:val="0"/>
          <w:sz w:val="36"/>
          <w:szCs w:val="36"/>
          <w:lang w:val="en-US" w:eastAsia="zh-CN"/>
        </w:rPr>
      </w:pPr>
      <w:r>
        <w:rPr>
          <w:rFonts w:hint="default" w:ascii="Times New Roman" w:hAnsi="Times New Roman" w:eastAsia="方正小标宋简体" w:cs="Times New Roman"/>
          <w:b w:val="0"/>
          <w:bCs w:val="0"/>
          <w:snapToGrid w:val="0"/>
          <w:color w:val="000000"/>
          <w:spacing w:val="-3"/>
          <w:kern w:val="0"/>
          <w:sz w:val="36"/>
          <w:szCs w:val="36"/>
          <w:lang w:val="en-US" w:eastAsia="zh-CN"/>
        </w:rPr>
        <w:t>邵阳市北塔区畜牧水产事务中心2022年度部门整体支出绩效评价指标表</w:t>
      </w:r>
    </w:p>
    <w:tbl>
      <w:tblPr>
        <w:tblStyle w:val="19"/>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1"/>
        <w:gridCol w:w="1089"/>
        <w:gridCol w:w="1581"/>
        <w:gridCol w:w="984"/>
        <w:gridCol w:w="6194"/>
        <w:gridCol w:w="999"/>
        <w:gridCol w:w="3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39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sz w:val="18"/>
                <w:szCs w:val="18"/>
              </w:rPr>
            </w:pPr>
            <w:r>
              <w:rPr>
                <w:rFonts w:hint="default" w:ascii="Times New Roman" w:hAnsi="Times New Roman" w:cs="Times New Roman" w:eastAsiaTheme="minorEastAsia"/>
                <w:b/>
                <w:bCs/>
                <w:color w:val="000000"/>
                <w:sz w:val="18"/>
                <w:szCs w:val="18"/>
              </w:rPr>
              <w:t>一级指标</w:t>
            </w:r>
          </w:p>
        </w:tc>
        <w:tc>
          <w:tcPr>
            <w:tcW w:w="36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sz w:val="18"/>
                <w:szCs w:val="18"/>
              </w:rPr>
            </w:pPr>
            <w:r>
              <w:rPr>
                <w:rFonts w:hint="default" w:ascii="Times New Roman" w:hAnsi="Times New Roman" w:cs="Times New Roman" w:eastAsiaTheme="minorEastAsia"/>
                <w:b/>
                <w:bCs/>
                <w:color w:val="000000"/>
                <w:sz w:val="18"/>
                <w:szCs w:val="18"/>
              </w:rPr>
              <w:t>二级指标</w:t>
            </w:r>
          </w:p>
        </w:tc>
        <w:tc>
          <w:tcPr>
            <w:tcW w:w="5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sz w:val="18"/>
                <w:szCs w:val="18"/>
              </w:rPr>
            </w:pPr>
            <w:r>
              <w:rPr>
                <w:rFonts w:hint="default" w:ascii="Times New Roman" w:hAnsi="Times New Roman" w:cs="Times New Roman" w:eastAsiaTheme="minorEastAsia"/>
                <w:b/>
                <w:bCs/>
                <w:color w:val="000000"/>
                <w:sz w:val="18"/>
                <w:szCs w:val="18"/>
              </w:rPr>
              <w:t>三级指标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sz w:val="18"/>
                <w:szCs w:val="18"/>
              </w:rPr>
            </w:pPr>
            <w:r>
              <w:rPr>
                <w:rFonts w:hint="default" w:ascii="Times New Roman" w:hAnsi="Times New Roman" w:cs="Times New Roman" w:eastAsiaTheme="minorEastAsia"/>
                <w:b/>
                <w:bCs/>
                <w:color w:val="000000"/>
                <w:sz w:val="18"/>
                <w:szCs w:val="18"/>
              </w:rPr>
              <w:t>标准分值</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sz w:val="18"/>
                <w:szCs w:val="18"/>
              </w:rPr>
            </w:pPr>
            <w:r>
              <w:rPr>
                <w:rFonts w:hint="default" w:ascii="Times New Roman" w:hAnsi="Times New Roman" w:cs="Times New Roman" w:eastAsiaTheme="minorEastAsia"/>
                <w:b/>
                <w:bCs/>
                <w:color w:val="000000"/>
                <w:sz w:val="18"/>
                <w:szCs w:val="18"/>
              </w:rPr>
              <w:t>评价标准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sz w:val="18"/>
                <w:szCs w:val="18"/>
              </w:rPr>
            </w:pPr>
            <w:r>
              <w:rPr>
                <w:rFonts w:hint="default" w:ascii="Times New Roman" w:hAnsi="Times New Roman" w:cs="Times New Roman" w:eastAsiaTheme="minorEastAsia"/>
                <w:b/>
                <w:bCs/>
                <w:color w:val="000000"/>
                <w:sz w:val="18"/>
                <w:szCs w:val="18"/>
              </w:rPr>
              <w:t>评价得分</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sz w:val="18"/>
                <w:szCs w:val="18"/>
              </w:rPr>
            </w:pPr>
            <w:r>
              <w:rPr>
                <w:rFonts w:hint="default" w:ascii="Times New Roman" w:hAnsi="Times New Roman" w:cs="Times New Roman" w:eastAsiaTheme="minorEastAsia"/>
                <w:b/>
                <w:bCs/>
                <w:color w:val="000000"/>
                <w:sz w:val="18"/>
                <w:szCs w:val="18"/>
              </w:rPr>
              <w:t>扣分原因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投入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（15分）</w:t>
            </w: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目标设定（6分）</w:t>
            </w:r>
          </w:p>
        </w:tc>
        <w:tc>
          <w:tcPr>
            <w:tcW w:w="5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绩效目标合理性</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3</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绩效目标未达到以下标准的，每条扣0.5分，扣完为止：①符合国家法律法规、国民经济和社会发展总体规划；②符合部门“三定”方案确定的职责；③符合部门制定的中长期实施规划和年度工作计划。</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lang w:eastAsia="zh-CN"/>
              </w:rPr>
            </w:pPr>
            <w:r>
              <w:rPr>
                <w:rFonts w:hint="default" w:ascii="Times New Roman" w:hAnsi="Times New Roman" w:cs="Times New Roman" w:eastAsiaTheme="minorEastAsia"/>
                <w:color w:val="000000"/>
                <w:sz w:val="18"/>
                <w:szCs w:val="18"/>
                <w:lang w:eastAsia="zh-CN"/>
              </w:rPr>
              <w:t>0</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lang w:eastAsia="zh-CN"/>
              </w:rPr>
              <w:t>未制定部门整体绩效目标，扣</w:t>
            </w:r>
            <w:r>
              <w:rPr>
                <w:rFonts w:hint="default" w:ascii="Times New Roman" w:hAnsi="Times New Roman" w:cs="Times New Roman" w:eastAsiaTheme="minorEastAsia"/>
                <w:color w:val="000000"/>
                <w:sz w:val="18"/>
                <w:szCs w:val="18"/>
                <w:lang w:val="en-US" w:eastAsia="zh-CN"/>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5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绩效指标明确性</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3</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是否</w:t>
            </w:r>
            <w:r>
              <w:rPr>
                <w:rFonts w:hint="default" w:ascii="Times New Roman" w:hAnsi="Times New Roman" w:cs="Times New Roman" w:eastAsiaTheme="minorEastAsia"/>
                <w:color w:val="000000"/>
                <w:sz w:val="18"/>
                <w:szCs w:val="18"/>
              </w:rPr>
              <w:t>将部门整体的绩效目标细化分解为具体的工作任务；通过清晰、可衡量的指标值予以体现。与部门年度的任务数或计划数相对应；与本年度部门预算资金相匹配。</w:t>
            </w:r>
            <w:r>
              <w:rPr>
                <w:rFonts w:hint="default" w:ascii="Times New Roman" w:hAnsi="Times New Roman" w:cs="Times New Roman" w:eastAsiaTheme="minorEastAsia"/>
                <w:color w:val="000000"/>
                <w:sz w:val="18"/>
                <w:szCs w:val="18"/>
                <w:lang w:val="en-US" w:eastAsia="zh-CN"/>
              </w:rPr>
              <w:t>每发现一项不符扣1分，</w:t>
            </w:r>
            <w:r>
              <w:rPr>
                <w:rFonts w:hint="default" w:ascii="Times New Roman" w:hAnsi="Times New Roman" w:cs="Times New Roman" w:eastAsiaTheme="minorEastAsia"/>
                <w:color w:val="000000"/>
                <w:sz w:val="18"/>
                <w:szCs w:val="18"/>
              </w:rPr>
              <w:t>本项扣完为止。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0</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eastAsia="zh-CN"/>
              </w:rPr>
              <w:t>未制定部门整体绩效目标，扣</w:t>
            </w:r>
            <w:r>
              <w:rPr>
                <w:rFonts w:hint="default" w:ascii="Times New Roman" w:hAnsi="Times New Roman" w:cs="Times New Roman" w:eastAsiaTheme="minorEastAsia"/>
                <w:color w:val="000000"/>
                <w:sz w:val="18"/>
                <w:szCs w:val="18"/>
                <w:lang w:val="en-US" w:eastAsia="zh-CN"/>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预算配置（9分）</w:t>
            </w:r>
          </w:p>
        </w:tc>
        <w:tc>
          <w:tcPr>
            <w:tcW w:w="5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在职</w:t>
            </w:r>
            <w:r>
              <w:rPr>
                <w:rFonts w:hint="default" w:ascii="Times New Roman" w:hAnsi="Times New Roman" w:cs="Times New Roman" w:eastAsiaTheme="minorEastAsia"/>
                <w:color w:val="000000"/>
                <w:sz w:val="18"/>
                <w:szCs w:val="18"/>
              </w:rPr>
              <w:t>人员</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控制率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3</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以100%为标准，在职人员控制率=（在职人员数/编制数）×100%。</w:t>
            </w:r>
            <w:r>
              <w:rPr>
                <w:rFonts w:hint="default" w:ascii="Times New Roman" w:hAnsi="Times New Roman" w:cs="Times New Roman" w:eastAsiaTheme="minorEastAsia"/>
                <w:color w:val="000000"/>
                <w:sz w:val="18"/>
                <w:szCs w:val="18"/>
                <w:lang w:val="en-US" w:eastAsia="zh-CN"/>
              </w:rPr>
              <w:t>在职人员</w:t>
            </w:r>
            <w:r>
              <w:rPr>
                <w:rFonts w:hint="default" w:ascii="Times New Roman" w:hAnsi="Times New Roman" w:cs="Times New Roman" w:eastAsiaTheme="minorEastAsia"/>
                <w:color w:val="000000"/>
                <w:sz w:val="18"/>
                <w:szCs w:val="18"/>
              </w:rPr>
              <w:t>控制率≦100%，计3分，每超过1%，扣0.3分，扣完为止。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rPr>
              <w:t>3</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5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重点支出安排率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6</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重点支出安排率≥90%，计6分；每少10%扣1.5分；低于60%不得分。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重点支出安排率=（重点预算支出/预算总支出）×100%。</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rPr>
              <w:t>6</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过程</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（25分）</w:t>
            </w: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预算执行（10分）</w:t>
            </w:r>
          </w:p>
        </w:tc>
        <w:tc>
          <w:tcPr>
            <w:tcW w:w="5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预算执行率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以100%为标准。预算执行率每下降一个百分点扣0.1分，扣完为止。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5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支出进度</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每发现一个项目未完成进度要求，完成资金下达的扣0.2分，扣完为止。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5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结转结余率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无结余，2分；有结余但不超过上年结转，1分；每超过上年结转1个百分点扣0.1分，扣完为止。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5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“三公经费”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控制率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以100%为标准。控制率≤100%，计2分；每超过一个百分点扣0.4分。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39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5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政府采购执行率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100%计满分，每低于1个百分点扣0.2分。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预算管理（12分）</w:t>
            </w:r>
          </w:p>
        </w:tc>
        <w:tc>
          <w:tcPr>
            <w:tcW w:w="5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管理制度健全性</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3</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①有制定管理制度，计1分；②管理制度合法、合规、完整，计1分；③相关管理制度得到有效执行计1分。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rPr>
              <w:t>3</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5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资金使用合规性</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5</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①支出符合国家财经法规和财务管理制度规定以及有关专项资金管理办法的规定，2分。出现截留、挤占、挪用、虚列支出，大额现金支付、违规借出（占用）、乱发滥补、虚报冒领，转嫁支出、乱开户乱存放、私设小金库等违规行为，酌情扣分，扣完为止。</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②资金拨付有完整的审批程序和手续，1分；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③项目支出按规定经过评估论证，1分；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④支出符合部门预算批复的用途，1分。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lang w:val="en-US" w:eastAsia="zh-CN"/>
              </w:rPr>
              <w:t>3</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lang w:val="en-US" w:eastAsia="zh-CN"/>
              </w:rPr>
            </w:pPr>
            <w:r>
              <w:rPr>
                <w:rFonts w:hint="eastAsia" w:cs="Times New Roman" w:eastAsiaTheme="minorEastAsia"/>
                <w:color w:val="000000"/>
                <w:sz w:val="18"/>
                <w:szCs w:val="18"/>
                <w:lang w:val="en-US" w:eastAsia="zh-CN"/>
              </w:rPr>
              <w:t>存在</w:t>
            </w:r>
            <w:r>
              <w:rPr>
                <w:rFonts w:hint="default" w:ascii="Times New Roman" w:hAnsi="Times New Roman" w:cs="Times New Roman" w:eastAsiaTheme="minorEastAsia"/>
                <w:color w:val="000000"/>
                <w:sz w:val="18"/>
                <w:szCs w:val="18"/>
              </w:rPr>
              <w:t>预算资金调剂使用</w:t>
            </w:r>
            <w:r>
              <w:rPr>
                <w:rFonts w:hint="eastAsia" w:cs="Times New Roman" w:eastAsiaTheme="minorEastAsia"/>
                <w:color w:val="000000"/>
                <w:sz w:val="18"/>
                <w:szCs w:val="18"/>
                <w:lang w:eastAsia="zh-CN"/>
              </w:rPr>
              <w:t>、</w:t>
            </w:r>
            <w:r>
              <w:rPr>
                <w:rFonts w:hint="eastAsia" w:cs="Times New Roman" w:eastAsiaTheme="minorEastAsia"/>
                <w:color w:val="000000"/>
                <w:sz w:val="18"/>
                <w:szCs w:val="18"/>
                <w:lang w:val="en-US" w:eastAsia="zh-CN"/>
              </w:rPr>
              <w:t>发票管理欠规范、附件不全等情况，酌情</w:t>
            </w:r>
            <w:r>
              <w:rPr>
                <w:rFonts w:hint="default" w:ascii="Times New Roman" w:hAnsi="Times New Roman" w:cs="Times New Roman" w:eastAsiaTheme="minorEastAsia"/>
                <w:color w:val="000000"/>
                <w:sz w:val="18"/>
                <w:szCs w:val="18"/>
                <w:lang w:eastAsia="zh-CN"/>
              </w:rPr>
              <w:t>扣</w:t>
            </w:r>
            <w:r>
              <w:rPr>
                <w:rFonts w:hint="eastAsia" w:cs="Times New Roman" w:eastAsiaTheme="minorEastAsia"/>
                <w:color w:val="000000"/>
                <w:sz w:val="18"/>
                <w:szCs w:val="18"/>
                <w:lang w:val="en-US" w:eastAsia="zh-CN"/>
              </w:rPr>
              <w:t>2</w:t>
            </w:r>
            <w:r>
              <w:rPr>
                <w:rFonts w:hint="default" w:ascii="Times New Roman" w:hAnsi="Times New Roman" w:cs="Times New Roman" w:eastAsiaTheme="minorEastAsia"/>
                <w:color w:val="000000"/>
                <w:sz w:val="18"/>
                <w:szCs w:val="18"/>
                <w:lang w:val="en-US" w:eastAsia="zh-CN"/>
              </w:rPr>
              <w:t>分</w:t>
            </w:r>
            <w:r>
              <w:rPr>
                <w:rFonts w:hint="eastAsia" w:cs="Times New Roman" w:eastAsiaTheme="minorEastAsia"/>
                <w:color w:val="000000"/>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5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预决算信息</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公开性</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①按规定内容公开预决算信息，计1分；②按规定时限公开预决算信息，计1分。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5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基础信息完善性</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①基础数据信息和会计信息资料真实，计1分；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②基础数据信息和会计信息资料完整、准确，计1分。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资产管理（3分）</w:t>
            </w:r>
          </w:p>
        </w:tc>
        <w:tc>
          <w:tcPr>
            <w:tcW w:w="5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资产管理安全性</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①资产保存完整，计0.5分；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②资产配置合理，计0.5分；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③资产配置规范，计0.5分；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④资产账务管理合规，账实相符，计0.5分。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lang w:val="en-US" w:eastAsia="zh-CN"/>
              </w:rPr>
              <w:t>0</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rPr>
              <w:t>固定资产</w:t>
            </w:r>
            <w:r>
              <w:rPr>
                <w:rFonts w:hint="default" w:ascii="Times New Roman" w:hAnsi="Times New Roman" w:cs="Times New Roman" w:eastAsiaTheme="minorEastAsia"/>
                <w:color w:val="000000"/>
                <w:sz w:val="18"/>
                <w:szCs w:val="18"/>
                <w:lang w:eastAsia="zh-CN"/>
              </w:rPr>
              <w:t>未实行卡片管理，扣</w:t>
            </w:r>
            <w:r>
              <w:rPr>
                <w:rFonts w:hint="default" w:ascii="Times New Roman" w:hAnsi="Times New Roman" w:cs="Times New Roman" w:eastAsiaTheme="minorEastAsia"/>
                <w:color w:val="000000"/>
                <w:sz w:val="18"/>
                <w:szCs w:val="18"/>
                <w:lang w:val="en-US" w:eastAsia="zh-CN"/>
              </w:rPr>
              <w:t>1分；</w:t>
            </w:r>
            <w:r>
              <w:rPr>
                <w:rFonts w:hint="default" w:ascii="Times New Roman" w:hAnsi="Times New Roman" w:cs="Times New Roman" w:eastAsiaTheme="minorEastAsia"/>
                <w:color w:val="000000"/>
                <w:sz w:val="18"/>
                <w:szCs w:val="18"/>
              </w:rPr>
              <w:t>个别资产未计入固定资产</w:t>
            </w:r>
            <w:r>
              <w:rPr>
                <w:rFonts w:hint="default" w:ascii="Times New Roman" w:hAnsi="Times New Roman" w:cs="Times New Roman" w:eastAsiaTheme="minorEastAsia"/>
                <w:color w:val="000000"/>
                <w:sz w:val="18"/>
                <w:szCs w:val="18"/>
                <w:lang w:eastAsia="zh-CN"/>
              </w:rPr>
              <w:t>，扣</w:t>
            </w:r>
            <w:r>
              <w:rPr>
                <w:rFonts w:hint="default" w:ascii="Times New Roman" w:hAnsi="Times New Roman" w:cs="Times New Roman" w:eastAsiaTheme="minorEastAsia"/>
                <w:color w:val="000000"/>
                <w:sz w:val="18"/>
                <w:szCs w:val="18"/>
                <w:lang w:val="en-US" w:eastAsia="zh-CN"/>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5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固定资产利用率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1</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每低于100%一个百分点扣0.1分，扣完为止。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rPr>
              <w:t>1</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产出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w:t>
            </w:r>
            <w:r>
              <w:rPr>
                <w:rFonts w:hint="default" w:ascii="Times New Roman" w:hAnsi="Times New Roman" w:cs="Times New Roman" w:eastAsiaTheme="minorEastAsia"/>
                <w:color w:val="000000"/>
                <w:sz w:val="18"/>
                <w:szCs w:val="18"/>
                <w:lang w:val="en-US" w:eastAsia="zh-CN"/>
              </w:rPr>
              <w:t>30</w:t>
            </w:r>
            <w:r>
              <w:rPr>
                <w:rFonts w:hint="default" w:ascii="Times New Roman" w:hAnsi="Times New Roman" w:cs="Times New Roman" w:eastAsiaTheme="minorEastAsia"/>
                <w:color w:val="000000"/>
                <w:sz w:val="18"/>
                <w:szCs w:val="18"/>
              </w:rPr>
              <w:t>分）</w:t>
            </w: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职责履行（</w:t>
            </w:r>
            <w:r>
              <w:rPr>
                <w:rFonts w:hint="default" w:ascii="Times New Roman" w:hAnsi="Times New Roman" w:cs="Times New Roman" w:eastAsiaTheme="minorEastAsia"/>
                <w:color w:val="000000"/>
                <w:sz w:val="18"/>
                <w:szCs w:val="18"/>
                <w:lang w:val="en-US" w:eastAsia="zh-CN"/>
              </w:rPr>
              <w:t>30</w:t>
            </w:r>
            <w:r>
              <w:rPr>
                <w:rFonts w:hint="default" w:ascii="Times New Roman" w:hAnsi="Times New Roman" w:cs="Times New Roman" w:eastAsiaTheme="minorEastAsia"/>
                <w:color w:val="000000"/>
                <w:sz w:val="18"/>
                <w:szCs w:val="18"/>
              </w:rPr>
              <w:t>分）</w:t>
            </w:r>
          </w:p>
        </w:tc>
        <w:tc>
          <w:tcPr>
            <w:tcW w:w="5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部门单位履职、运转</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lang w:eastAsia="zh-CN"/>
              </w:rPr>
            </w:pPr>
            <w:r>
              <w:rPr>
                <w:rFonts w:hint="default" w:ascii="Times New Roman" w:hAnsi="Times New Roman" w:cs="Times New Roman" w:eastAsiaTheme="minorEastAsia"/>
                <w:color w:val="000000"/>
                <w:sz w:val="18"/>
                <w:szCs w:val="18"/>
                <w:lang w:val="en-US" w:eastAsia="zh-CN"/>
              </w:rPr>
              <w:t>6</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单位履职、运转正常，计</w:t>
            </w:r>
            <w:r>
              <w:rPr>
                <w:rFonts w:hint="default" w:ascii="Times New Roman" w:hAnsi="Times New Roman" w:cs="Times New Roman" w:eastAsiaTheme="minorEastAsia"/>
                <w:color w:val="000000"/>
                <w:sz w:val="18"/>
                <w:szCs w:val="18"/>
                <w:lang w:val="en-US" w:eastAsia="zh-CN"/>
              </w:rPr>
              <w:t>6</w:t>
            </w:r>
            <w:r>
              <w:rPr>
                <w:rFonts w:hint="default" w:ascii="Times New Roman" w:hAnsi="Times New Roman" w:cs="Times New Roman" w:eastAsiaTheme="minorEastAsia"/>
                <w:color w:val="000000"/>
                <w:sz w:val="18"/>
                <w:szCs w:val="18"/>
              </w:rPr>
              <w:t>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lang w:val="en-US" w:eastAsia="zh-CN"/>
              </w:rPr>
              <w:t>6</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5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非洲猪瘟防控</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5</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开展“大消毒、大清洗”100次</w:t>
            </w:r>
            <w:r>
              <w:rPr>
                <w:rFonts w:hint="default" w:ascii="Times New Roman" w:hAnsi="Times New Roman" w:cs="Times New Roman" w:eastAsiaTheme="minorEastAsia"/>
                <w:color w:val="000000"/>
                <w:sz w:val="18"/>
                <w:szCs w:val="18"/>
              </w:rPr>
              <w:t>；开展非洲猪瘟排查</w:t>
            </w:r>
            <w:r>
              <w:rPr>
                <w:rFonts w:hint="default" w:ascii="Times New Roman" w:hAnsi="Times New Roman" w:cs="Times New Roman" w:eastAsiaTheme="minorEastAsia"/>
                <w:color w:val="000000"/>
                <w:sz w:val="18"/>
                <w:szCs w:val="18"/>
                <w:lang w:val="en-US" w:eastAsia="zh-CN"/>
              </w:rPr>
              <w:t>600次</w:t>
            </w:r>
            <w:r>
              <w:rPr>
                <w:rFonts w:hint="default" w:ascii="Times New Roman" w:hAnsi="Times New Roman" w:cs="Times New Roman" w:eastAsiaTheme="minorEastAsia"/>
                <w:color w:val="000000"/>
                <w:sz w:val="18"/>
                <w:szCs w:val="18"/>
                <w:lang w:eastAsia="zh-CN"/>
              </w:rPr>
              <w:t>；</w:t>
            </w:r>
            <w:r>
              <w:rPr>
                <w:rFonts w:hint="default" w:ascii="Times New Roman" w:hAnsi="Times New Roman" w:cs="Times New Roman" w:eastAsiaTheme="minorEastAsia"/>
                <w:color w:val="000000"/>
                <w:sz w:val="18"/>
                <w:szCs w:val="18"/>
                <w:lang w:val="en-US" w:eastAsia="zh-CN"/>
              </w:rPr>
              <w:t>工作</w:t>
            </w:r>
            <w:r>
              <w:rPr>
                <w:rFonts w:hint="default" w:ascii="Times New Roman" w:hAnsi="Times New Roman" w:cs="Times New Roman" w:eastAsiaTheme="minorEastAsia"/>
                <w:color w:val="000000"/>
                <w:sz w:val="18"/>
                <w:szCs w:val="18"/>
              </w:rPr>
              <w:t>完成率100%，得满分；未达到按实际完成情况得分。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指标分值=（实际完成额/计划完成额）×100%*指标标准分值。</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lang w:val="en-US" w:eastAsia="zh-CN"/>
              </w:rPr>
              <w:t>5</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3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5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畜牧水产发展经费</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5</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生猪出栏任务4万头</w:t>
            </w:r>
            <w:r>
              <w:rPr>
                <w:rFonts w:hint="default" w:ascii="Times New Roman" w:hAnsi="Times New Roman" w:cs="Times New Roman" w:eastAsiaTheme="minorEastAsia"/>
                <w:color w:val="000000"/>
                <w:sz w:val="18"/>
                <w:szCs w:val="18"/>
                <w:lang w:eastAsia="zh-CN"/>
              </w:rPr>
              <w:t>；</w:t>
            </w:r>
            <w:r>
              <w:rPr>
                <w:rFonts w:hint="default" w:ascii="Times New Roman" w:hAnsi="Times New Roman" w:cs="Times New Roman" w:eastAsiaTheme="minorEastAsia"/>
                <w:color w:val="000000"/>
                <w:sz w:val="18"/>
                <w:szCs w:val="18"/>
              </w:rPr>
              <w:t>出栏牛0.12万</w:t>
            </w:r>
            <w:r>
              <w:rPr>
                <w:rFonts w:hint="default" w:ascii="Times New Roman" w:hAnsi="Times New Roman" w:cs="Times New Roman" w:eastAsiaTheme="minorEastAsia"/>
                <w:color w:val="000000"/>
                <w:sz w:val="18"/>
                <w:szCs w:val="18"/>
                <w:lang w:eastAsia="zh-CN"/>
              </w:rPr>
              <w:t>头；</w:t>
            </w:r>
            <w:r>
              <w:rPr>
                <w:rFonts w:hint="default" w:ascii="Times New Roman" w:hAnsi="Times New Roman" w:cs="Times New Roman" w:eastAsiaTheme="minorEastAsia"/>
                <w:color w:val="000000"/>
                <w:sz w:val="18"/>
                <w:szCs w:val="18"/>
              </w:rPr>
              <w:t>出栏羊0.6万只</w:t>
            </w:r>
            <w:r>
              <w:rPr>
                <w:rFonts w:hint="default" w:ascii="Times New Roman" w:hAnsi="Times New Roman" w:cs="Times New Roman" w:eastAsiaTheme="minorEastAsia"/>
                <w:color w:val="000000"/>
                <w:sz w:val="18"/>
                <w:szCs w:val="18"/>
                <w:lang w:eastAsia="zh-CN"/>
              </w:rPr>
              <w:t>；开展瘦肉精检测900批次</w:t>
            </w:r>
            <w:r>
              <w:rPr>
                <w:rFonts w:hint="default" w:ascii="Times New Roman" w:hAnsi="Times New Roman" w:cs="Times New Roman" w:eastAsiaTheme="minorEastAsia"/>
                <w:color w:val="000000"/>
                <w:sz w:val="18"/>
                <w:szCs w:val="18"/>
              </w:rPr>
              <w:t>。</w:t>
            </w:r>
            <w:r>
              <w:rPr>
                <w:rFonts w:hint="default" w:ascii="Times New Roman" w:hAnsi="Times New Roman" w:cs="Times New Roman" w:eastAsiaTheme="minorEastAsia"/>
                <w:color w:val="000000"/>
                <w:sz w:val="18"/>
                <w:szCs w:val="18"/>
                <w:lang w:val="en-US" w:eastAsia="zh-CN"/>
              </w:rPr>
              <w:t>工作</w:t>
            </w:r>
            <w:r>
              <w:rPr>
                <w:rFonts w:hint="default" w:ascii="Times New Roman" w:hAnsi="Times New Roman" w:cs="Times New Roman" w:eastAsiaTheme="minorEastAsia"/>
                <w:color w:val="000000"/>
                <w:sz w:val="18"/>
                <w:szCs w:val="18"/>
              </w:rPr>
              <w:t>完成率100%，得满分；未达到按实际完成情况得分。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指标分值=（实际完成额/计划完成额）×100%*指标标准分值。</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lang w:val="en-US" w:eastAsia="zh-CN"/>
              </w:rPr>
              <w:t>5</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5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lang w:eastAsia="zh-CN"/>
              </w:rPr>
            </w:pPr>
            <w:r>
              <w:rPr>
                <w:rFonts w:hint="default" w:ascii="Times New Roman" w:hAnsi="Times New Roman" w:cs="Times New Roman" w:eastAsiaTheme="minorEastAsia"/>
                <w:color w:val="000000"/>
                <w:sz w:val="18"/>
                <w:szCs w:val="18"/>
                <w:lang w:val="en-US" w:eastAsia="zh-CN"/>
              </w:rPr>
              <w:t>重大疫情防控经费</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5</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全年动物产地检疫出证5000张、动物产品检疫出证3.2万张</w:t>
            </w:r>
            <w:r>
              <w:rPr>
                <w:rFonts w:hint="default" w:ascii="Times New Roman" w:hAnsi="Times New Roman" w:cs="Times New Roman" w:eastAsiaTheme="minorEastAsia"/>
                <w:color w:val="000000"/>
                <w:sz w:val="18"/>
                <w:szCs w:val="18"/>
                <w:lang w:eastAsia="zh-CN"/>
              </w:rPr>
              <w:t>；全年未发生</w:t>
            </w:r>
            <w:r>
              <w:rPr>
                <w:rFonts w:hint="default" w:ascii="Times New Roman" w:hAnsi="Times New Roman" w:cs="Times New Roman" w:eastAsiaTheme="minorEastAsia"/>
                <w:color w:val="000000"/>
                <w:sz w:val="18"/>
                <w:szCs w:val="18"/>
                <w:lang w:val="en-US" w:eastAsia="zh-CN"/>
              </w:rPr>
              <w:t>重大畜禽水产品质量安全事件与养殖业安全生产事故</w:t>
            </w:r>
            <w:r>
              <w:rPr>
                <w:rFonts w:hint="default" w:ascii="Times New Roman" w:hAnsi="Times New Roman" w:cs="Times New Roman" w:eastAsiaTheme="minorEastAsia"/>
                <w:color w:val="000000"/>
                <w:sz w:val="18"/>
                <w:szCs w:val="18"/>
              </w:rPr>
              <w:t>，得满分；未达到按实际完成情况得分</w:t>
            </w:r>
            <w:r>
              <w:rPr>
                <w:rFonts w:hint="default" w:ascii="Times New Roman" w:hAnsi="Times New Roman" w:cs="Times New Roman" w:eastAsiaTheme="minorEastAsia"/>
                <w:color w:val="000000"/>
                <w:sz w:val="18"/>
                <w:szCs w:val="18"/>
                <w:lang w:eastAsia="zh-CN"/>
              </w:rPr>
              <w:t>，</w:t>
            </w:r>
            <w:r>
              <w:rPr>
                <w:rFonts w:hint="default" w:ascii="Times New Roman" w:hAnsi="Times New Roman" w:cs="Times New Roman" w:eastAsiaTheme="minorEastAsia"/>
                <w:color w:val="000000"/>
                <w:sz w:val="18"/>
                <w:szCs w:val="18"/>
              </w:rPr>
              <w:t>指标分值=（实际完成额/计划完成额）×100%*指标标准分值。</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lang w:val="en-US" w:eastAsia="zh-CN"/>
              </w:rPr>
              <w:t>5</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5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工作完成</w:t>
            </w:r>
            <w:r>
              <w:rPr>
                <w:rFonts w:hint="default" w:ascii="Times New Roman" w:hAnsi="Times New Roman" w:cs="Times New Roman" w:eastAsiaTheme="minorEastAsia"/>
                <w:color w:val="000000"/>
                <w:sz w:val="18"/>
                <w:szCs w:val="18"/>
              </w:rPr>
              <w:t>及时性</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5</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在计划时间内</w:t>
            </w:r>
            <w:r>
              <w:rPr>
                <w:rFonts w:hint="default" w:ascii="Times New Roman" w:hAnsi="Times New Roman" w:cs="Times New Roman" w:eastAsiaTheme="minorEastAsia"/>
                <w:color w:val="000000"/>
                <w:sz w:val="18"/>
                <w:szCs w:val="18"/>
                <w:lang w:val="en-US" w:eastAsia="zh-CN"/>
              </w:rPr>
              <w:t>完成工作</w:t>
            </w:r>
            <w:r>
              <w:rPr>
                <w:rFonts w:hint="default" w:ascii="Times New Roman" w:hAnsi="Times New Roman" w:cs="Times New Roman" w:eastAsiaTheme="minorEastAsia"/>
                <w:color w:val="000000"/>
                <w:sz w:val="18"/>
                <w:szCs w:val="18"/>
              </w:rPr>
              <w:t>，得4分，未按时</w:t>
            </w:r>
            <w:r>
              <w:rPr>
                <w:rFonts w:hint="default" w:ascii="Times New Roman" w:hAnsi="Times New Roman" w:cs="Times New Roman" w:eastAsiaTheme="minorEastAsia"/>
                <w:color w:val="000000"/>
                <w:sz w:val="18"/>
                <w:szCs w:val="18"/>
                <w:lang w:val="en-US" w:eastAsia="zh-CN"/>
              </w:rPr>
              <w:t>完成</w:t>
            </w:r>
            <w:r>
              <w:rPr>
                <w:rFonts w:hint="default" w:ascii="Times New Roman" w:hAnsi="Times New Roman" w:cs="Times New Roman" w:eastAsiaTheme="minorEastAsia"/>
                <w:color w:val="000000"/>
                <w:sz w:val="18"/>
                <w:szCs w:val="18"/>
              </w:rPr>
              <w:t>，根据</w:t>
            </w:r>
            <w:r>
              <w:rPr>
                <w:rFonts w:hint="default" w:ascii="Times New Roman" w:hAnsi="Times New Roman" w:cs="Times New Roman" w:eastAsiaTheme="minorEastAsia"/>
                <w:color w:val="000000"/>
                <w:sz w:val="18"/>
                <w:szCs w:val="18"/>
                <w:lang w:val="en-US" w:eastAsia="zh-CN"/>
              </w:rPr>
              <w:t>完成</w:t>
            </w:r>
            <w:r>
              <w:rPr>
                <w:rFonts w:hint="default" w:ascii="Times New Roman" w:hAnsi="Times New Roman" w:cs="Times New Roman" w:eastAsiaTheme="minorEastAsia"/>
                <w:color w:val="000000"/>
                <w:sz w:val="18"/>
                <w:szCs w:val="18"/>
              </w:rPr>
              <w:t>时间酌情扣分。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lang w:val="en-US" w:eastAsia="zh-CN"/>
              </w:rPr>
              <w:t>5</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5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各项工作</w:t>
            </w:r>
            <w:r>
              <w:rPr>
                <w:rFonts w:hint="default" w:ascii="Times New Roman" w:hAnsi="Times New Roman" w:cs="Times New Roman" w:eastAsiaTheme="minorEastAsia"/>
                <w:color w:val="000000"/>
                <w:sz w:val="18"/>
                <w:szCs w:val="18"/>
              </w:rPr>
              <w:t>成本节约率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4</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成本节约率=[（计划成本-实际成本）/计划成本]×100%。成本节约率10%（不含）以上，得4分；成本节约率5%（不含）-10%（含）得3分，成本节约率5%（含）以下得2分。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lang w:val="en-US" w:eastAsia="zh-CN"/>
              </w:rPr>
              <w:t>4</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效果</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w:t>
            </w:r>
            <w:r>
              <w:rPr>
                <w:rFonts w:hint="default" w:ascii="Times New Roman" w:hAnsi="Times New Roman" w:cs="Times New Roman" w:eastAsiaTheme="minorEastAsia"/>
                <w:color w:val="000000"/>
                <w:sz w:val="18"/>
                <w:szCs w:val="18"/>
                <w:lang w:val="en-US" w:eastAsia="zh-CN"/>
              </w:rPr>
              <w:t>30</w:t>
            </w:r>
            <w:r>
              <w:rPr>
                <w:rFonts w:hint="default" w:ascii="Times New Roman" w:hAnsi="Times New Roman" w:cs="Times New Roman" w:eastAsiaTheme="minorEastAsia"/>
                <w:color w:val="000000"/>
                <w:sz w:val="18"/>
                <w:szCs w:val="18"/>
              </w:rPr>
              <w:t>分）</w:t>
            </w: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职责效益（</w:t>
            </w:r>
            <w:r>
              <w:rPr>
                <w:rFonts w:hint="default" w:ascii="Times New Roman" w:hAnsi="Times New Roman" w:cs="Times New Roman" w:eastAsiaTheme="minorEastAsia"/>
                <w:color w:val="000000"/>
                <w:sz w:val="18"/>
                <w:szCs w:val="18"/>
                <w:lang w:val="en-US" w:eastAsia="zh-CN"/>
              </w:rPr>
              <w:t>30</w:t>
            </w:r>
            <w:r>
              <w:rPr>
                <w:rFonts w:hint="default" w:ascii="Times New Roman" w:hAnsi="Times New Roman" w:cs="Times New Roman" w:eastAsiaTheme="minorEastAsia"/>
                <w:color w:val="000000"/>
                <w:sz w:val="18"/>
                <w:szCs w:val="18"/>
              </w:rPr>
              <w:t>分）</w:t>
            </w:r>
          </w:p>
        </w:tc>
        <w:tc>
          <w:tcPr>
            <w:tcW w:w="5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可持续影响</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10</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考核单位工作的开展是否能降能节耗，制止资源浪费，有效利用资源，节约财政资金，提升服务质量，</w:t>
            </w:r>
            <w:r>
              <w:rPr>
                <w:rFonts w:hint="default" w:ascii="Times New Roman" w:hAnsi="Times New Roman" w:cs="Times New Roman" w:eastAsiaTheme="minorEastAsia"/>
                <w:color w:val="000000"/>
                <w:sz w:val="18"/>
                <w:szCs w:val="18"/>
              </w:rPr>
              <w:t>根据问卷调查统计结果，</w:t>
            </w:r>
            <w:r>
              <w:rPr>
                <w:rFonts w:hint="default" w:ascii="Times New Roman" w:hAnsi="Times New Roman" w:cs="Times New Roman" w:eastAsiaTheme="minorEastAsia"/>
                <w:color w:val="000000"/>
                <w:sz w:val="18"/>
                <w:szCs w:val="18"/>
                <w:lang w:val="en-US" w:eastAsia="zh-CN"/>
              </w:rPr>
              <w:t>结合单位工作开展情况</w:t>
            </w:r>
            <w:r>
              <w:rPr>
                <w:rFonts w:hint="default" w:ascii="Times New Roman" w:hAnsi="Times New Roman" w:cs="Times New Roman" w:eastAsiaTheme="minorEastAsia"/>
                <w:color w:val="000000"/>
                <w:sz w:val="18"/>
                <w:szCs w:val="18"/>
              </w:rPr>
              <w:t>，90%的</w:t>
            </w:r>
            <w:r>
              <w:rPr>
                <w:rFonts w:hint="default" w:ascii="Times New Roman" w:hAnsi="Times New Roman" w:cs="Times New Roman" w:eastAsiaTheme="minorEastAsia"/>
                <w:color w:val="000000"/>
                <w:sz w:val="18"/>
                <w:szCs w:val="18"/>
                <w:lang w:val="en-US" w:eastAsia="zh-CN"/>
              </w:rPr>
              <w:t>受益</w:t>
            </w:r>
            <w:r>
              <w:rPr>
                <w:rFonts w:hint="default" w:ascii="Times New Roman" w:hAnsi="Times New Roman" w:cs="Times New Roman" w:eastAsiaTheme="minorEastAsia"/>
                <w:color w:val="000000"/>
                <w:sz w:val="18"/>
                <w:szCs w:val="18"/>
              </w:rPr>
              <w:t>群众觉得效果显著得</w:t>
            </w:r>
            <w:r>
              <w:rPr>
                <w:rFonts w:hint="default" w:ascii="Times New Roman" w:hAnsi="Times New Roman" w:cs="Times New Roman" w:eastAsiaTheme="minorEastAsia"/>
                <w:color w:val="000000"/>
                <w:sz w:val="18"/>
                <w:szCs w:val="18"/>
                <w:lang w:val="en-US" w:eastAsia="zh-CN"/>
              </w:rPr>
              <w:t>10</w:t>
            </w:r>
            <w:r>
              <w:rPr>
                <w:rFonts w:hint="default" w:ascii="Times New Roman" w:hAnsi="Times New Roman" w:cs="Times New Roman" w:eastAsiaTheme="minorEastAsia"/>
                <w:color w:val="000000"/>
                <w:sz w:val="18"/>
                <w:szCs w:val="18"/>
              </w:rPr>
              <w:t>分。则每下降5%，扣1分，扣完为止。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lang w:val="en-US" w:eastAsia="zh-CN"/>
              </w:rPr>
              <w:t>10</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5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社会效益</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10</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考核单位工作的开展是否能显著优化环境提升全区形象，</w:t>
            </w:r>
            <w:r>
              <w:rPr>
                <w:rFonts w:hint="default" w:ascii="Times New Roman" w:hAnsi="Times New Roman" w:cs="Times New Roman" w:eastAsiaTheme="minorEastAsia"/>
                <w:color w:val="000000"/>
                <w:sz w:val="18"/>
                <w:szCs w:val="18"/>
              </w:rPr>
              <w:t>根据问卷调查统计结果，</w:t>
            </w:r>
            <w:r>
              <w:rPr>
                <w:rFonts w:hint="default" w:ascii="Times New Roman" w:hAnsi="Times New Roman" w:cs="Times New Roman" w:eastAsiaTheme="minorEastAsia"/>
                <w:color w:val="000000"/>
                <w:sz w:val="18"/>
                <w:szCs w:val="18"/>
                <w:lang w:val="en-US" w:eastAsia="zh-CN"/>
              </w:rPr>
              <w:t>结合单位工作开展情况</w:t>
            </w:r>
            <w:r>
              <w:rPr>
                <w:rFonts w:hint="default" w:ascii="Times New Roman" w:hAnsi="Times New Roman" w:cs="Times New Roman" w:eastAsiaTheme="minorEastAsia"/>
                <w:color w:val="000000"/>
                <w:sz w:val="18"/>
                <w:szCs w:val="18"/>
              </w:rPr>
              <w:t>，90%的群众觉得效果显著得</w:t>
            </w:r>
            <w:r>
              <w:rPr>
                <w:rFonts w:hint="default" w:ascii="Times New Roman" w:hAnsi="Times New Roman" w:cs="Times New Roman" w:eastAsiaTheme="minorEastAsia"/>
                <w:color w:val="000000"/>
                <w:sz w:val="18"/>
                <w:szCs w:val="18"/>
                <w:lang w:val="en-US" w:eastAsia="zh-CN"/>
              </w:rPr>
              <w:t>10</w:t>
            </w:r>
            <w:r>
              <w:rPr>
                <w:rFonts w:hint="default" w:ascii="Times New Roman" w:hAnsi="Times New Roman" w:cs="Times New Roman" w:eastAsiaTheme="minorEastAsia"/>
                <w:color w:val="000000"/>
                <w:sz w:val="18"/>
                <w:szCs w:val="18"/>
              </w:rPr>
              <w:t>分。则每下降5%，扣1分，扣完为止。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lang w:val="en-US" w:eastAsia="zh-CN"/>
              </w:rPr>
              <w:t>10</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5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单位职工</w:t>
            </w:r>
            <w:r>
              <w:rPr>
                <w:rFonts w:hint="default" w:ascii="Times New Roman" w:hAnsi="Times New Roman" w:cs="Times New Roman" w:eastAsiaTheme="minorEastAsia"/>
                <w:color w:val="000000"/>
                <w:sz w:val="18"/>
                <w:szCs w:val="18"/>
                <w:lang w:val="en-US" w:eastAsia="zh-CN"/>
              </w:rPr>
              <w:t>及受益群众</w:t>
            </w:r>
            <w:r>
              <w:rPr>
                <w:rFonts w:hint="default" w:ascii="Times New Roman" w:hAnsi="Times New Roman" w:cs="Times New Roman" w:eastAsiaTheme="minorEastAsia"/>
                <w:color w:val="000000"/>
                <w:sz w:val="18"/>
                <w:szCs w:val="18"/>
              </w:rPr>
              <w:t>满意度</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10</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以调查问卷为依据。</w:t>
            </w:r>
            <w:r>
              <w:rPr>
                <w:rFonts w:hint="default" w:ascii="Times New Roman" w:hAnsi="Times New Roman" w:cs="Times New Roman" w:eastAsiaTheme="minorEastAsia"/>
                <w:color w:val="000000"/>
                <w:sz w:val="18"/>
                <w:szCs w:val="18"/>
                <w:lang w:val="en-US" w:eastAsia="zh-CN"/>
              </w:rPr>
              <w:t>单位职工及受益对象</w:t>
            </w:r>
            <w:r>
              <w:rPr>
                <w:rFonts w:hint="default" w:ascii="Times New Roman" w:hAnsi="Times New Roman" w:cs="Times New Roman" w:eastAsiaTheme="minorEastAsia"/>
                <w:color w:val="000000"/>
                <w:sz w:val="18"/>
                <w:szCs w:val="18"/>
              </w:rPr>
              <w:t>满意度≥95%计</w:t>
            </w:r>
            <w:r>
              <w:rPr>
                <w:rFonts w:hint="eastAsia" w:cs="Times New Roman" w:eastAsiaTheme="minorEastAsia"/>
                <w:color w:val="000000"/>
                <w:sz w:val="18"/>
                <w:szCs w:val="18"/>
                <w:lang w:val="en-US" w:eastAsia="zh-CN"/>
              </w:rPr>
              <w:t>10</w:t>
            </w:r>
            <w:r>
              <w:rPr>
                <w:rFonts w:hint="default" w:ascii="Times New Roman" w:hAnsi="Times New Roman" w:cs="Times New Roman" w:eastAsiaTheme="minorEastAsia"/>
                <w:color w:val="000000"/>
                <w:sz w:val="18"/>
                <w:szCs w:val="18"/>
              </w:rPr>
              <w:t>分：每低5%扣1分。满意度＜75%计0分。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lang w:val="en-US" w:eastAsia="zh-CN"/>
              </w:rPr>
              <w:t>10</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合计</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100</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　</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90</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p>
        </w:tc>
      </w:tr>
    </w:tbl>
    <w:p>
      <w:pPr>
        <w:rPr>
          <w:rFonts w:hint="default" w:ascii="Times New Roman" w:hAnsi="Times New Roman" w:cs="Times New Roman"/>
        </w:rPr>
        <w:sectPr>
          <w:headerReference r:id="rId8" w:type="default"/>
          <w:footerReference r:id="rId9" w:type="default"/>
          <w:pgSz w:w="16838" w:h="11906" w:orient="landscape"/>
          <w:pgMar w:top="1389" w:right="986" w:bottom="1389" w:left="986" w:header="567"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ind w:left="0" w:leftChars="0" w:firstLine="0" w:firstLineChars="0"/>
        <w:jc w:val="both"/>
        <w:rPr>
          <w:rFonts w:hint="default" w:ascii="Times New Roman" w:hAnsi="Times New Roman" w:eastAsia="方正小标宋_GBK" w:cs="Times New Roman"/>
          <w:lang w:val="en-US" w:eastAsia="zh-CN"/>
        </w:rPr>
      </w:pPr>
      <w:r>
        <w:rPr>
          <w:rFonts w:hint="default" w:ascii="Times New Roman" w:hAnsi="Times New Roman" w:eastAsia="仿宋" w:cs="Times New Roman"/>
          <w:lang w:val="en-US" w:eastAsia="zh-CN"/>
        </w:rPr>
        <w:t xml:space="preserve">附件2：  </w:t>
      </w:r>
      <w:r>
        <w:rPr>
          <w:rFonts w:hint="default" w:ascii="Times New Roman" w:hAnsi="Times New Roman" w:eastAsia="方正小标宋_GBK" w:cs="Times New Roman"/>
          <w:lang w:val="en-US" w:eastAsia="zh-CN"/>
        </w:rPr>
        <w:t xml:space="preserve">    </w:t>
      </w:r>
    </w:p>
    <w:p>
      <w:pPr>
        <w:ind w:left="0" w:leftChars="0" w:firstLine="1920" w:firstLineChars="600"/>
        <w:jc w:val="both"/>
        <w:rPr>
          <w:rFonts w:hint="default" w:ascii="Times New Roman" w:hAnsi="Times New Roman" w:eastAsia="方正小标宋_GBK" w:cs="Times New Roman"/>
          <w:lang w:val="en-US" w:eastAsia="zh-CN"/>
        </w:rPr>
      </w:pPr>
      <w:r>
        <w:rPr>
          <w:rFonts w:hint="default" w:ascii="Times New Roman" w:hAnsi="Times New Roman" w:eastAsia="方正小标宋_GBK" w:cs="Times New Roman"/>
          <w:lang w:val="en-US" w:eastAsia="zh-CN"/>
        </w:rPr>
        <w:t>部门整体支出绩效评价基础数据表</w:t>
      </w:r>
    </w:p>
    <w:tbl>
      <w:tblPr>
        <w:tblStyle w:val="19"/>
        <w:tblW w:w="9111" w:type="dxa"/>
        <w:jc w:val="center"/>
        <w:tblLayout w:type="fixed"/>
        <w:tblCellMar>
          <w:top w:w="0" w:type="dxa"/>
          <w:left w:w="108" w:type="dxa"/>
          <w:bottom w:w="0" w:type="dxa"/>
          <w:right w:w="108" w:type="dxa"/>
        </w:tblCellMar>
      </w:tblPr>
      <w:tblGrid>
        <w:gridCol w:w="3354"/>
        <w:gridCol w:w="1709"/>
        <w:gridCol w:w="5"/>
        <w:gridCol w:w="5"/>
        <w:gridCol w:w="2319"/>
        <w:gridCol w:w="1719"/>
      </w:tblGrid>
      <w:tr>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财政供养人员情况</w:t>
            </w:r>
          </w:p>
        </w:tc>
        <w:tc>
          <w:tcPr>
            <w:tcW w:w="17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编制数</w:t>
            </w:r>
          </w:p>
        </w:tc>
        <w:tc>
          <w:tcPr>
            <w:tcW w:w="232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年末实际在职人数</w:t>
            </w:r>
          </w:p>
        </w:tc>
        <w:tc>
          <w:tcPr>
            <w:tcW w:w="17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控制率</w:t>
            </w:r>
          </w:p>
        </w:tc>
      </w:tr>
      <w:tr>
        <w:tblPrEx>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7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13</w:t>
            </w:r>
          </w:p>
        </w:tc>
        <w:tc>
          <w:tcPr>
            <w:tcW w:w="232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11</w:t>
            </w:r>
          </w:p>
        </w:tc>
        <w:tc>
          <w:tcPr>
            <w:tcW w:w="17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84.6%</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经费控制情况</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当年决算数</w:t>
            </w: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当年预算数</w:t>
            </w: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上年决算数</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一、部门基本支出</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256.38万</w:t>
            </w: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143.95万</w:t>
            </w: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318.13万</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其中： 1、压缩一般性支出</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2、三公经费</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公务用车购置和维护经费</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其中：公车购置</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公车运行维护</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公务接待</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出国（境）经费</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二、部门项目支出</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92.69万</w:t>
            </w: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30万</w:t>
            </w: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126.45万</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1、业务工作专项</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文化旅游体育与传媒支出</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节能环保支出</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农林水支出</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72.69万</w:t>
            </w: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商业服务业等支出</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灾害防治及应急管理支出</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其他支出</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2、运行维护专项</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一般公共服务支出</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20万</w:t>
            </w: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社会保障和就业支出</w:t>
            </w:r>
          </w:p>
        </w:tc>
        <w:tc>
          <w:tcPr>
            <w:tcW w:w="17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232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71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城乡社区支出</w:t>
            </w:r>
          </w:p>
        </w:tc>
        <w:tc>
          <w:tcPr>
            <w:tcW w:w="171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232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71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r>
      <w:tr>
        <w:tblPrEx>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政府采购金额</w:t>
            </w:r>
          </w:p>
        </w:tc>
        <w:tc>
          <w:tcPr>
            <w:tcW w:w="17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23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71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r>
      <w:tr>
        <w:tblPrEx>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厉行节约保障措施</w:t>
            </w:r>
          </w:p>
        </w:tc>
        <w:tc>
          <w:tcPr>
            <w:tcW w:w="5757"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严格控制三公经费支出　　</w:t>
            </w:r>
          </w:p>
        </w:tc>
      </w:tr>
    </w:tbl>
    <w:p>
      <w:pPr>
        <w:ind w:left="0" w:leftChars="0" w:firstLine="0" w:firstLineChars="0"/>
        <w:jc w:val="both"/>
        <w:rPr>
          <w:rFonts w:hint="default" w:ascii="Times New Roman" w:hAnsi="Times New Roman" w:eastAsia="方正小标宋_GBK" w:cs="Times New Roman"/>
          <w:lang w:val="en-US" w:eastAsia="zh-CN"/>
        </w:rPr>
      </w:pPr>
    </w:p>
    <w:p>
      <w:pPr>
        <w:ind w:left="0" w:leftChars="0" w:firstLine="0" w:firstLineChars="0"/>
        <w:jc w:val="both"/>
        <w:rPr>
          <w:rFonts w:hint="default" w:ascii="Times New Roman" w:hAnsi="Times New Roman" w:eastAsia="方正小标宋_GBK" w:cs="Times New Roman"/>
          <w:lang w:val="en-US" w:eastAsia="zh-CN"/>
        </w:rPr>
      </w:pPr>
    </w:p>
    <w:p>
      <w:pPr>
        <w:ind w:left="0" w:leftChars="0" w:firstLine="0" w:firstLineChars="0"/>
        <w:jc w:val="both"/>
        <w:rPr>
          <w:rFonts w:hint="default" w:ascii="Times New Roman" w:hAnsi="Times New Roman" w:eastAsia="方正小标宋_GBK" w:cs="Times New Roman"/>
          <w:lang w:val="en-US" w:eastAsia="zh-CN"/>
        </w:rPr>
      </w:pPr>
    </w:p>
    <w:p>
      <w:pPr>
        <w:keepNext w:val="0"/>
        <w:keepLines w:val="0"/>
        <w:pageBreakBefore w:val="0"/>
        <w:widowControl/>
        <w:kinsoku/>
        <w:overflowPunct/>
        <w:topLinePunct w:val="0"/>
        <w:autoSpaceDE/>
        <w:autoSpaceDN/>
        <w:bidi w:val="0"/>
        <w:adjustRightInd/>
        <w:snapToGrid/>
        <w:spacing w:line="640" w:lineRule="exact"/>
        <w:ind w:left="0" w:leftChars="0" w:firstLine="0" w:firstLineChars="0"/>
        <w:jc w:val="both"/>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 xml:space="preserve">附件3： </w:t>
      </w:r>
    </w:p>
    <w:p>
      <w:pPr>
        <w:keepNext w:val="0"/>
        <w:keepLines w:val="0"/>
        <w:pageBreakBefore w:val="0"/>
        <w:widowControl/>
        <w:kinsoku/>
        <w:overflowPunct/>
        <w:topLinePunct w:val="0"/>
        <w:autoSpaceDE/>
        <w:autoSpaceDN/>
        <w:bidi w:val="0"/>
        <w:adjustRightInd/>
        <w:snapToGrid/>
        <w:spacing w:line="640" w:lineRule="exact"/>
        <w:jc w:val="center"/>
        <w:rPr>
          <w:rFonts w:hint="default" w:ascii="Times New Roman Regular" w:hAnsi="Times New Roman Regular" w:eastAsia="方正小标宋_GBK" w:cs="Times New Roman Regular"/>
          <w:color w:val="000000"/>
          <w:kern w:val="0"/>
          <w:sz w:val="32"/>
          <w:szCs w:val="32"/>
          <w:lang w:val="en-US" w:eastAsia="zh-CN"/>
        </w:rPr>
      </w:pPr>
      <w:r>
        <w:rPr>
          <w:rFonts w:hint="default" w:ascii="Times New Roman Regular" w:hAnsi="Times New Roman Regular" w:eastAsia="方正小标宋_GBK" w:cs="Times New Roman Regular"/>
          <w:color w:val="000000"/>
          <w:kern w:val="0"/>
          <w:sz w:val="32"/>
          <w:szCs w:val="32"/>
          <w:lang w:val="en-US" w:eastAsia="zh-CN"/>
        </w:rPr>
        <w:t>部门整体支出绩效自评表</w:t>
      </w:r>
    </w:p>
    <w:tbl>
      <w:tblPr>
        <w:tblStyle w:val="19"/>
        <w:tblW w:w="99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108" w:type="dxa"/>
        </w:tblCellMar>
      </w:tblPr>
      <w:tblGrid>
        <w:gridCol w:w="613"/>
        <w:gridCol w:w="902"/>
        <w:gridCol w:w="1052"/>
        <w:gridCol w:w="1009"/>
        <w:gridCol w:w="1699"/>
        <w:gridCol w:w="1525"/>
        <w:gridCol w:w="1470"/>
        <w:gridCol w:w="734"/>
        <w:gridCol w:w="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08" w:type="dxa"/>
          </w:tblCellMar>
        </w:tblPrEx>
        <w:trPr>
          <w:trHeight w:val="397" w:hRule="atLeast"/>
          <w:jc w:val="center"/>
        </w:trPr>
        <w:tc>
          <w:tcPr>
            <w:tcW w:w="613" w:type="dxa"/>
            <w:vMerge w:val="restart"/>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部门资金（万元）</w:t>
            </w:r>
          </w:p>
        </w:tc>
        <w:tc>
          <w:tcPr>
            <w:tcW w:w="296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16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全年预算数</w:t>
            </w:r>
          </w:p>
        </w:tc>
        <w:tc>
          <w:tcPr>
            <w:tcW w:w="1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全年执行数</w:t>
            </w:r>
          </w:p>
        </w:tc>
        <w:tc>
          <w:tcPr>
            <w:tcW w:w="14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预算执行率</w:t>
            </w:r>
          </w:p>
        </w:tc>
        <w:tc>
          <w:tcPr>
            <w:tcW w:w="7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分值</w:t>
            </w:r>
          </w:p>
        </w:tc>
        <w:tc>
          <w:tcPr>
            <w:tcW w:w="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08" w:type="dxa"/>
          </w:tblCellMar>
        </w:tblPrEx>
        <w:trPr>
          <w:trHeight w:val="397" w:hRule="atLeast"/>
          <w:jc w:val="center"/>
        </w:trPr>
        <w:tc>
          <w:tcPr>
            <w:tcW w:w="613" w:type="dxa"/>
            <w:vMerge w:val="continue"/>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296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年度资金总额</w:t>
            </w:r>
          </w:p>
        </w:tc>
        <w:tc>
          <w:tcPr>
            <w:tcW w:w="16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173.95万元</w:t>
            </w:r>
          </w:p>
        </w:tc>
        <w:tc>
          <w:tcPr>
            <w:tcW w:w="1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256.38万元</w:t>
            </w:r>
          </w:p>
        </w:tc>
        <w:tc>
          <w:tcPr>
            <w:tcW w:w="14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147.38%</w:t>
            </w:r>
          </w:p>
        </w:tc>
        <w:tc>
          <w:tcPr>
            <w:tcW w:w="7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w:t>
            </w:r>
          </w:p>
        </w:tc>
        <w:tc>
          <w:tcPr>
            <w:tcW w:w="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08" w:type="dxa"/>
          </w:tblCellMar>
        </w:tblPrEx>
        <w:trPr>
          <w:trHeight w:val="397" w:hRule="atLeast"/>
          <w:jc w:val="center"/>
        </w:trPr>
        <w:tc>
          <w:tcPr>
            <w:tcW w:w="613" w:type="dxa"/>
            <w:vMerge w:val="continue"/>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466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按收入性质分类</w:t>
            </w:r>
          </w:p>
        </w:tc>
        <w:tc>
          <w:tcPr>
            <w:tcW w:w="466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按支出性质分类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08" w:type="dxa"/>
          </w:tblCellMar>
        </w:tblPrEx>
        <w:trPr>
          <w:trHeight w:val="397" w:hRule="atLeast"/>
          <w:jc w:val="center"/>
        </w:trPr>
        <w:tc>
          <w:tcPr>
            <w:tcW w:w="613" w:type="dxa"/>
            <w:vMerge w:val="continue"/>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296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一般公共预算拨款</w:t>
            </w:r>
          </w:p>
        </w:tc>
        <w:tc>
          <w:tcPr>
            <w:tcW w:w="16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344.06万元</w:t>
            </w:r>
          </w:p>
        </w:tc>
        <w:tc>
          <w:tcPr>
            <w:tcW w:w="299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基本支出</w:t>
            </w:r>
          </w:p>
        </w:tc>
        <w:tc>
          <w:tcPr>
            <w:tcW w:w="166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25.638万元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08" w:type="dxa"/>
          </w:tblCellMar>
        </w:tblPrEx>
        <w:trPr>
          <w:trHeight w:val="397" w:hRule="atLeast"/>
          <w:jc w:val="center"/>
        </w:trPr>
        <w:tc>
          <w:tcPr>
            <w:tcW w:w="613" w:type="dxa"/>
            <w:vMerge w:val="continue"/>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296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政府性基金拨款</w:t>
            </w:r>
          </w:p>
        </w:tc>
        <w:tc>
          <w:tcPr>
            <w:tcW w:w="16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w:t>
            </w:r>
          </w:p>
        </w:tc>
        <w:tc>
          <w:tcPr>
            <w:tcW w:w="299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1.人员经费</w:t>
            </w:r>
          </w:p>
        </w:tc>
        <w:tc>
          <w:tcPr>
            <w:tcW w:w="166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177.56万元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08" w:type="dxa"/>
          </w:tblCellMar>
        </w:tblPrEx>
        <w:trPr>
          <w:trHeight w:val="397" w:hRule="atLeast"/>
          <w:jc w:val="center"/>
        </w:trPr>
        <w:tc>
          <w:tcPr>
            <w:tcW w:w="613" w:type="dxa"/>
            <w:vMerge w:val="continue"/>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296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纳入管理的非税收入拨款</w:t>
            </w:r>
          </w:p>
        </w:tc>
        <w:tc>
          <w:tcPr>
            <w:tcW w:w="16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w:t>
            </w:r>
          </w:p>
        </w:tc>
        <w:tc>
          <w:tcPr>
            <w:tcW w:w="299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2.公用经费</w:t>
            </w:r>
          </w:p>
        </w:tc>
        <w:tc>
          <w:tcPr>
            <w:tcW w:w="166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74.97万元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08" w:type="dxa"/>
          </w:tblCellMar>
        </w:tblPrEx>
        <w:trPr>
          <w:trHeight w:val="397" w:hRule="atLeast"/>
          <w:jc w:val="center"/>
        </w:trPr>
        <w:tc>
          <w:tcPr>
            <w:tcW w:w="613" w:type="dxa"/>
            <w:vMerge w:val="continue"/>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296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……拨款</w:t>
            </w:r>
          </w:p>
        </w:tc>
        <w:tc>
          <w:tcPr>
            <w:tcW w:w="16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w:t>
            </w:r>
          </w:p>
        </w:tc>
        <w:tc>
          <w:tcPr>
            <w:tcW w:w="299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其中：三公经费</w:t>
            </w:r>
          </w:p>
        </w:tc>
        <w:tc>
          <w:tcPr>
            <w:tcW w:w="166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08" w:type="dxa"/>
          </w:tblCellMar>
        </w:tblPrEx>
        <w:trPr>
          <w:trHeight w:val="397" w:hRule="atLeast"/>
          <w:jc w:val="center"/>
        </w:trPr>
        <w:tc>
          <w:tcPr>
            <w:tcW w:w="613" w:type="dxa"/>
            <w:vMerge w:val="continue"/>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296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其他资金</w:t>
            </w:r>
          </w:p>
        </w:tc>
        <w:tc>
          <w:tcPr>
            <w:tcW w:w="16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w:t>
            </w:r>
          </w:p>
        </w:tc>
        <w:tc>
          <w:tcPr>
            <w:tcW w:w="299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项目支出</w:t>
            </w:r>
          </w:p>
        </w:tc>
        <w:tc>
          <w:tcPr>
            <w:tcW w:w="166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92.69万元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08" w:type="dxa"/>
          </w:tblCellMar>
        </w:tblPrEx>
        <w:trPr>
          <w:trHeight w:val="397" w:hRule="atLeast"/>
          <w:jc w:val="center"/>
        </w:trPr>
        <w:tc>
          <w:tcPr>
            <w:tcW w:w="613" w:type="dxa"/>
            <w:vMerge w:val="restart"/>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年度总体目标</w:t>
            </w:r>
          </w:p>
        </w:tc>
        <w:tc>
          <w:tcPr>
            <w:tcW w:w="466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年初预期（设定）目标</w:t>
            </w:r>
          </w:p>
        </w:tc>
        <w:tc>
          <w:tcPr>
            <w:tcW w:w="466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全年实际完成情况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08" w:type="dxa"/>
          </w:tblCellMar>
        </w:tblPrEx>
        <w:trPr>
          <w:trHeight w:val="397" w:hRule="atLeast"/>
          <w:jc w:val="center"/>
        </w:trPr>
        <w:tc>
          <w:tcPr>
            <w:tcW w:w="613" w:type="dxa"/>
            <w:vMerge w:val="continue"/>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466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在本年度收支预算内，确保完成以下整体目标：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目标1：人员经费按照相关政策及时发放到位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目标2：严格控制三公经费，确保机关正常运行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目标3：做好社会保障工作</w:t>
            </w:r>
          </w:p>
        </w:tc>
        <w:tc>
          <w:tcPr>
            <w:tcW w:w="466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按照财政预算，严控三公经费，2022年本单位正常运行，人员相关经费按照政策及时发放到位。民生支出及时到位，本乡经济平稳发展。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08" w:type="dxa"/>
          </w:tblCellMar>
        </w:tblPrEx>
        <w:trPr>
          <w:trHeight w:val="397" w:hRule="exact"/>
          <w:jc w:val="center"/>
        </w:trPr>
        <w:tc>
          <w:tcPr>
            <w:tcW w:w="613" w:type="dxa"/>
            <w:vMerge w:val="restart"/>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绩效指标</w:t>
            </w:r>
          </w:p>
        </w:tc>
        <w:tc>
          <w:tcPr>
            <w:tcW w:w="90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一级</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指标</w:t>
            </w:r>
          </w:p>
        </w:tc>
        <w:tc>
          <w:tcPr>
            <w:tcW w:w="10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二级指标</w:t>
            </w:r>
          </w:p>
        </w:tc>
        <w:tc>
          <w:tcPr>
            <w:tcW w:w="270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三级指标</w:t>
            </w:r>
          </w:p>
        </w:tc>
        <w:tc>
          <w:tcPr>
            <w:tcW w:w="1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年度指标值</w:t>
            </w:r>
          </w:p>
        </w:tc>
        <w:tc>
          <w:tcPr>
            <w:tcW w:w="14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实际完成值</w:t>
            </w:r>
          </w:p>
        </w:tc>
        <w:tc>
          <w:tcPr>
            <w:tcW w:w="7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分值</w:t>
            </w:r>
          </w:p>
        </w:tc>
        <w:tc>
          <w:tcPr>
            <w:tcW w:w="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08" w:type="dxa"/>
          </w:tblCellMar>
        </w:tblPrEx>
        <w:trPr>
          <w:trHeight w:val="397" w:hRule="exact"/>
          <w:jc w:val="center"/>
        </w:trPr>
        <w:tc>
          <w:tcPr>
            <w:tcW w:w="61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90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产出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指标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（50分）</w:t>
            </w:r>
          </w:p>
        </w:tc>
        <w:tc>
          <w:tcPr>
            <w:tcW w:w="105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数量指标</w:t>
            </w:r>
          </w:p>
        </w:tc>
        <w:tc>
          <w:tcPr>
            <w:tcW w:w="270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动物防疫数、检疫数</w:t>
            </w:r>
          </w:p>
        </w:tc>
        <w:tc>
          <w:tcPr>
            <w:tcW w:w="1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100%</w:t>
            </w:r>
          </w:p>
        </w:tc>
        <w:tc>
          <w:tcPr>
            <w:tcW w:w="14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100%</w:t>
            </w:r>
          </w:p>
        </w:tc>
        <w:tc>
          <w:tcPr>
            <w:tcW w:w="7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w:t>
            </w:r>
          </w:p>
        </w:tc>
        <w:tc>
          <w:tcPr>
            <w:tcW w:w="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08" w:type="dxa"/>
          </w:tblCellMar>
        </w:tblPrEx>
        <w:trPr>
          <w:trHeight w:val="397" w:hRule="exact"/>
          <w:jc w:val="center"/>
        </w:trPr>
        <w:tc>
          <w:tcPr>
            <w:tcW w:w="61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90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105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270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畜禽水产品质量安全</w:t>
            </w:r>
          </w:p>
        </w:tc>
        <w:tc>
          <w:tcPr>
            <w:tcW w:w="1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100%</w:t>
            </w:r>
          </w:p>
        </w:tc>
        <w:tc>
          <w:tcPr>
            <w:tcW w:w="14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100%</w:t>
            </w:r>
          </w:p>
        </w:tc>
        <w:tc>
          <w:tcPr>
            <w:tcW w:w="7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w:t>
            </w:r>
          </w:p>
        </w:tc>
        <w:tc>
          <w:tcPr>
            <w:tcW w:w="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08" w:type="dxa"/>
          </w:tblCellMar>
        </w:tblPrEx>
        <w:trPr>
          <w:trHeight w:val="397" w:hRule="exact"/>
          <w:jc w:val="center"/>
        </w:trPr>
        <w:tc>
          <w:tcPr>
            <w:tcW w:w="61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90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105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质量指标</w:t>
            </w:r>
          </w:p>
        </w:tc>
        <w:tc>
          <w:tcPr>
            <w:tcW w:w="270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惠民惠农资金发放到位</w:t>
            </w:r>
          </w:p>
        </w:tc>
        <w:tc>
          <w:tcPr>
            <w:tcW w:w="1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100%</w:t>
            </w:r>
          </w:p>
        </w:tc>
        <w:tc>
          <w:tcPr>
            <w:tcW w:w="14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100%</w:t>
            </w:r>
          </w:p>
        </w:tc>
        <w:tc>
          <w:tcPr>
            <w:tcW w:w="7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08" w:type="dxa"/>
          </w:tblCellMar>
        </w:tblPrEx>
        <w:trPr>
          <w:trHeight w:val="397" w:hRule="exact"/>
          <w:jc w:val="center"/>
        </w:trPr>
        <w:tc>
          <w:tcPr>
            <w:tcW w:w="61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90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105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270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工资津贴发放率</w:t>
            </w:r>
          </w:p>
        </w:tc>
        <w:tc>
          <w:tcPr>
            <w:tcW w:w="1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100%</w:t>
            </w:r>
          </w:p>
        </w:tc>
        <w:tc>
          <w:tcPr>
            <w:tcW w:w="14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100%</w:t>
            </w:r>
          </w:p>
        </w:tc>
        <w:tc>
          <w:tcPr>
            <w:tcW w:w="7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8</w:t>
            </w:r>
          </w:p>
        </w:tc>
        <w:tc>
          <w:tcPr>
            <w:tcW w:w="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08" w:type="dxa"/>
          </w:tblCellMar>
        </w:tblPrEx>
        <w:trPr>
          <w:trHeight w:val="397" w:hRule="exact"/>
          <w:jc w:val="center"/>
        </w:trPr>
        <w:tc>
          <w:tcPr>
            <w:tcW w:w="61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90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10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时效指标</w:t>
            </w:r>
          </w:p>
        </w:tc>
        <w:tc>
          <w:tcPr>
            <w:tcW w:w="270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重点工作办结率</w:t>
            </w:r>
          </w:p>
        </w:tc>
        <w:tc>
          <w:tcPr>
            <w:tcW w:w="1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按时办结100%</w:t>
            </w:r>
          </w:p>
        </w:tc>
        <w:tc>
          <w:tcPr>
            <w:tcW w:w="14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按时办结100%</w:t>
            </w:r>
          </w:p>
        </w:tc>
        <w:tc>
          <w:tcPr>
            <w:tcW w:w="7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w:t>
            </w:r>
          </w:p>
        </w:tc>
        <w:tc>
          <w:tcPr>
            <w:tcW w:w="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08" w:type="dxa"/>
          </w:tblCellMar>
        </w:tblPrEx>
        <w:trPr>
          <w:trHeight w:val="397" w:hRule="exact"/>
          <w:jc w:val="center"/>
        </w:trPr>
        <w:tc>
          <w:tcPr>
            <w:tcW w:w="61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90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10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成本指标</w:t>
            </w:r>
          </w:p>
        </w:tc>
        <w:tc>
          <w:tcPr>
            <w:tcW w:w="270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各项业务经费不超出预算，超支审批</w:t>
            </w:r>
          </w:p>
        </w:tc>
        <w:tc>
          <w:tcPr>
            <w:tcW w:w="1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100%</w:t>
            </w:r>
          </w:p>
        </w:tc>
        <w:tc>
          <w:tcPr>
            <w:tcW w:w="14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100%</w:t>
            </w:r>
          </w:p>
        </w:tc>
        <w:tc>
          <w:tcPr>
            <w:tcW w:w="7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7</w:t>
            </w:r>
          </w:p>
        </w:tc>
        <w:tc>
          <w:tcPr>
            <w:tcW w:w="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08" w:type="dxa"/>
          </w:tblCellMar>
        </w:tblPrEx>
        <w:trPr>
          <w:trHeight w:val="397" w:hRule="exact"/>
          <w:jc w:val="center"/>
        </w:trPr>
        <w:tc>
          <w:tcPr>
            <w:tcW w:w="61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绩效指标</w:t>
            </w:r>
          </w:p>
        </w:tc>
        <w:tc>
          <w:tcPr>
            <w:tcW w:w="90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效益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指标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（30分）</w:t>
            </w:r>
          </w:p>
        </w:tc>
        <w:tc>
          <w:tcPr>
            <w:tcW w:w="105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经济效益指标</w:t>
            </w:r>
          </w:p>
        </w:tc>
        <w:tc>
          <w:tcPr>
            <w:tcW w:w="270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动物疫情发生数</w:t>
            </w:r>
          </w:p>
        </w:tc>
        <w:tc>
          <w:tcPr>
            <w:tcW w:w="1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w:t>
            </w:r>
          </w:p>
        </w:tc>
        <w:tc>
          <w:tcPr>
            <w:tcW w:w="14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w:t>
            </w:r>
          </w:p>
        </w:tc>
        <w:tc>
          <w:tcPr>
            <w:tcW w:w="7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w:t>
            </w:r>
          </w:p>
        </w:tc>
        <w:tc>
          <w:tcPr>
            <w:tcW w:w="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08" w:type="dxa"/>
          </w:tblCellMar>
        </w:tblPrEx>
        <w:trPr>
          <w:trHeight w:val="397" w:hRule="exact"/>
          <w:jc w:val="center"/>
        </w:trPr>
        <w:tc>
          <w:tcPr>
            <w:tcW w:w="61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90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105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270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生猪出栏量</w:t>
            </w:r>
          </w:p>
        </w:tc>
        <w:tc>
          <w:tcPr>
            <w:tcW w:w="1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较去年有所提高</w:t>
            </w:r>
          </w:p>
        </w:tc>
        <w:tc>
          <w:tcPr>
            <w:tcW w:w="14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有所提高</w:t>
            </w:r>
          </w:p>
        </w:tc>
        <w:tc>
          <w:tcPr>
            <w:tcW w:w="7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08" w:type="dxa"/>
          </w:tblCellMar>
        </w:tblPrEx>
        <w:trPr>
          <w:trHeight w:val="397" w:hRule="exact"/>
          <w:jc w:val="center"/>
        </w:trPr>
        <w:tc>
          <w:tcPr>
            <w:tcW w:w="61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90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105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社会效益指标</w:t>
            </w:r>
          </w:p>
        </w:tc>
        <w:tc>
          <w:tcPr>
            <w:tcW w:w="270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保障猪肉供应</w:t>
            </w:r>
          </w:p>
        </w:tc>
        <w:tc>
          <w:tcPr>
            <w:tcW w:w="1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供应平稳</w:t>
            </w:r>
          </w:p>
        </w:tc>
        <w:tc>
          <w:tcPr>
            <w:tcW w:w="14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供应平稳</w:t>
            </w:r>
          </w:p>
        </w:tc>
        <w:tc>
          <w:tcPr>
            <w:tcW w:w="7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08" w:type="dxa"/>
          </w:tblCellMar>
        </w:tblPrEx>
        <w:trPr>
          <w:trHeight w:val="397" w:hRule="exact"/>
          <w:jc w:val="center"/>
        </w:trPr>
        <w:tc>
          <w:tcPr>
            <w:tcW w:w="61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90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105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270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环境生物消杀</w:t>
            </w:r>
          </w:p>
        </w:tc>
        <w:tc>
          <w:tcPr>
            <w:tcW w:w="1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一年两次</w:t>
            </w:r>
          </w:p>
        </w:tc>
        <w:tc>
          <w:tcPr>
            <w:tcW w:w="14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2次</w:t>
            </w:r>
          </w:p>
        </w:tc>
        <w:tc>
          <w:tcPr>
            <w:tcW w:w="7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w:t>
            </w:r>
          </w:p>
        </w:tc>
        <w:tc>
          <w:tcPr>
            <w:tcW w:w="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08" w:type="dxa"/>
          </w:tblCellMar>
        </w:tblPrEx>
        <w:trPr>
          <w:trHeight w:val="397" w:hRule="exact"/>
          <w:jc w:val="center"/>
        </w:trPr>
        <w:tc>
          <w:tcPr>
            <w:tcW w:w="61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90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105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270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长江禁捕退捕平稳有序</w:t>
            </w:r>
          </w:p>
        </w:tc>
        <w:tc>
          <w:tcPr>
            <w:tcW w:w="1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中国渔政没有举报案件</w:t>
            </w:r>
          </w:p>
        </w:tc>
        <w:tc>
          <w:tcPr>
            <w:tcW w:w="14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无举报案件</w:t>
            </w:r>
          </w:p>
        </w:tc>
        <w:tc>
          <w:tcPr>
            <w:tcW w:w="7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w:t>
            </w:r>
          </w:p>
        </w:tc>
        <w:tc>
          <w:tcPr>
            <w:tcW w:w="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08" w:type="dxa"/>
          </w:tblCellMar>
        </w:tblPrEx>
        <w:trPr>
          <w:trHeight w:val="397" w:hRule="exact"/>
          <w:jc w:val="center"/>
        </w:trPr>
        <w:tc>
          <w:tcPr>
            <w:tcW w:w="61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90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105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生态效益指标</w:t>
            </w:r>
          </w:p>
        </w:tc>
        <w:tc>
          <w:tcPr>
            <w:tcW w:w="270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养殖环境破坏水土、长江禁捕退捕</w:t>
            </w:r>
          </w:p>
        </w:tc>
        <w:tc>
          <w:tcPr>
            <w:tcW w:w="1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当年没有案件</w:t>
            </w:r>
          </w:p>
        </w:tc>
        <w:tc>
          <w:tcPr>
            <w:tcW w:w="14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无案件</w:t>
            </w:r>
          </w:p>
        </w:tc>
        <w:tc>
          <w:tcPr>
            <w:tcW w:w="7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w:t>
            </w:r>
          </w:p>
        </w:tc>
        <w:tc>
          <w:tcPr>
            <w:tcW w:w="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08" w:type="dxa"/>
          </w:tblCellMar>
        </w:tblPrEx>
        <w:trPr>
          <w:trHeight w:val="397" w:hRule="exact"/>
          <w:jc w:val="center"/>
        </w:trPr>
        <w:tc>
          <w:tcPr>
            <w:tcW w:w="61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90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105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可持续影响指标</w:t>
            </w:r>
          </w:p>
        </w:tc>
        <w:tc>
          <w:tcPr>
            <w:tcW w:w="270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养殖业平稳有序发展</w:t>
            </w:r>
          </w:p>
        </w:tc>
        <w:tc>
          <w:tcPr>
            <w:tcW w:w="1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可持续</w:t>
            </w:r>
          </w:p>
        </w:tc>
        <w:tc>
          <w:tcPr>
            <w:tcW w:w="14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可持续</w:t>
            </w:r>
          </w:p>
        </w:tc>
        <w:tc>
          <w:tcPr>
            <w:tcW w:w="7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w:t>
            </w:r>
          </w:p>
        </w:tc>
        <w:tc>
          <w:tcPr>
            <w:tcW w:w="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08" w:type="dxa"/>
          </w:tblCellMar>
        </w:tblPrEx>
        <w:trPr>
          <w:trHeight w:val="397" w:hRule="exact"/>
          <w:jc w:val="center"/>
        </w:trPr>
        <w:tc>
          <w:tcPr>
            <w:tcW w:w="61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90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满意度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指标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（10分）</w:t>
            </w:r>
          </w:p>
        </w:tc>
        <w:tc>
          <w:tcPr>
            <w:tcW w:w="105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社会公众或服务对象满意度指标</w:t>
            </w:r>
          </w:p>
        </w:tc>
        <w:tc>
          <w:tcPr>
            <w:tcW w:w="270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干部职工满意度</w:t>
            </w:r>
          </w:p>
        </w:tc>
        <w:tc>
          <w:tcPr>
            <w:tcW w:w="1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满意度</w:t>
            </w:r>
          </w:p>
        </w:tc>
        <w:tc>
          <w:tcPr>
            <w:tcW w:w="14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满意</w:t>
            </w:r>
          </w:p>
        </w:tc>
        <w:tc>
          <w:tcPr>
            <w:tcW w:w="7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08" w:type="dxa"/>
          </w:tblCellMar>
        </w:tblPrEx>
        <w:trPr>
          <w:trHeight w:val="559" w:hRule="exact"/>
          <w:jc w:val="center"/>
        </w:trPr>
        <w:tc>
          <w:tcPr>
            <w:tcW w:w="61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90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105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270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社会公众或服务对象满意度</w:t>
            </w:r>
          </w:p>
        </w:tc>
        <w:tc>
          <w:tcPr>
            <w:tcW w:w="1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满意度</w:t>
            </w:r>
          </w:p>
        </w:tc>
        <w:tc>
          <w:tcPr>
            <w:tcW w:w="14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满意</w:t>
            </w:r>
          </w:p>
        </w:tc>
        <w:tc>
          <w:tcPr>
            <w:tcW w:w="7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r>
    </w:tbl>
    <w:p>
      <w:pPr>
        <w:keepNext w:val="0"/>
        <w:keepLines w:val="0"/>
        <w:pageBreakBefore w:val="0"/>
        <w:widowControl/>
        <w:kinsoku/>
        <w:overflowPunct/>
        <w:topLinePunct w:val="0"/>
        <w:autoSpaceDE/>
        <w:autoSpaceDN/>
        <w:bidi w:val="0"/>
        <w:adjustRightInd/>
        <w:snapToGrid/>
        <w:spacing w:line="640" w:lineRule="exact"/>
        <w:ind w:left="0" w:leftChars="0" w:firstLine="0" w:firstLineChars="0"/>
        <w:jc w:val="both"/>
        <w:rPr>
          <w:rFonts w:hint="default" w:ascii="Times New Roman" w:hAnsi="Times New Roman" w:eastAsia="方正小标宋_GBK" w:cs="Times New Roman"/>
          <w:lang w:val="en-US" w:eastAsia="zh-CN"/>
        </w:rPr>
      </w:pPr>
    </w:p>
    <w:p>
      <w:pPr>
        <w:keepNext w:val="0"/>
        <w:keepLines w:val="0"/>
        <w:pageBreakBefore w:val="0"/>
        <w:widowControl/>
        <w:kinsoku/>
        <w:overflowPunct/>
        <w:topLinePunct w:val="0"/>
        <w:autoSpaceDE/>
        <w:autoSpaceDN/>
        <w:bidi w:val="0"/>
        <w:adjustRightInd/>
        <w:snapToGrid/>
        <w:spacing w:line="640" w:lineRule="exact"/>
        <w:ind w:left="0" w:leftChars="0" w:firstLine="0" w:firstLineChars="0"/>
        <w:jc w:val="both"/>
        <w:rPr>
          <w:rFonts w:hint="default" w:ascii="Times New Roman" w:hAnsi="Times New Roman" w:eastAsia="仿宋" w:cs="Times New Roman"/>
          <w:color w:val="000000"/>
          <w:kern w:val="0"/>
          <w:sz w:val="36"/>
          <w:szCs w:val="36"/>
          <w:lang w:val="en-US" w:eastAsia="zh-CN"/>
        </w:rPr>
      </w:pPr>
      <w:r>
        <w:rPr>
          <w:rFonts w:hint="default" w:ascii="Times New Roman" w:hAnsi="Times New Roman" w:eastAsia="仿宋" w:cs="Times New Roman"/>
          <w:lang w:val="en-US" w:eastAsia="zh-CN"/>
        </w:rPr>
        <w:t>附件4-1：</w:t>
      </w:r>
    </w:p>
    <w:p>
      <w:pPr>
        <w:keepNext w:val="0"/>
        <w:keepLines w:val="0"/>
        <w:pageBreakBefore w:val="0"/>
        <w:widowControl/>
        <w:kinsoku/>
        <w:overflowPunct/>
        <w:topLinePunct w:val="0"/>
        <w:autoSpaceDE/>
        <w:autoSpaceDN/>
        <w:bidi w:val="0"/>
        <w:adjustRightInd/>
        <w:snapToGrid/>
        <w:spacing w:line="640" w:lineRule="exact"/>
        <w:ind w:firstLine="1800" w:firstLineChars="500"/>
        <w:jc w:val="both"/>
        <w:rPr>
          <w:rFonts w:hint="eastAsia" w:ascii="Times New Roman Regular" w:hAnsi="Times New Roman Regular" w:eastAsia="方正小标宋_GBK" w:cs="Times New Roman Regular"/>
          <w:color w:val="000000"/>
          <w:kern w:val="0"/>
          <w:sz w:val="36"/>
          <w:szCs w:val="36"/>
          <w:lang w:val="en-US" w:eastAsia="zh-CN"/>
        </w:rPr>
      </w:pPr>
      <w:r>
        <w:rPr>
          <w:rFonts w:hint="eastAsia" w:ascii="Times New Roman Regular" w:hAnsi="Times New Roman Regular" w:eastAsia="方正小标宋_GBK" w:cs="Times New Roman Regular"/>
          <w:color w:val="000000"/>
          <w:kern w:val="0"/>
          <w:sz w:val="36"/>
          <w:szCs w:val="36"/>
          <w:lang w:val="en-US" w:eastAsia="zh-CN"/>
        </w:rPr>
        <w:t>2022</w:t>
      </w:r>
      <w:r>
        <w:rPr>
          <w:rFonts w:hint="default" w:ascii="Times New Roman Regular" w:hAnsi="Times New Roman Regular" w:eastAsia="方正小标宋_GBK" w:cs="Times New Roman Regular"/>
          <w:color w:val="000000"/>
          <w:kern w:val="0"/>
          <w:sz w:val="36"/>
          <w:szCs w:val="36"/>
          <w:lang w:val="en-US" w:eastAsia="zh-CN"/>
        </w:rPr>
        <w:t>年度项目支出绩效自评表</w:t>
      </w:r>
    </w:p>
    <w:tbl>
      <w:tblPr>
        <w:tblStyle w:val="19"/>
        <w:tblW w:w="9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8"/>
        <w:gridCol w:w="1078"/>
        <w:gridCol w:w="1079"/>
        <w:gridCol w:w="1222"/>
        <w:gridCol w:w="1133"/>
        <w:gridCol w:w="1132"/>
        <w:gridCol w:w="827"/>
        <w:gridCol w:w="872"/>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项目支</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出名称</w:t>
            </w:r>
          </w:p>
        </w:tc>
        <w:tc>
          <w:tcPr>
            <w:tcW w:w="8761" w:type="dxa"/>
            <w:gridSpan w:val="8"/>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养殖场资源化利用的奖补资金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主管部门</w:t>
            </w:r>
          </w:p>
        </w:tc>
        <w:tc>
          <w:tcPr>
            <w:tcW w:w="4512"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北塔区畜牧水产事务中心</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实施单位</w:t>
            </w:r>
          </w:p>
        </w:tc>
        <w:tc>
          <w:tcPr>
            <w:tcW w:w="3117"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华达养殖场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项目资金</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（万元）</w:t>
            </w:r>
          </w:p>
        </w:tc>
        <w:tc>
          <w:tcPr>
            <w:tcW w:w="215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年初</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预算数</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全年</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预算数</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全年</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执行数</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分值</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执行率</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215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年度资金总额</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20万</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20万</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215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其中：当年财政拨款</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215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上年结转资金</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215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其他资金</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年度总体目标</w:t>
            </w:r>
          </w:p>
        </w:tc>
        <w:tc>
          <w:tcPr>
            <w:tcW w:w="4512"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预期目标</w:t>
            </w:r>
          </w:p>
        </w:tc>
        <w:tc>
          <w:tcPr>
            <w:tcW w:w="4249"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4512"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养殖场粪污系统升级</w:t>
            </w:r>
          </w:p>
        </w:tc>
        <w:tc>
          <w:tcPr>
            <w:tcW w:w="4249"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完成升级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绩</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效</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指</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标</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一级指标</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二级指标</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三级指标</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年度</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指标值</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实际</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完成值</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分值</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得分</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偏差原因</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分析及</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07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产出指标</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(50分)</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数量指标</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资源化利用升级</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质量指标</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优化设备</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有所改善</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有所改善</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时效指标</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按期完工</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按期完工</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按期完工</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成本指标</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控制费用</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不超总额</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不超总额</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07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效益指标</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（30分）</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经济效</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益指标</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提高粪污处理</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有所提升</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有所提升</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社会效</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益指标</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保护周边环境</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保护环境</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保护环境</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生态效</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益指标</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保护生态环境</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不破坏环境</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不破坏环境</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可持续影响指标</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持续使用</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是否可持续</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是否可持续</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满意度指标（10分）</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服务对象满意度指标</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满意评价</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满意</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满意</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22"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总分</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r>
    </w:tbl>
    <w:p>
      <w:pPr>
        <w:keepNext w:val="0"/>
        <w:keepLines w:val="0"/>
        <w:pageBreakBefore w:val="0"/>
        <w:widowControl/>
        <w:kinsoku/>
        <w:overflowPunct/>
        <w:topLinePunct w:val="0"/>
        <w:autoSpaceDE/>
        <w:autoSpaceDN/>
        <w:bidi w:val="0"/>
        <w:adjustRightInd/>
        <w:snapToGrid/>
        <w:spacing w:line="640" w:lineRule="exact"/>
        <w:jc w:val="center"/>
        <w:rPr>
          <w:rFonts w:hint="eastAsia" w:ascii="Times New Roman Regular" w:hAnsi="Times New Roman Regular" w:eastAsia="方正小标宋_GBK" w:cs="Times New Roman Regular"/>
          <w:color w:val="000000"/>
          <w:kern w:val="0"/>
          <w:sz w:val="36"/>
          <w:szCs w:val="36"/>
          <w:lang w:val="en-US" w:eastAsia="zh-CN"/>
        </w:rPr>
      </w:pPr>
    </w:p>
    <w:p>
      <w:pPr>
        <w:keepNext w:val="0"/>
        <w:keepLines w:val="0"/>
        <w:pageBreakBefore w:val="0"/>
        <w:widowControl/>
        <w:kinsoku/>
        <w:overflowPunct/>
        <w:topLinePunct w:val="0"/>
        <w:autoSpaceDE/>
        <w:autoSpaceDN/>
        <w:bidi w:val="0"/>
        <w:adjustRightInd/>
        <w:snapToGrid/>
        <w:spacing w:line="640" w:lineRule="exact"/>
        <w:ind w:left="0" w:leftChars="0" w:firstLine="0" w:firstLineChars="0"/>
        <w:jc w:val="both"/>
        <w:rPr>
          <w:rFonts w:hint="default" w:ascii="Times New Roman" w:hAnsi="Times New Roman" w:eastAsia="仿宋" w:cs="Times New Roman"/>
          <w:color w:val="000000"/>
          <w:kern w:val="0"/>
          <w:sz w:val="36"/>
          <w:szCs w:val="36"/>
          <w:lang w:val="en-US" w:eastAsia="zh-CN"/>
        </w:rPr>
      </w:pPr>
      <w:r>
        <w:rPr>
          <w:rFonts w:hint="default" w:ascii="Times New Roman" w:hAnsi="Times New Roman" w:eastAsia="仿宋" w:cs="Times New Roman"/>
          <w:lang w:val="en-US" w:eastAsia="zh-CN"/>
        </w:rPr>
        <w:t>附件4-2：</w:t>
      </w:r>
    </w:p>
    <w:p>
      <w:pPr>
        <w:keepNext w:val="0"/>
        <w:keepLines w:val="0"/>
        <w:pageBreakBefore w:val="0"/>
        <w:widowControl/>
        <w:kinsoku/>
        <w:overflowPunct/>
        <w:topLinePunct w:val="0"/>
        <w:autoSpaceDE/>
        <w:autoSpaceDN/>
        <w:bidi w:val="0"/>
        <w:adjustRightInd/>
        <w:snapToGrid/>
        <w:spacing w:line="640" w:lineRule="exact"/>
        <w:ind w:firstLine="1800" w:firstLineChars="500"/>
        <w:jc w:val="both"/>
        <w:rPr>
          <w:rFonts w:hint="eastAsia" w:ascii="Times New Roman Regular" w:hAnsi="Times New Roman Regular" w:eastAsia="方正小标宋_GBK" w:cs="Times New Roman Regular"/>
          <w:highlight w:val="yellow"/>
          <w:lang w:eastAsia="zh-CN"/>
        </w:rPr>
      </w:pPr>
      <w:r>
        <w:rPr>
          <w:rFonts w:hint="eastAsia" w:ascii="Times New Roman Regular" w:hAnsi="Times New Roman Regular" w:eastAsia="方正小标宋_GBK" w:cs="Times New Roman Regular"/>
          <w:color w:val="000000"/>
          <w:kern w:val="0"/>
          <w:sz w:val="36"/>
          <w:szCs w:val="36"/>
          <w:lang w:val="en-US" w:eastAsia="zh-CN"/>
        </w:rPr>
        <w:t>2022</w:t>
      </w:r>
      <w:r>
        <w:rPr>
          <w:rFonts w:hint="default" w:ascii="Times New Roman Regular" w:hAnsi="Times New Roman Regular" w:eastAsia="方正小标宋_GBK" w:cs="Times New Roman Regular"/>
          <w:color w:val="000000"/>
          <w:kern w:val="0"/>
          <w:sz w:val="36"/>
          <w:szCs w:val="36"/>
        </w:rPr>
        <w:t>年度项目支出绩效自评表</w:t>
      </w:r>
    </w:p>
    <w:tbl>
      <w:tblPr>
        <w:tblStyle w:val="19"/>
        <w:tblW w:w="9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8"/>
        <w:gridCol w:w="1078"/>
        <w:gridCol w:w="1079"/>
        <w:gridCol w:w="1222"/>
        <w:gridCol w:w="1133"/>
        <w:gridCol w:w="1132"/>
        <w:gridCol w:w="827"/>
        <w:gridCol w:w="872"/>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项目支</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出名称</w:t>
            </w:r>
          </w:p>
        </w:tc>
        <w:tc>
          <w:tcPr>
            <w:tcW w:w="8761" w:type="dxa"/>
            <w:gridSpan w:val="8"/>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养殖环节无害化处理经费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主管部门</w:t>
            </w:r>
          </w:p>
        </w:tc>
        <w:tc>
          <w:tcPr>
            <w:tcW w:w="4512"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北塔区畜牧水产事务中心</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实施单位</w:t>
            </w:r>
          </w:p>
        </w:tc>
        <w:tc>
          <w:tcPr>
            <w:tcW w:w="3117"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邵阳市百奥迈斯生物科技有限公司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项目资金</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lang w:val="en-US" w:eastAsia="zh-CN"/>
              </w:rPr>
              <w:t>（万元）</w:t>
            </w:r>
          </w:p>
        </w:tc>
        <w:tc>
          <w:tcPr>
            <w:tcW w:w="215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年初</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预算数</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全年</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预算数</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全年</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执行数</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分值</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执行率</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215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年度资金总额</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26万</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26万</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26万</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100%</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215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其中：当年财政拨款</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215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上年结转资金</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215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其他资金</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年度总体目标</w:t>
            </w:r>
          </w:p>
        </w:tc>
        <w:tc>
          <w:tcPr>
            <w:tcW w:w="4512"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预期目标</w:t>
            </w:r>
          </w:p>
        </w:tc>
        <w:tc>
          <w:tcPr>
            <w:tcW w:w="4249"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4512"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处理辖区内病死动物</w:t>
            </w:r>
          </w:p>
        </w:tc>
        <w:tc>
          <w:tcPr>
            <w:tcW w:w="4249"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处理辖区内病死动物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绩</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效</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指</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标</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一级指标</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二级指标</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三级指标</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年度</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指标值</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实际</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完成值</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分值</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得分</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偏差原因</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分析及</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07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产出指标</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(50分)</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数量指标</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及时收集病死畜禽</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100%</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100%</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质量指标</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妥善处理</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妥善处理</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妥善处理</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15</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时效指标</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及时收集</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及时性</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按及时性</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15</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成本指标</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控制费用</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不超总额</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不超总额</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07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效益指标</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（30分）</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经济效</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益指标</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不导致大疫情</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没发生疫情</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没发生疫情</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8</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社会效</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益指标</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不影响居民生活</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改善居民生活环境</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改善居民生活环境</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8</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生态效</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益指标</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保护生态环境</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不破坏环境</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不破坏环境</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7</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可持续影响指标</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持续使用</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是否可持续</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是否可持续</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7</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满意度</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指标</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（10分）</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服务对象满意度指标</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满意评价</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满意</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满意</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22"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总分</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100</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18"/>
                <w:szCs w:val="18"/>
                <w:lang w:val="en-US" w:eastAsia="zh-CN"/>
              </w:rPr>
            </w:pPr>
          </w:p>
        </w:tc>
      </w:tr>
    </w:tbl>
    <w:p>
      <w:pPr>
        <w:keepNext w:val="0"/>
        <w:keepLines w:val="0"/>
        <w:pageBreakBefore w:val="0"/>
        <w:widowControl/>
        <w:kinsoku/>
        <w:overflowPunct/>
        <w:topLinePunct w:val="0"/>
        <w:autoSpaceDE/>
        <w:autoSpaceDN/>
        <w:bidi w:val="0"/>
        <w:adjustRightInd/>
        <w:snapToGrid/>
        <w:spacing w:line="640" w:lineRule="exact"/>
        <w:ind w:left="0" w:leftChars="0" w:firstLine="0" w:firstLineChars="0"/>
        <w:jc w:val="both"/>
        <w:rPr>
          <w:rFonts w:hint="eastAsia" w:ascii="Times New Roman Regular" w:hAnsi="Times New Roman Regular" w:eastAsia="方正小标宋_GBK" w:cs="Times New Roman Regular"/>
          <w:color w:val="000000"/>
          <w:kern w:val="0"/>
          <w:sz w:val="36"/>
          <w:szCs w:val="36"/>
          <w:lang w:val="en-US" w:eastAsia="zh-CN"/>
        </w:rPr>
      </w:pPr>
    </w:p>
    <w:p>
      <w:pPr>
        <w:keepNext w:val="0"/>
        <w:keepLines w:val="0"/>
        <w:pageBreakBefore w:val="0"/>
        <w:widowControl/>
        <w:kinsoku/>
        <w:overflowPunct/>
        <w:topLinePunct w:val="0"/>
        <w:autoSpaceDE/>
        <w:autoSpaceDN/>
        <w:bidi w:val="0"/>
        <w:adjustRightInd/>
        <w:snapToGrid/>
        <w:spacing w:line="640" w:lineRule="exact"/>
        <w:ind w:left="0" w:leftChars="0" w:firstLine="0" w:firstLineChars="0"/>
        <w:jc w:val="both"/>
        <w:rPr>
          <w:rFonts w:hint="default" w:ascii="Times New Roman" w:hAnsi="Times New Roman" w:eastAsia="仿宋" w:cs="Times New Roman"/>
          <w:color w:val="000000"/>
          <w:kern w:val="0"/>
          <w:sz w:val="36"/>
          <w:szCs w:val="36"/>
          <w:lang w:val="en-US" w:eastAsia="zh-CN"/>
        </w:rPr>
      </w:pPr>
      <w:r>
        <w:rPr>
          <w:rFonts w:hint="default" w:ascii="Times New Roman" w:hAnsi="Times New Roman" w:eastAsia="仿宋" w:cs="Times New Roman"/>
          <w:lang w:val="en-US" w:eastAsia="zh-CN"/>
        </w:rPr>
        <w:t>附件4-3：</w:t>
      </w:r>
    </w:p>
    <w:p>
      <w:pPr>
        <w:keepNext w:val="0"/>
        <w:keepLines w:val="0"/>
        <w:pageBreakBefore w:val="0"/>
        <w:widowControl/>
        <w:kinsoku/>
        <w:overflowPunct/>
        <w:topLinePunct w:val="0"/>
        <w:autoSpaceDE/>
        <w:autoSpaceDN/>
        <w:bidi w:val="0"/>
        <w:adjustRightInd/>
        <w:snapToGrid/>
        <w:spacing w:line="640" w:lineRule="exact"/>
        <w:jc w:val="center"/>
        <w:rPr>
          <w:rFonts w:hint="eastAsia" w:ascii="Times New Roman Regular" w:hAnsi="Times New Roman Regular" w:eastAsia="方正小标宋_GBK" w:cs="Times New Roman Regular"/>
          <w:highlight w:val="yellow"/>
          <w:lang w:eastAsia="zh-CN"/>
        </w:rPr>
      </w:pPr>
      <w:r>
        <w:rPr>
          <w:rFonts w:hint="eastAsia" w:ascii="Times New Roman Regular" w:hAnsi="Times New Roman Regular" w:eastAsia="方正小标宋_GBK" w:cs="Times New Roman Regular"/>
          <w:color w:val="000000"/>
          <w:kern w:val="0"/>
          <w:sz w:val="36"/>
          <w:szCs w:val="36"/>
          <w:lang w:val="en-US" w:eastAsia="zh-CN"/>
        </w:rPr>
        <w:t>2022</w:t>
      </w:r>
      <w:r>
        <w:rPr>
          <w:rFonts w:hint="default" w:ascii="Times New Roman Regular" w:hAnsi="Times New Roman Regular" w:eastAsia="方正小标宋_GBK" w:cs="Times New Roman Regular"/>
          <w:color w:val="000000"/>
          <w:kern w:val="0"/>
          <w:sz w:val="36"/>
          <w:szCs w:val="36"/>
        </w:rPr>
        <w:t>年度项目支出绩效自评表</w:t>
      </w:r>
    </w:p>
    <w:tbl>
      <w:tblPr>
        <w:tblStyle w:val="19"/>
        <w:tblW w:w="9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8"/>
        <w:gridCol w:w="1078"/>
        <w:gridCol w:w="1079"/>
        <w:gridCol w:w="1222"/>
        <w:gridCol w:w="1133"/>
        <w:gridCol w:w="1132"/>
        <w:gridCol w:w="827"/>
        <w:gridCol w:w="872"/>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项目支</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出名称</w:t>
            </w:r>
          </w:p>
        </w:tc>
        <w:tc>
          <w:tcPr>
            <w:tcW w:w="8761" w:type="dxa"/>
            <w:gridSpan w:val="8"/>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长江禁捕退捕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主管部门</w:t>
            </w:r>
          </w:p>
        </w:tc>
        <w:tc>
          <w:tcPr>
            <w:tcW w:w="4512"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北塔区人民政府</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实施单位</w:t>
            </w:r>
          </w:p>
        </w:tc>
        <w:tc>
          <w:tcPr>
            <w:tcW w:w="3117"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北塔区畜牧水产事务中心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项目资金</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（万元）</w:t>
            </w:r>
          </w:p>
        </w:tc>
        <w:tc>
          <w:tcPr>
            <w:tcW w:w="215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年初</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预算数</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全年</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预算数</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全年</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执行数</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分值</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执行率</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215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年度资金总额　</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46.69万</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46.69万</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46.69万</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10</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215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其中：当年财政拨款　</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215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上年结转资金　</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215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其他资金</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年度总体目标</w:t>
            </w:r>
          </w:p>
        </w:tc>
        <w:tc>
          <w:tcPr>
            <w:tcW w:w="4512"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预期目标</w:t>
            </w:r>
          </w:p>
        </w:tc>
        <w:tc>
          <w:tcPr>
            <w:tcW w:w="4249"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实际完成情况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4512"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完成禁捕退捕各项工作</w:t>
            </w:r>
          </w:p>
        </w:tc>
        <w:tc>
          <w:tcPr>
            <w:tcW w:w="4249"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完成禁捕退捕各项工作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绩</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效</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指</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标</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一级指标</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二级指标</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三级指标</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年度</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指标值</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实际</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完成值</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分值</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得分</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偏差原因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分析及</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07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产出指标</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(50分)</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数量指标</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完成禁捕退捕工作</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质量指标</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完成禁捕退捕工作</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时效指标</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完成禁捕退捕工作</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成本指标</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完成禁捕退捕工作</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07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效益指标</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经济效</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益指标</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完成禁捕退捕工作</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社会效</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益指标</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完成禁捕退捕工作</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生态效</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益指标</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完成禁捕退捕工作</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可持续影响指标</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完成禁捕退捕工作</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exact"/>
          <w:jc w:val="center"/>
        </w:trPr>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满意度</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指标</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（10分）</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服务对象满意度指标</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满意评价</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满意</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满意</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jc w:val="center"/>
        </w:trPr>
        <w:tc>
          <w:tcPr>
            <w:tcW w:w="6722"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总分</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p>
        </w:tc>
      </w:tr>
    </w:tbl>
    <w:p>
      <w:pPr>
        <w:pStyle w:val="8"/>
        <w:keepNext/>
        <w:keepLines/>
        <w:pageBreakBefore w:val="0"/>
        <w:widowControl w:val="0"/>
        <w:kinsoku/>
        <w:wordWrap/>
        <w:overflowPunct/>
        <w:topLinePunct w:val="0"/>
        <w:autoSpaceDE/>
        <w:autoSpaceDN/>
        <w:bidi w:val="0"/>
        <w:adjustRightInd/>
        <w:snapToGrid/>
        <w:spacing w:before="0" w:after="0" w:line="20" w:lineRule="atLeast"/>
        <w:ind w:left="0" w:leftChars="0" w:firstLine="0" w:firstLineChars="0"/>
        <w:jc w:val="both"/>
        <w:textAlignment w:val="auto"/>
        <w:rPr>
          <w:rFonts w:hint="default"/>
        </w:rPr>
      </w:pPr>
    </w:p>
    <w:sectPr>
      <w:headerReference r:id="rId10" w:type="default"/>
      <w:footerReference r:id="rId11" w:type="default"/>
      <w:pgSz w:w="11906" w:h="16838"/>
      <w:pgMar w:top="1440" w:right="1800" w:bottom="1440" w:left="1800" w:header="680" w:footer="850"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大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thickThinLargeGap" w:color="auto" w:sz="4" w:space="1"/>
      </w:pBdr>
      <w:tabs>
        <w:tab w:val="left" w:pos="420"/>
        <w:tab w:val="right" w:pos="9746"/>
      </w:tabs>
      <w:kinsoku/>
      <w:wordWrap/>
      <w:overflowPunct/>
      <w:topLinePunct w:val="0"/>
      <w:bidi w:val="0"/>
      <w:adjustRightInd/>
      <w:snapToGrid w:val="0"/>
      <w:ind w:firstLine="0" w:firstLineChars="0"/>
      <w:jc w:val="left"/>
      <w:textAlignment w:val="auto"/>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14605" b="1270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邵阳市北塔区畜牧水产事务中心</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邵阳市北塔区畜牧水产事务中心</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thickThinLargeGap" w:color="auto" w:sz="4" w:space="1"/>
      </w:pBdr>
      <w:tabs>
        <w:tab w:val="left" w:pos="420"/>
        <w:tab w:val="right" w:pos="9746"/>
      </w:tabs>
      <w:kinsoku/>
      <w:wordWrap/>
      <w:overflowPunct/>
      <w:topLinePunct w:val="0"/>
      <w:bidi w:val="0"/>
      <w:adjustRightInd/>
      <w:snapToGrid w:val="0"/>
      <w:ind w:firstLine="0" w:firstLineChars="0"/>
      <w:jc w:val="left"/>
      <w:textAlignment w:val="auto"/>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8"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邵阳市北塔区畜牧水产事务中心</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p>
    <w:pPr>
      <w:pStyle w:val="12"/>
      <w:pBdr>
        <w:bottom w:val="none" w:color="auto" w:sz="0" w:space="1"/>
      </w:pBdr>
      <w:tabs>
        <w:tab w:val="left" w:pos="420"/>
        <w:tab w:val="right" w:pos="9746"/>
      </w:tabs>
      <w:ind w:left="0" w:leftChars="0" w:firstLine="0" w:firstLineChars="0"/>
      <w:jc w:val="left"/>
      <w:rPr>
        <w:rFonts w:hint="default"/>
        <w:sz w:val="21"/>
        <w:szCs w:val="21"/>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ZmM1NmQ5MmM2YjMyZmMwZTU5NWJjNzEzM2VlNGQifQ=="/>
  </w:docVars>
  <w:rsids>
    <w:rsidRoot w:val="7DB93AD6"/>
    <w:rsid w:val="00311A5F"/>
    <w:rsid w:val="021653B1"/>
    <w:rsid w:val="065B7836"/>
    <w:rsid w:val="06620BC5"/>
    <w:rsid w:val="073F2CB4"/>
    <w:rsid w:val="08B82D1E"/>
    <w:rsid w:val="092706CD"/>
    <w:rsid w:val="0A4F1460"/>
    <w:rsid w:val="0AFD710E"/>
    <w:rsid w:val="0B0C22DF"/>
    <w:rsid w:val="0C300E1D"/>
    <w:rsid w:val="0D705BC3"/>
    <w:rsid w:val="0DDA3736"/>
    <w:rsid w:val="0F2A6A4C"/>
    <w:rsid w:val="0F914696"/>
    <w:rsid w:val="0FC63F72"/>
    <w:rsid w:val="11EE77B0"/>
    <w:rsid w:val="11FF705B"/>
    <w:rsid w:val="12810624"/>
    <w:rsid w:val="13053004"/>
    <w:rsid w:val="16751EAC"/>
    <w:rsid w:val="18786026"/>
    <w:rsid w:val="19BC1F42"/>
    <w:rsid w:val="1C046A55"/>
    <w:rsid w:val="1C890801"/>
    <w:rsid w:val="1D7C1C6E"/>
    <w:rsid w:val="1EC2624D"/>
    <w:rsid w:val="22EC1AEA"/>
    <w:rsid w:val="26BE379D"/>
    <w:rsid w:val="2ABE399F"/>
    <w:rsid w:val="2DFB6268"/>
    <w:rsid w:val="36203B2D"/>
    <w:rsid w:val="36CC7811"/>
    <w:rsid w:val="376143FD"/>
    <w:rsid w:val="3A217E73"/>
    <w:rsid w:val="3B89687F"/>
    <w:rsid w:val="3D4D74CC"/>
    <w:rsid w:val="432F3601"/>
    <w:rsid w:val="44277BF4"/>
    <w:rsid w:val="476870E2"/>
    <w:rsid w:val="47B42327"/>
    <w:rsid w:val="497A134E"/>
    <w:rsid w:val="49E1317B"/>
    <w:rsid w:val="4A9A146D"/>
    <w:rsid w:val="4EF652AE"/>
    <w:rsid w:val="510065DD"/>
    <w:rsid w:val="512C665E"/>
    <w:rsid w:val="53AC01AC"/>
    <w:rsid w:val="556F3D31"/>
    <w:rsid w:val="55AE4859"/>
    <w:rsid w:val="56252405"/>
    <w:rsid w:val="5C1B251D"/>
    <w:rsid w:val="5DB03045"/>
    <w:rsid w:val="5FA61619"/>
    <w:rsid w:val="653D52B2"/>
    <w:rsid w:val="66CD6B09"/>
    <w:rsid w:val="66EF6A80"/>
    <w:rsid w:val="671E7365"/>
    <w:rsid w:val="6885769C"/>
    <w:rsid w:val="68EC14C9"/>
    <w:rsid w:val="6922313D"/>
    <w:rsid w:val="699833FF"/>
    <w:rsid w:val="6A22716C"/>
    <w:rsid w:val="6DA22A9E"/>
    <w:rsid w:val="7327251D"/>
    <w:rsid w:val="739F35DC"/>
    <w:rsid w:val="74597C2E"/>
    <w:rsid w:val="75B570E6"/>
    <w:rsid w:val="79C6797A"/>
    <w:rsid w:val="7BD83B2F"/>
    <w:rsid w:val="7DB93AD6"/>
    <w:rsid w:val="7F9D4E73"/>
    <w:rsid w:val="7FEC6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420" w:firstLineChars="200"/>
      <w:jc w:val="both"/>
    </w:pPr>
    <w:rPr>
      <w:rFonts w:ascii="Times New Roman" w:hAnsi="Times New Roman" w:eastAsia="仿宋" w:cstheme="minorBidi"/>
      <w:kern w:val="2"/>
      <w:sz w:val="32"/>
      <w:szCs w:val="24"/>
      <w:lang w:val="en-US" w:eastAsia="zh-CN" w:bidi="ar-SA"/>
    </w:rPr>
  </w:style>
  <w:style w:type="paragraph" w:styleId="3">
    <w:name w:val="heading 1"/>
    <w:basedOn w:val="4"/>
    <w:next w:val="4"/>
    <w:link w:val="25"/>
    <w:qFormat/>
    <w:uiPriority w:val="0"/>
    <w:pPr>
      <w:keepNext/>
      <w:keepLines/>
      <w:spacing w:beforeLines="0" w:beforeAutospacing="0" w:afterLines="0" w:afterAutospacing="0" w:line="600" w:lineRule="exact"/>
      <w:ind w:firstLine="420" w:firstLineChars="200"/>
      <w:outlineLvl w:val="0"/>
    </w:pPr>
    <w:rPr>
      <w:rFonts w:eastAsia="黑体" w:asciiTheme="minorAscii" w:hAnsiTheme="minorAscii"/>
      <w:b/>
      <w:kern w:val="44"/>
      <w:sz w:val="32"/>
    </w:rPr>
  </w:style>
  <w:style w:type="paragraph" w:styleId="6">
    <w:name w:val="heading 2"/>
    <w:basedOn w:val="1"/>
    <w:next w:val="1"/>
    <w:unhideWhenUsed/>
    <w:qFormat/>
    <w:uiPriority w:val="0"/>
    <w:pPr>
      <w:keepNext/>
      <w:keepLines/>
      <w:spacing w:beforeLines="0" w:beforeAutospacing="0" w:afterLines="0" w:afterAutospacing="0" w:line="600" w:lineRule="exact"/>
      <w:ind w:firstLine="420" w:firstLineChars="200"/>
      <w:outlineLvl w:val="1"/>
    </w:pPr>
    <w:rPr>
      <w:rFonts w:ascii="Arial" w:hAnsi="Arial" w:eastAsia="楷体"/>
      <w:b/>
      <w:sz w:val="32"/>
    </w:rPr>
  </w:style>
  <w:style w:type="paragraph" w:styleId="7">
    <w:name w:val="heading 3"/>
    <w:basedOn w:val="1"/>
    <w:next w:val="1"/>
    <w:link w:val="26"/>
    <w:unhideWhenUsed/>
    <w:qFormat/>
    <w:uiPriority w:val="0"/>
    <w:pPr>
      <w:keepNext/>
      <w:keepLines/>
      <w:spacing w:beforeLines="0" w:beforeAutospacing="0" w:afterLines="0" w:afterAutospacing="0" w:line="600" w:lineRule="exact"/>
      <w:ind w:firstLine="420" w:firstLineChars="200"/>
      <w:outlineLvl w:val="2"/>
    </w:pPr>
    <w:rPr>
      <w:rFonts w:eastAsia="仿宋" w:asciiTheme="minorAscii" w:hAnsiTheme="minorAscii"/>
      <w:b/>
      <w:sz w:val="32"/>
    </w:rPr>
  </w:style>
  <w:style w:type="paragraph" w:styleId="8">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style>
  <w:style w:type="paragraph" w:styleId="4">
    <w:name w:val="Body Text First Indent"/>
    <w:basedOn w:val="5"/>
    <w:autoRedefine/>
    <w:qFormat/>
    <w:uiPriority w:val="0"/>
    <w:pPr>
      <w:adjustRightInd w:val="0"/>
      <w:snapToGrid w:val="0"/>
      <w:spacing w:beforeLines="50" w:after="0" w:line="360" w:lineRule="auto"/>
      <w:ind w:firstLine="200" w:firstLineChars="200"/>
    </w:pPr>
    <w:rPr>
      <w:rFonts w:ascii="Times New Roman" w:hAnsi="Times New Roman"/>
      <w:sz w:val="24"/>
      <w:szCs w:val="24"/>
    </w:rPr>
  </w:style>
  <w:style w:type="paragraph" w:styleId="5">
    <w:name w:val="Body Text"/>
    <w:basedOn w:val="1"/>
    <w:autoRedefine/>
    <w:unhideWhenUsed/>
    <w:qFormat/>
    <w:uiPriority w:val="99"/>
    <w:pPr>
      <w:spacing w:after="120"/>
    </w:pPr>
  </w:style>
  <w:style w:type="paragraph" w:styleId="9">
    <w:name w:val="annotation text"/>
    <w:basedOn w:val="1"/>
    <w:qFormat/>
    <w:uiPriority w:val="0"/>
    <w:pPr>
      <w:jc w:val="left"/>
    </w:pPr>
  </w:style>
  <w:style w:type="paragraph" w:styleId="10">
    <w:name w:val="Body Text Indent 2"/>
    <w:basedOn w:val="1"/>
    <w:next w:val="11"/>
    <w:autoRedefine/>
    <w:unhideWhenUsed/>
    <w:qFormat/>
    <w:uiPriority w:val="99"/>
    <w:pPr>
      <w:spacing w:after="120" w:line="480" w:lineRule="auto"/>
      <w:ind w:left="420" w:leftChars="200"/>
    </w:pPr>
  </w:style>
  <w:style w:type="paragraph" w:customStyle="1" w:styleId="11">
    <w:name w:val="p0"/>
    <w:next w:val="12"/>
    <w:autoRedefine/>
    <w:qFormat/>
    <w:uiPriority w:val="0"/>
    <w:pPr>
      <w:spacing w:line="365" w:lineRule="atLeast"/>
      <w:ind w:left="1"/>
    </w:pPr>
    <w:rPr>
      <w:rFonts w:ascii="Times New Roman" w:hAnsi="Times New Roman" w:eastAsia="宋体" w:cs="Times New Roman"/>
      <w:sz w:val="24"/>
      <w:lang w:val="en-US" w:eastAsia="zh-CN" w:bidi="ar-SA"/>
    </w:rPr>
  </w:style>
  <w:style w:type="paragraph" w:styleId="1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toc 1"/>
    <w:basedOn w:val="1"/>
    <w:next w:val="1"/>
    <w:autoRedefine/>
    <w:qFormat/>
    <w:uiPriority w:val="0"/>
    <w:pPr>
      <w:spacing w:line="360" w:lineRule="auto"/>
      <w:ind w:firstLine="0" w:firstLineChars="0"/>
    </w:pPr>
  </w:style>
  <w:style w:type="paragraph" w:styleId="15">
    <w:name w:val="footnote text"/>
    <w:basedOn w:val="1"/>
    <w:autoRedefine/>
    <w:unhideWhenUsed/>
    <w:qFormat/>
    <w:uiPriority w:val="99"/>
    <w:pPr>
      <w:widowControl w:val="0"/>
      <w:snapToGrid w:val="0"/>
    </w:pPr>
    <w:rPr>
      <w:rFonts w:ascii="Calibri" w:hAnsi="Calibri" w:cs="Times New Roman"/>
      <w:kern w:val="2"/>
      <w:sz w:val="18"/>
      <w:szCs w:val="18"/>
    </w:rPr>
  </w:style>
  <w:style w:type="paragraph" w:styleId="16">
    <w:name w:val="toc 2"/>
    <w:basedOn w:val="1"/>
    <w:next w:val="1"/>
    <w:autoRedefine/>
    <w:qFormat/>
    <w:uiPriority w:val="0"/>
    <w:pPr>
      <w:spacing w:line="360" w:lineRule="auto"/>
      <w:ind w:left="0" w:leftChars="0" w:firstLine="0" w:firstLineChars="0"/>
    </w:pPr>
  </w:style>
  <w:style w:type="paragraph" w:styleId="1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8">
    <w:name w:val="Body Text First Indent 2"/>
    <w:basedOn w:val="1"/>
    <w:autoRedefine/>
    <w:qFormat/>
    <w:uiPriority w:val="0"/>
    <w:pPr>
      <w:ind w:left="420" w:leftChars="200" w:firstLine="21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List Paragraph"/>
    <w:basedOn w:val="1"/>
    <w:autoRedefine/>
    <w:qFormat/>
    <w:uiPriority w:val="34"/>
    <w:pPr>
      <w:ind w:firstLine="420" w:firstLineChars="200"/>
    </w:pPr>
  </w:style>
  <w:style w:type="paragraph" w:customStyle="1" w:styleId="23">
    <w:name w:val="正文1"/>
    <w:basedOn w:val="1"/>
    <w:autoRedefine/>
    <w:qFormat/>
    <w:uiPriority w:val="0"/>
    <w:pPr>
      <w:spacing w:line="360" w:lineRule="auto"/>
      <w:ind w:firstLine="480" w:firstLineChars="200"/>
    </w:pPr>
    <w:rPr>
      <w:sz w:val="24"/>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character" w:customStyle="1" w:styleId="25">
    <w:name w:val="标题 1 Char"/>
    <w:link w:val="3"/>
    <w:qFormat/>
    <w:uiPriority w:val="0"/>
    <w:rPr>
      <w:rFonts w:eastAsia="黑体" w:asciiTheme="minorAscii" w:hAnsiTheme="minorAscii"/>
      <w:b/>
      <w:kern w:val="44"/>
      <w:sz w:val="32"/>
    </w:rPr>
  </w:style>
  <w:style w:type="character" w:customStyle="1" w:styleId="26">
    <w:name w:val="标题 3 Char"/>
    <w:link w:val="7"/>
    <w:autoRedefine/>
    <w:qFormat/>
    <w:uiPriority w:val="0"/>
    <w:rPr>
      <w:rFonts w:eastAsia="仿宋" w:asciiTheme="minorAscii" w:hAnsiTheme="minorAscii"/>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2023-11-13T02:10:00Z</dcterms:created>
  <dc:creator>王小</dc:creator>
  <cp:lastModifiedBy>财正</cp:lastModifiedBy>
  <cp:lastPrinted>2023-11-13T03:01:00Z</cp:lastPrinted>
  <dcterms:modified xsi:type="dcterms:W3CDTF">2023-12-16T01:51:11Z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002B0FE53B3544D8AAABFB3A349F8750_13</vt:lpwstr>
  </property>
</Properties>
</file>