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9F12E">
      <w:pPr>
        <w:spacing w:line="246" w:lineRule="auto"/>
        <w:rPr>
          <w:rFonts w:ascii="Arial"/>
          <w:sz w:val="21"/>
        </w:rPr>
      </w:pPr>
    </w:p>
    <w:p w14:paraId="2FB4636E">
      <w:pPr>
        <w:spacing w:before="101" w:line="230" w:lineRule="auto"/>
        <w:ind w:left="21"/>
        <w:rPr>
          <w:rFonts w:ascii="Arial" w:hAnsi="Arial" w:eastAsia="Arial" w:cs="Arial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附件</w:t>
      </w:r>
      <w:r>
        <w:rPr>
          <w:rFonts w:ascii="Arial" w:hAnsi="Arial" w:eastAsia="Arial" w:cs="Arial"/>
          <w:spacing w:val="10"/>
          <w:sz w:val="31"/>
          <w:szCs w:val="31"/>
        </w:rPr>
        <w:t>3</w:t>
      </w:r>
    </w:p>
    <w:p w14:paraId="66D13EA9">
      <w:pPr>
        <w:spacing w:line="448" w:lineRule="auto"/>
        <w:rPr>
          <w:rFonts w:ascii="Arial"/>
          <w:sz w:val="21"/>
        </w:rPr>
      </w:pPr>
    </w:p>
    <w:p w14:paraId="78095416">
      <w:pPr>
        <w:spacing w:before="160" w:line="217" w:lineRule="auto"/>
        <w:ind w:left="14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2"/>
          <w:sz w:val="43"/>
          <w:szCs w:val="43"/>
        </w:rPr>
        <w:t>湖南省农村订单定向本科医学生免费培养项目</w:t>
      </w:r>
    </w:p>
    <w:p w14:paraId="51031649">
      <w:pPr>
        <w:spacing w:line="213" w:lineRule="auto"/>
        <w:ind w:left="3349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1"/>
          <w:sz w:val="43"/>
          <w:szCs w:val="43"/>
        </w:rPr>
        <w:t>健康告知书</w:t>
      </w:r>
    </w:p>
    <w:p w14:paraId="585D41CD">
      <w:pPr>
        <w:spacing w:line="275" w:lineRule="auto"/>
        <w:rPr>
          <w:rFonts w:ascii="Arial"/>
          <w:sz w:val="21"/>
        </w:rPr>
      </w:pPr>
    </w:p>
    <w:p w14:paraId="5FD5B0DB">
      <w:pPr>
        <w:spacing w:line="275" w:lineRule="auto"/>
        <w:rPr>
          <w:rFonts w:ascii="Arial"/>
          <w:sz w:val="21"/>
        </w:rPr>
      </w:pPr>
    </w:p>
    <w:p w14:paraId="4F5332AB">
      <w:pPr>
        <w:pStyle w:val="2"/>
        <w:spacing w:before="101" w:line="277" w:lineRule="auto"/>
        <w:ind w:left="6" w:right="81" w:firstLine="610"/>
        <w:outlineLvl w:val="0"/>
      </w:pPr>
      <w:r>
        <w:rPr>
          <w:spacing w:val="-5"/>
        </w:rPr>
        <w:t>根据教育部和省教育考试院关于考生体检工作的要求</w:t>
      </w:r>
      <w:r>
        <w:rPr>
          <w:spacing w:val="-6"/>
        </w:rPr>
        <w:t>，凡报考</w:t>
      </w:r>
      <w:r>
        <w:t xml:space="preserve"> </w:t>
      </w:r>
      <w:r>
        <w:rPr>
          <w:spacing w:val="6"/>
        </w:rPr>
        <w:t>农村订单定向本科医学生免费培养项目的考生均须</w:t>
      </w:r>
      <w:r>
        <w:rPr>
          <w:spacing w:val="5"/>
        </w:rPr>
        <w:t>到指定的医院</w:t>
      </w:r>
    </w:p>
    <w:p w14:paraId="4F55A03D">
      <w:pPr>
        <w:pStyle w:val="2"/>
        <w:spacing w:before="195" w:line="333" w:lineRule="auto"/>
        <w:ind w:firstLine="10"/>
        <w:jc w:val="both"/>
      </w:pPr>
      <w:r>
        <w:rPr>
          <w:spacing w:val="-5"/>
        </w:rPr>
        <w:t>参加身体健康状况检查，如实填写本人的既往病史</w:t>
      </w:r>
      <w:r>
        <w:rPr>
          <w:spacing w:val="-6"/>
        </w:rPr>
        <w:t>。考生在报考前</w:t>
      </w:r>
      <w:r>
        <w:t xml:space="preserve"> </w:t>
      </w:r>
      <w:r>
        <w:rPr>
          <w:spacing w:val="-5"/>
        </w:rPr>
        <w:t>均需认真研读教育部、原卫生部和中国残疾人联合会制定的《普通</w:t>
      </w:r>
      <w:r>
        <w:rPr>
          <w:spacing w:val="1"/>
        </w:rPr>
        <w:t xml:space="preserve"> </w:t>
      </w:r>
      <w:r>
        <w:rPr>
          <w:spacing w:val="-11"/>
        </w:rPr>
        <w:t>高等学校招生体检工作指导意见》（以下简称《指导意见》</w:t>
      </w:r>
      <w:r>
        <w:rPr>
          <w:spacing w:val="-71"/>
        </w:rPr>
        <w:t>），</w:t>
      </w:r>
      <w:r>
        <w:rPr>
          <w:spacing w:val="-12"/>
        </w:rPr>
        <w:t>确保</w:t>
      </w:r>
      <w:r>
        <w:t xml:space="preserve"> </w:t>
      </w:r>
      <w:r>
        <w:rPr>
          <w:spacing w:val="-12"/>
        </w:rPr>
        <w:t>本人没有《指导意见》规定的医学类专业不宜</w:t>
      </w:r>
      <w:r>
        <w:rPr>
          <w:spacing w:val="-13"/>
        </w:rPr>
        <w:t>就读的疾病（附后）。</w:t>
      </w:r>
      <w:r>
        <w:t xml:space="preserve"> </w:t>
      </w:r>
      <w:r>
        <w:rPr>
          <w:spacing w:val="-5"/>
        </w:rPr>
        <w:t>如本人不能确定其健康状况，请在填报志愿前去当地指定的高考体</w:t>
      </w:r>
      <w:r>
        <w:rPr>
          <w:spacing w:val="1"/>
        </w:rPr>
        <w:t xml:space="preserve"> </w:t>
      </w:r>
      <w:r>
        <w:rPr>
          <w:spacing w:val="-5"/>
        </w:rPr>
        <w:t>检医院进行相关疾病的筛查，并将相关检查结果附后。否则，一旦</w:t>
      </w:r>
      <w:r>
        <w:rPr>
          <w:spacing w:val="1"/>
        </w:rPr>
        <w:t xml:space="preserve"> </w:t>
      </w:r>
      <w:r>
        <w:rPr>
          <w:spacing w:val="-5"/>
        </w:rPr>
        <w:t>录取入学后，在学校进行的体检复查中发现有下列疾病的，将按相</w:t>
      </w:r>
      <w:r>
        <w:rPr>
          <w:spacing w:val="3"/>
        </w:rPr>
        <w:t xml:space="preserve"> </w:t>
      </w:r>
      <w:r>
        <w:rPr>
          <w:spacing w:val="-2"/>
        </w:rPr>
        <w:t>关规定进行处理。</w:t>
      </w:r>
    </w:p>
    <w:p w14:paraId="100668B6">
      <w:pPr>
        <w:pStyle w:val="2"/>
        <w:spacing w:before="4" w:line="332" w:lineRule="auto"/>
        <w:ind w:left="6" w:right="81" w:firstLine="618"/>
      </w:pPr>
      <w:r>
        <w:rPr>
          <w:b/>
          <w:bCs/>
          <w:spacing w:val="-6"/>
        </w:rPr>
        <w:t>特别提醒考生：</w:t>
      </w:r>
      <w:r>
        <w:rPr>
          <w:spacing w:val="-6"/>
        </w:rPr>
        <w:t>最好再次进行色觉的仔细检查</w:t>
      </w:r>
      <w:r>
        <w:rPr>
          <w:spacing w:val="-7"/>
        </w:rPr>
        <w:t>，历年均有在入</w:t>
      </w:r>
      <w:r>
        <w:t xml:space="preserve"> </w:t>
      </w:r>
      <w:r>
        <w:rPr>
          <w:spacing w:val="-2"/>
        </w:rPr>
        <w:t>校后体检复查中查出色觉异常（色弱或色盲</w:t>
      </w:r>
      <w:r>
        <w:rPr>
          <w:spacing w:val="-3"/>
        </w:rPr>
        <w:t>）的考生。</w:t>
      </w:r>
    </w:p>
    <w:p w14:paraId="0729E1FC">
      <w:pPr>
        <w:spacing w:line="459" w:lineRule="auto"/>
        <w:rPr>
          <w:rFonts w:ascii="Arial"/>
          <w:sz w:val="21"/>
        </w:rPr>
      </w:pPr>
    </w:p>
    <w:p w14:paraId="3A81B731">
      <w:pPr>
        <w:spacing w:before="102" w:line="226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附：《指导意见》规定的医学类专业不宜就</w:t>
      </w:r>
      <w:r>
        <w:rPr>
          <w:rFonts w:ascii="黑体" w:hAnsi="黑体" w:eastAsia="黑体" w:cs="黑体"/>
          <w:spacing w:val="-10"/>
          <w:sz w:val="31"/>
          <w:szCs w:val="31"/>
        </w:rPr>
        <w:t>读的疾病：</w:t>
      </w:r>
    </w:p>
    <w:p w14:paraId="1140E1B0">
      <w:pPr>
        <w:pStyle w:val="2"/>
        <w:spacing w:before="181" w:line="333" w:lineRule="auto"/>
        <w:ind w:left="5" w:right="84" w:firstLine="639"/>
        <w:jc w:val="both"/>
      </w:pPr>
      <w:r>
        <w:rPr>
          <w:rFonts w:ascii="Arial" w:hAnsi="Arial" w:eastAsia="Arial" w:cs="Arial"/>
          <w:spacing w:val="-4"/>
        </w:rPr>
        <w:t>1.</w:t>
      </w:r>
      <w:r>
        <w:rPr>
          <w:spacing w:val="-4"/>
        </w:rPr>
        <w:t>严重心脏病（先天性心脏病经手术治愈，或房室</w:t>
      </w:r>
      <w:r>
        <w:rPr>
          <w:spacing w:val="-5"/>
        </w:rPr>
        <w:t>间隔缺损分</w:t>
      </w:r>
      <w:r>
        <w:t xml:space="preserve"> </w:t>
      </w:r>
      <w:r>
        <w:rPr>
          <w:spacing w:val="-5"/>
        </w:rPr>
        <w:t>流量少，动脉导管未闭返流血量少，经二级以上医院专</w:t>
      </w:r>
      <w:r>
        <w:rPr>
          <w:spacing w:val="-6"/>
        </w:rPr>
        <w:t>科检查确定</w:t>
      </w:r>
      <w:r>
        <w:t xml:space="preserve"> </w:t>
      </w:r>
      <w:r>
        <w:rPr>
          <w:spacing w:val="-11"/>
        </w:rPr>
        <w:t>无需手术者除外）、心肌病、高血压病。</w:t>
      </w:r>
    </w:p>
    <w:p w14:paraId="433C43C2">
      <w:pPr>
        <w:spacing w:line="333" w:lineRule="auto"/>
        <w:sectPr>
          <w:footerReference r:id="rId5" w:type="default"/>
          <w:pgSz w:w="11906" w:h="16839"/>
          <w:pgMar w:top="1431" w:right="1379" w:bottom="1315" w:left="1595" w:header="0" w:footer="947" w:gutter="0"/>
          <w:cols w:space="720" w:num="1"/>
        </w:sectPr>
      </w:pPr>
    </w:p>
    <w:p w14:paraId="04FFF533">
      <w:pPr>
        <w:spacing w:line="245" w:lineRule="auto"/>
        <w:rPr>
          <w:rFonts w:ascii="Arial"/>
          <w:sz w:val="21"/>
        </w:rPr>
      </w:pPr>
    </w:p>
    <w:p w14:paraId="56CA6C6E">
      <w:pPr>
        <w:spacing w:line="245" w:lineRule="auto"/>
        <w:rPr>
          <w:rFonts w:ascii="Arial"/>
          <w:sz w:val="21"/>
        </w:rPr>
      </w:pPr>
    </w:p>
    <w:p w14:paraId="0A4666FD">
      <w:pPr>
        <w:spacing w:line="246" w:lineRule="auto"/>
        <w:rPr>
          <w:rFonts w:ascii="Arial"/>
          <w:sz w:val="21"/>
        </w:rPr>
      </w:pPr>
    </w:p>
    <w:p w14:paraId="17892BA6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01" w:line="219" w:lineRule="auto"/>
        <w:ind w:left="623"/>
        <w:textAlignment w:val="baseline"/>
      </w:pPr>
      <w:r>
        <w:rPr>
          <w:rFonts w:ascii="Arial" w:hAnsi="Arial" w:eastAsia="Arial" w:cs="Arial"/>
        </w:rPr>
        <w:t>2.</w:t>
      </w:r>
      <w:r>
        <w:t>重症支气管扩张、哮喘，恶性肿瘤、慢性肾</w:t>
      </w:r>
      <w:r>
        <w:rPr>
          <w:spacing w:val="-1"/>
        </w:rPr>
        <w:t>炎、尿毒症。</w:t>
      </w:r>
    </w:p>
    <w:p w14:paraId="5CC6CDE0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90" w:line="220" w:lineRule="auto"/>
        <w:ind w:left="625"/>
        <w:textAlignment w:val="baseline"/>
      </w:pPr>
      <w:r>
        <w:rPr>
          <w:rFonts w:ascii="Arial" w:hAnsi="Arial" w:eastAsia="Arial" w:cs="Arial"/>
        </w:rPr>
        <w:t>3.</w:t>
      </w:r>
      <w:r>
        <w:t>严重的血液、内分泌及代谢系统疾病、风</w:t>
      </w:r>
      <w:r>
        <w:rPr>
          <w:spacing w:val="-1"/>
        </w:rPr>
        <w:t>湿性疾病。</w:t>
      </w:r>
    </w:p>
    <w:p w14:paraId="02B8C728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90" w:line="277" w:lineRule="auto"/>
        <w:ind w:right="90" w:firstLine="618"/>
        <w:textAlignment w:val="baseline"/>
      </w:pPr>
      <w:r>
        <w:rPr>
          <w:rFonts w:ascii="Arial" w:hAnsi="Arial" w:eastAsia="Arial" w:cs="Arial"/>
          <w:spacing w:val="8"/>
        </w:rPr>
        <w:t>4.</w:t>
      </w:r>
      <w:r>
        <w:rPr>
          <w:spacing w:val="8"/>
        </w:rPr>
        <w:t>重症或难治性癫痫或其他神经系统疾病；严重精神病未治</w:t>
      </w:r>
      <w:r>
        <w:rPr>
          <w:spacing w:val="-2"/>
        </w:rPr>
        <w:t>愈、精神活性物质滥用和依赖。</w:t>
      </w:r>
    </w:p>
    <w:p w14:paraId="11BCCD47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91" w:line="276" w:lineRule="auto"/>
        <w:ind w:left="29" w:right="90" w:firstLine="595"/>
        <w:textAlignment w:val="baseline"/>
      </w:pPr>
      <w:r>
        <w:rPr>
          <w:rFonts w:ascii="Arial" w:hAnsi="Arial" w:eastAsia="Arial" w:cs="Arial"/>
          <w:spacing w:val="-4"/>
        </w:rPr>
        <w:t>5.</w:t>
      </w:r>
      <w:r>
        <w:rPr>
          <w:spacing w:val="-4"/>
        </w:rPr>
        <w:t>慢性肝炎病人并且肝功能不正常者（肝炎病原携带者但肝功</w:t>
      </w:r>
      <w:r>
        <w:rPr>
          <w:spacing w:val="-22"/>
        </w:rPr>
        <w:t>能正常者除外）。</w:t>
      </w:r>
    </w:p>
    <w:p w14:paraId="5D0A444F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92" w:line="220" w:lineRule="auto"/>
        <w:ind w:left="621"/>
        <w:textAlignment w:val="baseline"/>
      </w:pPr>
      <w:r>
        <w:rPr>
          <w:rFonts w:ascii="Arial" w:hAnsi="Arial" w:eastAsia="Arial" w:cs="Arial"/>
          <w:spacing w:val="1"/>
        </w:rPr>
        <w:t>6.</w:t>
      </w:r>
      <w:r>
        <w:rPr>
          <w:spacing w:val="1"/>
        </w:rPr>
        <w:t>除下列情况外的结核病：</w:t>
      </w:r>
    </w:p>
    <w:p w14:paraId="0D121DDC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92" w:line="276" w:lineRule="auto"/>
        <w:ind w:left="13" w:right="90" w:firstLine="597"/>
        <w:textAlignment w:val="baseline"/>
      </w:pPr>
      <w:r>
        <w:t>（</w:t>
      </w:r>
      <w:r>
        <w:rPr>
          <w:rFonts w:ascii="Arial" w:hAnsi="Arial" w:eastAsia="Arial" w:cs="Arial"/>
        </w:rPr>
        <w:t>1</w:t>
      </w:r>
      <w:r>
        <w:t>）原发型肺结核、浸润性肺结核已硬结稳定；结核型胸膜</w:t>
      </w:r>
      <w:r>
        <w:rPr>
          <w:spacing w:val="-3"/>
        </w:rPr>
        <w:t>炎已治愈或治愈后遗有胸膜肥厚者；</w:t>
      </w:r>
    </w:p>
    <w:p w14:paraId="1FD66C40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94" w:line="295" w:lineRule="auto"/>
        <w:ind w:left="5" w:right="88" w:firstLine="606"/>
        <w:textAlignment w:val="baseline"/>
      </w:pPr>
      <w:r>
        <w:rPr>
          <w:spacing w:val="-11"/>
        </w:rPr>
        <w:t>（</w:t>
      </w:r>
      <w:r>
        <w:rPr>
          <w:rFonts w:ascii="Arial" w:hAnsi="Arial" w:eastAsia="Arial" w:cs="Arial"/>
          <w:spacing w:val="-11"/>
        </w:rPr>
        <w:t>2</w:t>
      </w:r>
      <w:r>
        <w:rPr>
          <w:spacing w:val="-11"/>
        </w:rPr>
        <w:t>）一切肺外结核（肾结核、骨结核、腹膜结核等等）、血行</w:t>
      </w:r>
      <w:r>
        <w:rPr>
          <w:spacing w:val="-5"/>
        </w:rPr>
        <w:t>性播散型肺结核治愈后一年以上未复发，经二级以上医院（</w:t>
      </w:r>
      <w:r>
        <w:rPr>
          <w:spacing w:val="-6"/>
        </w:rPr>
        <w:t>或结核</w:t>
      </w:r>
      <w:r>
        <w:rPr>
          <w:spacing w:val="-3"/>
        </w:rPr>
        <w:t>病防治所）专科检查无变化者；</w:t>
      </w:r>
    </w:p>
    <w:p w14:paraId="0DB71A06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92" w:line="220" w:lineRule="auto"/>
        <w:ind w:left="611"/>
        <w:textAlignment w:val="baseline"/>
      </w:pPr>
      <w:r>
        <w:rPr>
          <w:spacing w:val="-3"/>
        </w:rPr>
        <w:t>（</w:t>
      </w:r>
      <w:r>
        <w:rPr>
          <w:rFonts w:ascii="Arial" w:hAnsi="Arial" w:eastAsia="Arial" w:cs="Arial"/>
          <w:spacing w:val="-3"/>
        </w:rPr>
        <w:t>3</w:t>
      </w:r>
      <w:r>
        <w:rPr>
          <w:spacing w:val="-3"/>
        </w:rPr>
        <w:t>）淋巴腺结核已临床治愈无症状者。</w:t>
      </w:r>
    </w:p>
    <w:p w14:paraId="5A9E249D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89" w:line="334" w:lineRule="auto"/>
        <w:ind w:left="3" w:firstLine="623"/>
        <w:jc w:val="both"/>
        <w:textAlignment w:val="baseline"/>
      </w:pPr>
      <w:r>
        <w:rPr>
          <w:rFonts w:ascii="Arial" w:hAnsi="Arial" w:eastAsia="Arial" w:cs="Arial"/>
          <w:spacing w:val="1"/>
        </w:rPr>
        <w:t>7</w:t>
      </w:r>
      <w:r>
        <w:rPr>
          <w:spacing w:val="1"/>
        </w:rPr>
        <w:t>、轻度色觉异常（俗称色弱</w:t>
      </w:r>
      <w:r>
        <w:rPr>
          <w:spacing w:val="-78"/>
        </w:rPr>
        <w:t>）；</w:t>
      </w:r>
      <w:r>
        <w:rPr>
          <w:spacing w:val="1"/>
        </w:rPr>
        <w:t>色觉异常</w:t>
      </w:r>
      <w:r>
        <w:rPr>
          <w:rFonts w:ascii="Arial" w:hAnsi="Arial" w:eastAsia="Arial" w:cs="Arial"/>
        </w:rPr>
        <w:t>II</w:t>
      </w:r>
      <w:r>
        <w:rPr>
          <w:spacing w:val="1"/>
        </w:rPr>
        <w:t>度（俗称色盲</w:t>
      </w:r>
      <w:r>
        <w:rPr>
          <w:spacing w:val="-78"/>
        </w:rPr>
        <w:t>）；</w:t>
      </w:r>
      <w:r>
        <w:rPr>
          <w:spacing w:val="-12"/>
        </w:rPr>
        <w:t>不能准确识别红、黄、绿、兰、紫各种颜色中任</w:t>
      </w:r>
      <w:r>
        <w:rPr>
          <w:spacing w:val="-13"/>
        </w:rPr>
        <w:t>何一种颜色的导线、</w:t>
      </w:r>
      <w:r>
        <w:rPr>
          <w:spacing w:val="9"/>
        </w:rPr>
        <w:t>按键、信号灯、几何图形者；任何一眼矫正到</w:t>
      </w:r>
      <w:r>
        <w:rPr>
          <w:rFonts w:ascii="Arial" w:hAnsi="Arial" w:eastAsia="Arial" w:cs="Arial"/>
          <w:spacing w:val="9"/>
        </w:rPr>
        <w:t>4.8</w:t>
      </w:r>
      <w:r>
        <w:rPr>
          <w:spacing w:val="8"/>
        </w:rPr>
        <w:t>镜片度数大于</w:t>
      </w:r>
      <w:r>
        <w:rPr>
          <w:rFonts w:ascii="Arial" w:hAnsi="Arial" w:eastAsia="Arial" w:cs="Arial"/>
          <w:spacing w:val="-5"/>
        </w:rPr>
        <w:t>800</w:t>
      </w:r>
      <w:r>
        <w:rPr>
          <w:spacing w:val="-5"/>
        </w:rPr>
        <w:t>度的；一眼失明另一眼矫正到</w:t>
      </w:r>
      <w:r>
        <w:rPr>
          <w:rFonts w:ascii="Arial" w:hAnsi="Arial" w:eastAsia="Arial" w:cs="Arial"/>
          <w:spacing w:val="-5"/>
        </w:rPr>
        <w:t>4.8</w:t>
      </w:r>
      <w:r>
        <w:rPr>
          <w:spacing w:val="-5"/>
        </w:rPr>
        <w:t>镜片度数大于</w:t>
      </w:r>
      <w:r>
        <w:rPr>
          <w:rFonts w:ascii="Arial" w:hAnsi="Arial" w:eastAsia="Arial" w:cs="Arial"/>
          <w:spacing w:val="-5"/>
        </w:rPr>
        <w:t>400</w:t>
      </w:r>
      <w:r>
        <w:rPr>
          <w:spacing w:val="-5"/>
        </w:rPr>
        <w:t>度的；两</w:t>
      </w:r>
      <w:r>
        <w:rPr>
          <w:spacing w:val="-7"/>
        </w:rPr>
        <w:t>耳听力均在</w:t>
      </w:r>
      <w:r>
        <w:rPr>
          <w:rFonts w:ascii="Arial" w:hAnsi="Arial" w:eastAsia="Arial" w:cs="Arial"/>
          <w:spacing w:val="-7"/>
        </w:rPr>
        <w:t>3</w:t>
      </w:r>
      <w:r>
        <w:rPr>
          <w:spacing w:val="-7"/>
        </w:rPr>
        <w:t>米以内，或一耳听力在</w:t>
      </w:r>
      <w:r>
        <w:rPr>
          <w:rFonts w:ascii="Arial" w:hAnsi="Arial" w:eastAsia="Arial" w:cs="Arial"/>
          <w:spacing w:val="-7"/>
        </w:rPr>
        <w:t>5</w:t>
      </w:r>
      <w:r>
        <w:rPr>
          <w:spacing w:val="-7"/>
        </w:rPr>
        <w:t>米另一耳全聋的；斜视</w:t>
      </w:r>
      <w:r>
        <w:rPr>
          <w:spacing w:val="-8"/>
        </w:rPr>
        <w:t>、嗅</w:t>
      </w:r>
      <w:r>
        <w:rPr>
          <w:spacing w:val="-12"/>
        </w:rPr>
        <w:t>觉迟钝、口吃。</w:t>
      </w:r>
    </w:p>
    <w:p w14:paraId="45D50D06">
      <w:pPr>
        <w:rPr>
          <w:rFonts w:ascii="Arial"/>
          <w:sz w:val="21"/>
        </w:rPr>
      </w:pPr>
      <w:bookmarkStart w:id="0" w:name="_GoBack"/>
      <w:bookmarkEnd w:id="0"/>
    </w:p>
    <w:sectPr>
      <w:headerReference r:id="rId6" w:type="default"/>
      <w:footerReference r:id="rId7" w:type="default"/>
      <w:pgSz w:w="11906" w:h="16839"/>
      <w:pgMar w:top="1429" w:right="1315" w:bottom="1315" w:left="1429" w:header="0" w:footer="947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3BCED">
    <w:pPr>
      <w:pStyle w:val="2"/>
      <w:spacing w:before="1" w:line="235" w:lineRule="auto"/>
      <w:ind w:left="15"/>
      <w:rPr>
        <w:sz w:val="28"/>
        <w:szCs w:val="28"/>
      </w:rPr>
    </w:pPr>
    <w:r>
      <w:rPr>
        <w:spacing w:val="-12"/>
        <w:sz w:val="28"/>
        <w:szCs w:val="28"/>
      </w:rPr>
      <w:t xml:space="preserve">— </w:t>
    </w:r>
    <w:r>
      <w:rPr>
        <w:rFonts w:ascii="宋体" w:hAnsi="宋体" w:eastAsia="宋体" w:cs="宋体"/>
        <w:spacing w:val="-12"/>
        <w:sz w:val="28"/>
        <w:szCs w:val="28"/>
      </w:rPr>
      <w:t>24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548DC">
    <w:pPr>
      <w:pStyle w:val="2"/>
      <w:spacing w:line="234" w:lineRule="auto"/>
      <w:ind w:left="6742"/>
      <w:rPr>
        <w:sz w:val="28"/>
        <w:szCs w:val="28"/>
      </w:rPr>
    </w:pPr>
    <w:r>
      <w:rPr>
        <w:spacing w:val="-12"/>
        <w:sz w:val="28"/>
        <w:szCs w:val="28"/>
      </w:rPr>
      <w:t xml:space="preserve">— </w:t>
    </w:r>
    <w:r>
      <w:rPr>
        <w:rFonts w:ascii="宋体" w:hAnsi="宋体" w:eastAsia="宋体" w:cs="宋体"/>
        <w:spacing w:val="-12"/>
        <w:sz w:val="28"/>
        <w:szCs w:val="28"/>
      </w:rPr>
      <w:t>28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C5D7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EBE5B65"/>
    <w:rsid w:val="40CF654C"/>
    <w:rsid w:val="41593545"/>
    <w:rsid w:val="518432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2900</Words>
  <Characters>3015</Characters>
  <TotalTime>34</TotalTime>
  <ScaleCrop>false</ScaleCrop>
  <LinksUpToDate>false</LinksUpToDate>
  <CharactersWithSpaces>3544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2025-05-27T10:55:00Z</dcterms:created>
  <dc:creator>lenovo</dc:creator>
  <cp:lastModifiedBy>巨信</cp:lastModifiedBy>
  <dcterms:modified xsi:type="dcterms:W3CDTF">2025-05-30T03:41:12Z</dcterms:modified>
  <dc:title>No:0000001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2025-05-30T11:02:46Z</vt:filetime>
  </property>
  <property fmtid="{D5CDD505-2E9C-101B-9397-08002B2CF9AE}" pid="4" name="KSOTemplateDocerSaveRecord">
    <vt:lpwstr>eyJoZGlkIjoiNmI4MWQ3MTA2NDg1ODFmMDZkMTdmZWViYzc0MTFjZjMiLCJ1c2VySWQiOiIxOTMyNDg5ODQifQ==</vt:lpwstr>
  </property>
  <property fmtid="{D5CDD505-2E9C-101B-9397-08002B2CF9AE}" pid="5" name="KSOProductBuildVer">
    <vt:lpwstr>2052-12.1.0.21171</vt:lpwstr>
  </property>
  <property fmtid="{D5CDD505-2E9C-101B-9397-08002B2CF9AE}" pid="6" name="ICV">
    <vt:lpwstr>9813B6C0E7D5431CBFB9C88EDD5A5CE0_13</vt:lpwstr>
  </property>
</Properties>
</file>