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北塔区财政局2021年预算绩效管理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工作开展情况</w:t>
      </w:r>
    </w:p>
    <w:p>
      <w:pPr>
        <w:jc w:val="center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720" w:lineRule="exact"/>
        <w:ind w:left="0" w:firstLine="600" w:firstLineChars="200"/>
        <w:jc w:val="both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为进一步贯彻《预算法》讲求绩效原则，加强区级预算绩效管理，按照《中共中央 国务院关于全面实施预算绩效管理的意见》（中发[2018]34号）、《中共湖南省委办公厅 湖南省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0"/>
          <w:szCs w:val="30"/>
        </w:rPr>
        <w:t>人民政府办公厅关于全面实施预算绩效管理的实施意见》（湘办发[2019]10号）文件要求，我局积极推进财政预算绩效管理，及时开展财政支出绩效评价工作，较好地完成了2021年度财政预算绩效管理工作任务。</w:t>
      </w:r>
    </w:p>
    <w:p>
      <w:pPr>
        <w:pStyle w:val="4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0" w:after="0" w:line="720" w:lineRule="exact"/>
        <w:ind w:left="0" w:firstLine="602" w:firstLineChars="200"/>
        <w:jc w:val="both"/>
        <w:textAlignment w:val="auto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2021年预算绩效管理工作开展情况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720" w:lineRule="exact"/>
        <w:ind w:left="0" w:firstLine="602" w:firstLineChars="200"/>
        <w:jc w:val="both"/>
        <w:textAlignment w:val="auto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加强和健全预算绩效管理组织机构和制度建设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720" w:lineRule="exact"/>
        <w:ind w:left="0" w:firstLine="602" w:firstLineChars="200"/>
        <w:jc w:val="both"/>
        <w:textAlignment w:val="auto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1、健全预算绩效组织机构，成立领导小组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ind w:left="0" w:firstLine="600" w:firstLineChars="200"/>
        <w:jc w:val="both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财政局相关领导高度重视预算绩效管理机构的设置工作，成立以局长林志森为组长，其他班子成员为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副组长，股室负责人为成员的</w:t>
      </w:r>
      <w:r>
        <w:rPr>
          <w:rFonts w:hint="eastAsia" w:ascii="仿宋" w:hAnsi="仿宋" w:eastAsia="仿宋"/>
          <w:sz w:val="30"/>
          <w:szCs w:val="30"/>
        </w:rPr>
        <w:t>的工作领导小组，以绩效为目标，以结果为导向的绩效管理理念正在我局逐步形成。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720" w:lineRule="exact"/>
        <w:ind w:left="0" w:firstLine="602" w:firstLineChars="200"/>
        <w:jc w:val="both"/>
        <w:textAlignment w:val="auto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2、加强预算绩效管理的制度建设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720" w:lineRule="exact"/>
        <w:ind w:left="0" w:firstLine="600" w:firstLineChars="200"/>
        <w:jc w:val="both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加快建立健全“预算编制有目标、预算执行有监控、预算完成有评价、评价结果有反馈、反馈结果有应用”的全过程预算绩效管理机制，推进财政科学化、精细化管理，强化预算支出责任和效率，提高财政资金使用效益。根据</w:t>
      </w:r>
      <w:r>
        <w:rPr>
          <w:rFonts w:ascii="仿宋" w:hAnsi="仿宋" w:eastAsia="仿宋" w:cs="仿宋"/>
          <w:sz w:val="30"/>
          <w:szCs w:val="30"/>
        </w:rPr>
        <w:t>《中共中央国务院关于全面实施预算绩效管理的意见》（中发[2018]34号)和《中共湖南省委办公厅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湖南省人民政府办公厅关于全面实施预算绩效管理的实施意见》（湘办发[2019]10号）</w:t>
      </w:r>
      <w:r>
        <w:rPr>
          <w:rFonts w:hint="eastAsia" w:ascii="仿宋" w:hAnsi="仿宋" w:eastAsia="仿宋" w:cs="仿宋"/>
          <w:sz w:val="30"/>
          <w:szCs w:val="30"/>
        </w:rPr>
        <w:t>等文件精神，结合我区实际，出台了《北塔区预算绩效运行监控管理暂行办法》、</w:t>
      </w:r>
      <w:r>
        <w:rPr>
          <w:rFonts w:ascii="仿宋" w:hAnsi="仿宋" w:eastAsia="仿宋" w:cs="仿宋"/>
          <w:sz w:val="30"/>
          <w:szCs w:val="30"/>
        </w:rPr>
        <w:t>《</w:t>
      </w:r>
      <w:r>
        <w:rPr>
          <w:rFonts w:hint="eastAsia" w:ascii="仿宋" w:hAnsi="仿宋" w:eastAsia="仿宋" w:cs="仿宋"/>
          <w:sz w:val="30"/>
          <w:szCs w:val="30"/>
        </w:rPr>
        <w:t>北塔区</w:t>
      </w:r>
      <w:r>
        <w:rPr>
          <w:rFonts w:ascii="仿宋" w:hAnsi="仿宋" w:eastAsia="仿宋" w:cs="仿宋"/>
          <w:sz w:val="30"/>
          <w:szCs w:val="30"/>
        </w:rPr>
        <w:t>关于建立</w:t>
      </w:r>
      <w:bookmarkStart w:id="0" w:name="_Hlk26131895"/>
      <w:r>
        <w:rPr>
          <w:rFonts w:ascii="仿宋" w:hAnsi="仿宋" w:eastAsia="仿宋" w:cs="仿宋"/>
          <w:sz w:val="30"/>
          <w:szCs w:val="30"/>
        </w:rPr>
        <w:t>全面预算绩效管理工作协同联动机制</w:t>
      </w:r>
      <w:bookmarkEnd w:id="0"/>
      <w:r>
        <w:rPr>
          <w:rFonts w:ascii="仿宋" w:hAnsi="仿宋" w:eastAsia="仿宋" w:cs="仿宋"/>
          <w:sz w:val="30"/>
          <w:szCs w:val="30"/>
        </w:rPr>
        <w:t>的意见》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720" w:lineRule="exact"/>
        <w:ind w:left="0" w:firstLine="602" w:firstLineChars="200"/>
        <w:jc w:val="both"/>
        <w:textAlignment w:val="auto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积极组织培训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720" w:lineRule="exact"/>
        <w:ind w:left="0" w:firstLine="600" w:firstLineChars="200"/>
        <w:jc w:val="both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为推动我区预算绩效工作的深入开展，我局组织了两次全区范围内的预算绩效工作培训，进一步深化对绩效管理工作的理解与认识，提高绩效业务能力和水平，为</w:t>
      </w:r>
      <w:r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  <w:t>各预算单位积极推进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我区</w:t>
      </w:r>
      <w:r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  <w:t>预算绩效管理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工作打下来夯实基础。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720" w:lineRule="exact"/>
        <w:ind w:left="0" w:firstLine="602" w:firstLineChars="200"/>
        <w:jc w:val="both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绩效评价工作有序开展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720" w:lineRule="exact"/>
        <w:ind w:left="0" w:firstLine="602" w:firstLineChars="200"/>
        <w:jc w:val="both"/>
        <w:textAlignment w:val="auto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1.对预算单位财政资金绩效评价工作顺利展开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720" w:lineRule="exact"/>
        <w:ind w:left="0" w:firstLine="600" w:firstLineChars="200"/>
        <w:jc w:val="both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今年我局根据</w:t>
      </w:r>
      <w:r>
        <w:rPr>
          <w:rFonts w:ascii="仿宋_GB2312" w:hAnsi="宋体" w:eastAsia="仿宋_GB2312" w:cs="仿宋_GB2312"/>
          <w:color w:val="333333"/>
          <w:sz w:val="30"/>
          <w:szCs w:val="30"/>
          <w:shd w:val="clear" w:color="auto" w:fill="FFFFFF"/>
        </w:rPr>
        <w:t>《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邵阳市人民政府关于全面推进预算绩效管理的实施意见》</w:t>
      </w:r>
      <w:r>
        <w:rPr>
          <w:rFonts w:hint="eastAsia" w:ascii="仿宋" w:hAnsi="仿宋" w:eastAsia="仿宋" w:cs="仿宋"/>
          <w:sz w:val="30"/>
          <w:szCs w:val="30"/>
        </w:rPr>
        <w:t>的要求，首先是对</w:t>
      </w:r>
      <w:r>
        <w:rPr>
          <w:rFonts w:hint="eastAsia" w:ascii="仿宋_GB2312" w:hAnsi="仿宋_GB2312" w:eastAsia="仿宋_GB2312" w:cs="仿宋_GB2312"/>
          <w:sz w:val="30"/>
          <w:szCs w:val="30"/>
        </w:rPr>
        <w:t>全区64个部门预算单位整体支出及专项进行自评，采取委托第三方机构现场评价的方式对部门整体支出、专项资金、以及政府专项债券进行了重点抽查，共计抽查资金10353.54万元。一是对北塔区统战部、北塔区信访局、北塔区总工会3个单位的部门整体支出进行了重点抽查，共计抽查资金325.04万元，二是分别对北塔区农业农村局农副产品加工与休闲农业发展资金、北塔区畜牧水产事务中心非洲猪瘟防控资金、北塔区民政局省级福彩公益金、北塔区教育局学前教育资金、北塔区城管局环卫市场化资金共计5个专项进行了重点抽查，共计抽查资金2228.51万元。三是对2018-2020年度政府专项债券进行了重点抽查，分别重点抽查了2020年度邵阳市第二人民医院整体搬迁（北塔区人民医院）项目专项债券资金6100万元、江馨裕泽园棚户区改造示范性集中安置小区项目1700万元，共计抽查资金7800万元，政府专项债券重点抽查覆盖率为100%。同时加强各业务股室和区相关单位的协调和配合，根据评价结果提出了整改意见，各单位也针对问题提交了整改意见书。区财政将以评价结果作为预算安排和调整的重要依据，确保全面推动我区预算绩效管理工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720" w:lineRule="exact"/>
        <w:ind w:left="0" w:firstLine="602" w:firstLineChars="200"/>
        <w:jc w:val="both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2.评价的内容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720" w:lineRule="exact"/>
        <w:ind w:left="0" w:firstLine="600" w:firstLineChars="200"/>
        <w:jc w:val="both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项目支出绩效评价的具体内容为：（1）项目决策。一是科学决策。围绕必要性（政策依据）、可行性（政策完善）评价。二是绩效目标。围绕明确性、合理性评价。（2）项目管理。一是资金管理。围绕资金分配、资金使用评价。二是项目执行。围绕执行规范，如管理制度健全、管理过程科学规范评价。（3）项目绩效。一是项目完成。围绕完成数量、质量、时效、成本评价。二是项目效益。围绕经济效益、社会效益、生态效益、可持续效益、公平效率、使用效率、服务对象满意度评价。</w:t>
      </w:r>
    </w:p>
    <w:p>
      <w:pPr>
        <w:pStyle w:val="4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0" w:after="0" w:line="720" w:lineRule="exact"/>
        <w:ind w:left="0" w:firstLine="602" w:firstLineChars="200"/>
        <w:jc w:val="both"/>
        <w:textAlignment w:val="auto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主要成效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720" w:lineRule="exact"/>
        <w:ind w:left="0" w:firstLine="602" w:firstLineChars="200"/>
        <w:jc w:val="both"/>
        <w:textAlignment w:val="auto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（一）自评结果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720" w:lineRule="exact"/>
        <w:ind w:left="0" w:firstLine="600" w:firstLineChars="200"/>
        <w:jc w:val="both"/>
        <w:textAlignment w:val="auto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本年度，我局组织县级预算单位对</w:t>
      </w:r>
      <w:r>
        <w:rPr>
          <w:rFonts w:hint="eastAsia" w:ascii="仿宋_GB2312" w:hAnsi="仿宋_GB2312" w:eastAsia="仿宋_GB2312" w:cs="仿宋_GB2312"/>
          <w:sz w:val="30"/>
          <w:szCs w:val="30"/>
        </w:rPr>
        <w:t>2020</w:t>
      </w:r>
      <w:r>
        <w:rPr>
          <w:rFonts w:ascii="仿宋_GB2312" w:hAnsi="仿宋_GB2312" w:eastAsia="仿宋_GB2312" w:cs="仿宋_GB2312"/>
          <w:sz w:val="30"/>
          <w:szCs w:val="30"/>
        </w:rPr>
        <w:t>年度部门整体支出开展了绩效自评，共收到</w:t>
      </w:r>
      <w:r>
        <w:rPr>
          <w:rFonts w:hint="eastAsia" w:ascii="仿宋_GB2312" w:hAnsi="仿宋_GB2312" w:eastAsia="仿宋_GB2312" w:cs="仿宋_GB2312"/>
          <w:sz w:val="30"/>
          <w:szCs w:val="30"/>
        </w:rPr>
        <w:t>部门整体支出</w:t>
      </w:r>
      <w:r>
        <w:rPr>
          <w:rFonts w:ascii="仿宋_GB2312" w:hAnsi="仿宋_GB2312" w:eastAsia="仿宋_GB2312" w:cs="仿宋_GB2312"/>
          <w:sz w:val="30"/>
          <w:szCs w:val="30"/>
        </w:rPr>
        <w:t>绩效自评报告</w:t>
      </w:r>
      <w:r>
        <w:rPr>
          <w:rFonts w:hint="eastAsia" w:ascii="仿宋_GB2312" w:hAnsi="仿宋_GB2312" w:eastAsia="仿宋_GB2312" w:cs="仿宋_GB2312"/>
          <w:sz w:val="30"/>
          <w:szCs w:val="30"/>
        </w:rPr>
        <w:t>64</w:t>
      </w:r>
      <w:r>
        <w:rPr>
          <w:rFonts w:ascii="仿宋_GB2312" w:hAnsi="仿宋_GB2312" w:eastAsia="仿宋_GB2312" w:cs="仿宋_GB2312"/>
          <w:sz w:val="30"/>
          <w:szCs w:val="30"/>
        </w:rPr>
        <w:t>篇</w:t>
      </w:r>
      <w:r>
        <w:rPr>
          <w:rFonts w:hint="eastAsia" w:ascii="仿宋_GB2312" w:hAnsi="仿宋_GB2312" w:eastAsia="仿宋_GB2312" w:cs="仿宋_GB2312"/>
          <w:sz w:val="30"/>
          <w:szCs w:val="30"/>
        </w:rPr>
        <w:t>，并委托第三方机构现场评价的方式对部门整体支出、专项资金、以及政府专项债券进行了重点绩效评价。收到第三方机构重点绩效评价10篇，按《中华人民共和国预算法》、《中共中央国务院关于全面实施预算绩效管理的意见》（中发〔2018〕34号）评价量分：</w:t>
      </w:r>
      <w:r>
        <w:rPr>
          <w:rFonts w:hint="eastAsia" w:ascii="仿宋" w:hAnsi="仿宋" w:eastAsia="仿宋"/>
          <w:sz w:val="30"/>
          <w:szCs w:val="30"/>
        </w:rPr>
        <w:t>90分（含）以上的2篇、80分（含）—90分的5篇、70分（含）—80分的3篇。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720" w:lineRule="exact"/>
        <w:ind w:left="0" w:firstLine="602" w:firstLineChars="200"/>
        <w:jc w:val="both"/>
        <w:textAlignment w:val="auto"/>
        <w:rPr>
          <w:rFonts w:ascii="宋体" w:hAnsi="宋体" w:eastAsia="宋体" w:cs="宋体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（1）部门整体支出重点绩效评价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720" w:lineRule="exact"/>
        <w:ind w:left="0" w:firstLine="600" w:firstLineChars="200"/>
        <w:jc w:val="both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2020年3个区直单位较好地履行了部门职能职责,取得了较好的社会效益、行业经济效益和生态环境效益,部门整体支出绩效评价综合得分85.7分,评价结果为“良”。其中：区统战部86.4分、区信访局85.5分、区总工会85.3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720" w:lineRule="exact"/>
        <w:ind w:left="0" w:firstLine="602" w:firstLineChars="200"/>
        <w:jc w:val="both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（2）项目支出重点绩效评价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720" w:lineRule="exact"/>
        <w:ind w:left="0" w:firstLine="600" w:firstLineChars="200"/>
        <w:jc w:val="both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经评价组评定，北塔区5个预算内公共财政项目专项资金均纳入绩效目标管理，项目专项经费收支纳入国库集中支付管理，项目实施单位制定了财务、资金等管理制度并基本得到执行，基本符合专账核算、专款专用要求。按照资金使用情况、资金管理情况及资金效益情况三大方面进行综合评价，得分为85分，评价等级为良。其中：北塔区农业农村局农副产品加工与休闲农业发展项目评价得分85.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分、北塔区畜牧水产事务中心非洲猪瘟防控资金项目评价得分97分、北塔区民政局省级福彩公益金项目评价得分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71</w:t>
      </w:r>
      <w:r>
        <w:rPr>
          <w:rFonts w:hint="eastAsia" w:ascii="仿宋_GB2312" w:hAnsi="仿宋_GB2312" w:eastAsia="仿宋_GB2312" w:cs="仿宋_GB2312"/>
          <w:sz w:val="30"/>
          <w:szCs w:val="30"/>
        </w:rPr>
        <w:t>分、北塔区教育局学前教育资金项目评价得分92.5、北塔区城管局环卫市场化资金项目评价得分81.8分。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720" w:lineRule="exact"/>
        <w:ind w:left="0" w:firstLine="602" w:firstLineChars="200"/>
        <w:jc w:val="both"/>
        <w:textAlignment w:val="auto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（二）绩效评价中发现的突出问题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left="0" w:firstLine="602" w:firstLineChars="200"/>
        <w:jc w:val="both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1.</w:t>
      </w:r>
      <w:r>
        <w:rPr>
          <w:rFonts w:hint="eastAsia" w:eastAsia="仿宋_GB2312"/>
          <w:b/>
          <w:bCs/>
          <w:spacing w:val="6"/>
          <w:sz w:val="30"/>
          <w:szCs w:val="30"/>
          <w:lang w:bidi="ar"/>
        </w:rPr>
        <w:t>绩效管理意识不强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720" w:lineRule="exact"/>
        <w:ind w:left="0" w:firstLine="600" w:firstLineChars="200"/>
        <w:jc w:val="both"/>
        <w:textAlignment w:val="auto"/>
        <w:rPr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部分单位</w:t>
      </w:r>
      <w:r>
        <w:rPr>
          <w:rFonts w:hint="eastAsia" w:ascii="仿宋" w:hAnsi="仿宋" w:eastAsia="仿宋" w:cs="仿宋"/>
          <w:sz w:val="30"/>
          <w:szCs w:val="30"/>
        </w:rPr>
        <w:t>编制的绩效目标或绩效指标不具体、不量化,绩效目标未完全细化分解为具体工作任务,不利于绩效考核。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720" w:lineRule="exact"/>
        <w:ind w:left="0" w:firstLine="602" w:firstLineChars="200"/>
        <w:jc w:val="both"/>
        <w:textAlignment w:val="auto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2.会计核算不规范，业务管理不严格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720" w:lineRule="exact"/>
        <w:ind w:left="0" w:firstLine="600" w:firstLineChars="200"/>
        <w:jc w:val="both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bookmarkStart w:id="1" w:name="_Toc31324"/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部分单位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未及时进行入库登记，未建立实物购、存、发的台账</w:t>
      </w:r>
      <w:bookmarkEnd w:id="1"/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。</w:t>
      </w:r>
      <w:r>
        <w:rPr>
          <w:rFonts w:hint="eastAsia" w:eastAsia="仿宋_GB2312"/>
          <w:color w:val="000000"/>
          <w:sz w:val="30"/>
          <w:szCs w:val="30"/>
        </w:rPr>
        <w:t>存在指标文件混淆使用情况，需加强财务制度执行规范。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spacing w:line="720" w:lineRule="exact"/>
        <w:ind w:left="0" w:firstLine="602" w:firstLineChars="200"/>
        <w:jc w:val="both"/>
        <w:textAlignment w:val="auto"/>
        <w:rPr>
          <w:sz w:val="30"/>
          <w:szCs w:val="30"/>
        </w:rPr>
      </w:pPr>
      <w:r>
        <w:rPr>
          <w:rFonts w:hint="eastAsia" w:eastAsia="仿宋_GB2312"/>
          <w:b/>
          <w:bCs/>
          <w:kern w:val="0"/>
          <w:sz w:val="30"/>
          <w:szCs w:val="30"/>
        </w:rPr>
        <w:t>3.资产管理制度执行不到位。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部分单位</w:t>
      </w:r>
      <w:r>
        <w:rPr>
          <w:rFonts w:hint="eastAsia" w:eastAsia="仿宋_GB2312"/>
          <w:kern w:val="0"/>
          <w:sz w:val="30"/>
          <w:szCs w:val="30"/>
        </w:rPr>
        <w:t>存在如下问题：一是单位未对固定资产每年进行盘点，二是经现场检查发现，北塔区总工会固定资产未贴标，三是单位存在固定资产已损坏未及时进行报废。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720" w:lineRule="exact"/>
        <w:ind w:left="0" w:leftChars="0" w:firstLine="602" w:firstLineChars="200"/>
        <w:jc w:val="both"/>
        <w:textAlignment w:val="auto"/>
        <w:rPr>
          <w:rFonts w:eastAsia="仿宋_GB2312"/>
          <w:spacing w:val="6"/>
          <w:sz w:val="30"/>
          <w:szCs w:val="30"/>
        </w:rPr>
      </w:pPr>
      <w:r>
        <w:rPr>
          <w:rFonts w:hint="eastAsia" w:eastAsia="仿宋_GB2312"/>
          <w:b/>
          <w:sz w:val="30"/>
          <w:szCs w:val="30"/>
          <w:lang w:val="en-US" w:eastAsia="zh-CN" w:bidi="ar"/>
        </w:rPr>
        <w:t>4</w:t>
      </w:r>
      <w:r>
        <w:rPr>
          <w:rFonts w:hint="eastAsia" w:eastAsia="仿宋_GB2312"/>
          <w:b/>
          <w:sz w:val="30"/>
          <w:szCs w:val="30"/>
          <w:lang w:bidi="ar"/>
        </w:rPr>
        <w:t>、项目管理欠规范。</w:t>
      </w:r>
      <w:r>
        <w:rPr>
          <w:rFonts w:hint="eastAsia" w:eastAsia="仿宋_GB2312"/>
          <w:spacing w:val="6"/>
          <w:sz w:val="30"/>
          <w:szCs w:val="30"/>
          <w:lang w:eastAsia="zh-CN" w:bidi="ar"/>
        </w:rPr>
        <w:t>部分</w:t>
      </w:r>
      <w:r>
        <w:rPr>
          <w:rFonts w:hint="eastAsia" w:eastAsia="仿宋_GB2312"/>
          <w:spacing w:val="6"/>
          <w:sz w:val="30"/>
          <w:szCs w:val="30"/>
          <w:lang w:bidi="ar"/>
        </w:rPr>
        <w:t>项目实施过程中，缺乏</w:t>
      </w:r>
      <w:r>
        <w:rPr>
          <w:rFonts w:eastAsia="仿宋_GB2312"/>
          <w:spacing w:val="6"/>
          <w:sz w:val="30"/>
          <w:szCs w:val="30"/>
          <w:lang w:bidi="ar"/>
        </w:rPr>
        <w:t>监督管理</w:t>
      </w:r>
      <w:r>
        <w:rPr>
          <w:rFonts w:hint="eastAsia" w:eastAsia="仿宋_GB2312"/>
          <w:spacing w:val="6"/>
          <w:sz w:val="30"/>
          <w:szCs w:val="30"/>
          <w:lang w:bidi="ar"/>
        </w:rPr>
        <w:t>。</w:t>
      </w:r>
      <w:r>
        <w:rPr>
          <w:rFonts w:eastAsia="仿宋_GB2312"/>
          <w:spacing w:val="6"/>
          <w:sz w:val="30"/>
          <w:szCs w:val="30"/>
          <w:lang w:bidi="ar"/>
        </w:rPr>
        <w:t>相关文件、</w:t>
      </w:r>
      <w:r>
        <w:rPr>
          <w:rFonts w:hint="eastAsia" w:eastAsia="仿宋_GB2312"/>
          <w:spacing w:val="6"/>
          <w:sz w:val="30"/>
          <w:szCs w:val="30"/>
          <w:lang w:bidi="ar"/>
        </w:rPr>
        <w:t>会议纪要等资料亦未及时</w:t>
      </w:r>
      <w:r>
        <w:rPr>
          <w:rFonts w:eastAsia="仿宋_GB2312"/>
          <w:spacing w:val="6"/>
          <w:sz w:val="30"/>
          <w:szCs w:val="30"/>
          <w:lang w:bidi="ar"/>
        </w:rPr>
        <w:t>归档</w:t>
      </w:r>
      <w:r>
        <w:rPr>
          <w:rFonts w:hint="eastAsia" w:eastAsia="仿宋_GB2312"/>
          <w:spacing w:val="6"/>
          <w:sz w:val="30"/>
          <w:szCs w:val="30"/>
          <w:lang w:bidi="ar"/>
        </w:rPr>
        <w:t>。</w:t>
      </w:r>
      <w:r>
        <w:rPr>
          <w:rFonts w:hint="eastAsia" w:eastAsia="仿宋_GB2312"/>
          <w:b/>
          <w:spacing w:val="6"/>
          <w:sz w:val="30"/>
          <w:szCs w:val="30"/>
          <w:lang w:bidi="ar"/>
        </w:rPr>
        <w:t>二是</w:t>
      </w:r>
      <w:r>
        <w:rPr>
          <w:rFonts w:eastAsia="仿宋_GB2312"/>
          <w:spacing w:val="6"/>
          <w:sz w:val="30"/>
          <w:szCs w:val="30"/>
          <w:lang w:bidi="ar"/>
        </w:rPr>
        <w:t>政策依据</w:t>
      </w:r>
      <w:r>
        <w:rPr>
          <w:rFonts w:hint="eastAsia" w:eastAsia="仿宋_GB2312"/>
          <w:spacing w:val="6"/>
          <w:sz w:val="30"/>
          <w:szCs w:val="30"/>
          <w:lang w:bidi="ar"/>
        </w:rPr>
        <w:t>资料不完整</w:t>
      </w:r>
      <w:r>
        <w:rPr>
          <w:rFonts w:eastAsia="仿宋_GB2312"/>
          <w:spacing w:val="6"/>
          <w:sz w:val="30"/>
          <w:szCs w:val="30"/>
          <w:lang w:bidi="ar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720" w:lineRule="exact"/>
        <w:ind w:left="0" w:firstLine="602" w:firstLineChars="200"/>
        <w:jc w:val="both"/>
        <w:textAlignment w:val="auto"/>
        <w:rPr>
          <w:rFonts w:eastAsia="仿宋_GB2312"/>
          <w:spacing w:val="6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6.部分项目暂未产生效益。</w:t>
      </w:r>
      <w:r>
        <w:rPr>
          <w:rFonts w:hint="eastAsia" w:eastAsia="仿宋_GB2312"/>
          <w:spacing w:val="6"/>
          <w:sz w:val="30"/>
          <w:szCs w:val="30"/>
          <w:lang w:val="en-US" w:eastAsia="zh-CN"/>
        </w:rPr>
        <w:t>部分</w:t>
      </w:r>
      <w:r>
        <w:rPr>
          <w:rFonts w:hint="eastAsia" w:eastAsia="仿宋_GB2312"/>
          <w:spacing w:val="6"/>
          <w:sz w:val="30"/>
          <w:szCs w:val="30"/>
        </w:rPr>
        <w:t>项目由于资金等原因，暂未产生效益。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720" w:lineRule="exact"/>
        <w:ind w:left="0" w:firstLine="602" w:firstLineChars="200"/>
        <w:jc w:val="both"/>
        <w:textAlignment w:val="auto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（三）评价结果处理及应用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720" w:lineRule="exact"/>
        <w:ind w:left="0" w:firstLine="602" w:firstLineChars="200"/>
        <w:jc w:val="both"/>
        <w:textAlignment w:val="auto"/>
        <w:rPr>
          <w:rFonts w:ascii="仿宋" w:hAnsi="仿宋" w:eastAsia="仿宋" w:cs="仿宋"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1.我局加快对绩效评价结果的处理。</w:t>
      </w:r>
      <w:r>
        <w:rPr>
          <w:rFonts w:hint="eastAsia" w:ascii="仿宋" w:hAnsi="仿宋" w:eastAsia="仿宋" w:cs="仿宋"/>
          <w:sz w:val="30"/>
          <w:szCs w:val="30"/>
        </w:rPr>
        <w:t>及时将绩效评价结果反馈给预算单位，对一般性问题我们提出整改意见，下达整改通知书，责令被评价单位针对存在的问题研究整改措施，及时整改到位。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720" w:lineRule="exact"/>
        <w:ind w:left="0" w:firstLine="602" w:firstLineChars="200"/>
        <w:jc w:val="both"/>
        <w:textAlignment w:val="auto"/>
        <w:rPr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2.建立评价结果应用机制。</w:t>
      </w:r>
      <w:r>
        <w:rPr>
          <w:rFonts w:hint="eastAsia" w:ascii="仿宋" w:hAnsi="仿宋" w:eastAsia="仿宋" w:cs="仿宋"/>
          <w:sz w:val="30"/>
          <w:szCs w:val="30"/>
        </w:rPr>
        <w:t>我局将建立绩效评价结果与预算安排有机结合机制，将绩效评价结果作为预算安排和调整的重要依据，按照政策、项目的绩效高低，奖优罚劣，优先高绩效的，减少低绩效的，取消无绩效的，优化资源配置。</w:t>
      </w:r>
    </w:p>
    <w:p>
      <w:pPr>
        <w:pStyle w:val="4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0" w:after="0" w:line="720" w:lineRule="exact"/>
        <w:ind w:left="0" w:firstLine="602" w:firstLineChars="200"/>
        <w:jc w:val="both"/>
        <w:textAlignment w:val="auto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绩效工作中存在的困难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720" w:lineRule="exact"/>
        <w:ind w:left="0" w:firstLine="602" w:firstLineChars="200"/>
        <w:jc w:val="both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1.缺乏绩效评价专业人才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。</w:t>
      </w:r>
      <w:r>
        <w:rPr>
          <w:rFonts w:hint="eastAsia" w:ascii="仿宋" w:hAnsi="仿宋" w:eastAsia="仿宋"/>
          <w:sz w:val="30"/>
          <w:szCs w:val="30"/>
        </w:rPr>
        <w:t>虽然我局已经单独设立了预算绩效管理股室，</w:t>
      </w:r>
      <w:r>
        <w:rPr>
          <w:rFonts w:hint="eastAsia" w:ascii="仿宋" w:hAnsi="仿宋" w:eastAsia="仿宋"/>
          <w:sz w:val="30"/>
          <w:szCs w:val="30"/>
          <w:lang w:eastAsia="zh-CN"/>
        </w:rPr>
        <w:t>但是</w:t>
      </w:r>
      <w:r>
        <w:rPr>
          <w:rFonts w:hint="eastAsia" w:ascii="仿宋" w:hAnsi="仿宋" w:eastAsia="仿宋"/>
          <w:sz w:val="30"/>
          <w:szCs w:val="30"/>
        </w:rPr>
        <w:t>绩效评价工作</w:t>
      </w:r>
      <w:r>
        <w:rPr>
          <w:rFonts w:hint="eastAsia" w:ascii="仿宋" w:hAnsi="仿宋" w:eastAsia="仿宋"/>
          <w:sz w:val="30"/>
          <w:szCs w:val="30"/>
          <w:lang w:eastAsia="zh-CN"/>
        </w:rPr>
        <w:t>人手不足，</w:t>
      </w:r>
      <w:r>
        <w:rPr>
          <w:rFonts w:hint="eastAsia" w:ascii="仿宋" w:hAnsi="仿宋" w:eastAsia="仿宋"/>
          <w:sz w:val="30"/>
          <w:szCs w:val="30"/>
        </w:rPr>
        <w:t>绩效评价工作涉及面广、技术性强，而工作人员的知识体系还难以适应，造成绩效评价工作开展起来有相当大的难度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720" w:lineRule="exact"/>
        <w:ind w:left="0" w:firstLine="602" w:firstLineChars="200"/>
        <w:jc w:val="both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2.预算绩效财审联动有待进一步提高。</w:t>
      </w:r>
      <w:r>
        <w:rPr>
          <w:rFonts w:hint="eastAsia" w:ascii="仿宋" w:hAnsi="仿宋" w:eastAsia="仿宋" w:cs="仿宋"/>
          <w:sz w:val="30"/>
          <w:szCs w:val="30"/>
        </w:rPr>
        <w:t>虽然我区今年出台了</w:t>
      </w:r>
      <w:r>
        <w:rPr>
          <w:rFonts w:ascii="仿宋" w:hAnsi="仿宋" w:eastAsia="仿宋" w:cs="仿宋"/>
          <w:sz w:val="30"/>
          <w:szCs w:val="30"/>
        </w:rPr>
        <w:t>《</w:t>
      </w:r>
      <w:r>
        <w:rPr>
          <w:rFonts w:hint="eastAsia" w:ascii="仿宋" w:hAnsi="仿宋" w:eastAsia="仿宋" w:cs="仿宋"/>
          <w:sz w:val="30"/>
          <w:szCs w:val="30"/>
        </w:rPr>
        <w:t>北塔区</w:t>
      </w:r>
      <w:r>
        <w:rPr>
          <w:rFonts w:ascii="仿宋" w:hAnsi="仿宋" w:eastAsia="仿宋" w:cs="仿宋"/>
          <w:sz w:val="30"/>
          <w:szCs w:val="30"/>
        </w:rPr>
        <w:t>关于建立全面预算绩效管理工作协同联动机制的意见》</w:t>
      </w:r>
      <w:r>
        <w:rPr>
          <w:rFonts w:hint="eastAsia" w:ascii="仿宋" w:hAnsi="仿宋" w:eastAsia="仿宋" w:cs="仿宋"/>
          <w:sz w:val="30"/>
          <w:szCs w:val="30"/>
        </w:rPr>
        <w:t>。但是财审联动在广度、深度、力度上仍存不足，有待进一步进行优势互补，深度融合。</w:t>
      </w:r>
    </w:p>
    <w:p>
      <w:pPr>
        <w:pStyle w:val="4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0" w:after="0" w:line="720" w:lineRule="exact"/>
        <w:ind w:left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下一步打算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="0" w:after="0" w:line="720" w:lineRule="exact"/>
        <w:ind w:left="0" w:firstLine="602" w:firstLineChars="200"/>
        <w:jc w:val="both"/>
        <w:textAlignment w:val="auto"/>
        <w:rPr>
          <w:rFonts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1.进一步加强绩效目标管理。</w:t>
      </w:r>
      <w:r>
        <w:rPr>
          <w:rFonts w:hint="eastAsia" w:ascii="仿宋" w:hAnsi="仿宋" w:eastAsia="仿宋" w:cs="仿宋"/>
          <w:b w:val="0"/>
          <w:sz w:val="30"/>
          <w:szCs w:val="30"/>
        </w:rPr>
        <w:t>依据国家相关政策、财政支出方向和重点、部门职能及事业发展规划等预算单位提出的绩效目标进行审核，包括绩效目标与部门职能的相关性、绩效目标的实现所采取措施的可行性、实现绩效目标所需资金的合理性等。定期采集绩效运行信息并汇总分析，对绩效目标运行情况进行跟踪管理和督促检查，纠偏扬长，促进绩效目标的顺利实现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720" w:lineRule="exact"/>
        <w:ind w:left="0" w:firstLine="602" w:firstLineChars="200"/>
        <w:jc w:val="both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2.加大宣传力度，强化业务培训</w:t>
      </w:r>
      <w:r>
        <w:rPr>
          <w:rFonts w:hint="eastAsia" w:ascii="仿宋" w:hAnsi="仿宋" w:eastAsia="仿宋" w:cs="仿宋"/>
          <w:sz w:val="30"/>
          <w:szCs w:val="30"/>
        </w:rPr>
        <w:t>。充分运用新闻媒体、政府网络等平台，加大全面实施预算绩效管理宣传力度；采取多种形式强化对部门、单位的业务指导，引导部门、单位转变思想观念，牢固树立绩效理念，进一步强化预算绩效管理主体责任，为推进全面是是预算绩效管理创造良好的氛围和环境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80" w:lineRule="exact"/>
        <w:ind w:left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006E5F"/>
    <w:multiLevelType w:val="singleLevel"/>
    <w:tmpl w:val="DA006E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37A5C7"/>
    <w:multiLevelType w:val="singleLevel"/>
    <w:tmpl w:val="5D37A5C7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6B"/>
    <w:rsid w:val="00224BAB"/>
    <w:rsid w:val="002D7DB4"/>
    <w:rsid w:val="00676F69"/>
    <w:rsid w:val="00B26B49"/>
    <w:rsid w:val="00BC446B"/>
    <w:rsid w:val="04AC5A73"/>
    <w:rsid w:val="05A36D5C"/>
    <w:rsid w:val="06B61822"/>
    <w:rsid w:val="0A895F5A"/>
    <w:rsid w:val="0D475219"/>
    <w:rsid w:val="0DE65714"/>
    <w:rsid w:val="0E992C64"/>
    <w:rsid w:val="101D306B"/>
    <w:rsid w:val="10524547"/>
    <w:rsid w:val="11846CBD"/>
    <w:rsid w:val="11EA5C3F"/>
    <w:rsid w:val="148A2B64"/>
    <w:rsid w:val="151376D7"/>
    <w:rsid w:val="18726DA3"/>
    <w:rsid w:val="1BAC27E3"/>
    <w:rsid w:val="1D41632C"/>
    <w:rsid w:val="1D883D9C"/>
    <w:rsid w:val="1EC244E8"/>
    <w:rsid w:val="1EC7222F"/>
    <w:rsid w:val="1F9A4B85"/>
    <w:rsid w:val="21D16526"/>
    <w:rsid w:val="24D103C7"/>
    <w:rsid w:val="2B5A5D6F"/>
    <w:rsid w:val="2B9514C9"/>
    <w:rsid w:val="2B9A0EBD"/>
    <w:rsid w:val="2BD17CF8"/>
    <w:rsid w:val="2CB12EC8"/>
    <w:rsid w:val="2D791EF5"/>
    <w:rsid w:val="2E0D2480"/>
    <w:rsid w:val="2E7B1C2F"/>
    <w:rsid w:val="30967637"/>
    <w:rsid w:val="309961E9"/>
    <w:rsid w:val="3122533F"/>
    <w:rsid w:val="32B41706"/>
    <w:rsid w:val="32F65CB5"/>
    <w:rsid w:val="342420A7"/>
    <w:rsid w:val="34882F39"/>
    <w:rsid w:val="35C73CE2"/>
    <w:rsid w:val="36E71977"/>
    <w:rsid w:val="38BC27D9"/>
    <w:rsid w:val="38E21247"/>
    <w:rsid w:val="397B0B49"/>
    <w:rsid w:val="3B673D33"/>
    <w:rsid w:val="3C5E106A"/>
    <w:rsid w:val="3FD33FCA"/>
    <w:rsid w:val="40E60322"/>
    <w:rsid w:val="4183517B"/>
    <w:rsid w:val="425141DE"/>
    <w:rsid w:val="43B33902"/>
    <w:rsid w:val="43F13C5A"/>
    <w:rsid w:val="446260EE"/>
    <w:rsid w:val="44D75E22"/>
    <w:rsid w:val="46A1783B"/>
    <w:rsid w:val="479B495F"/>
    <w:rsid w:val="4806207F"/>
    <w:rsid w:val="48B103CC"/>
    <w:rsid w:val="49A6283C"/>
    <w:rsid w:val="4B1F7ABD"/>
    <w:rsid w:val="4B5D7D2B"/>
    <w:rsid w:val="4C022DAC"/>
    <w:rsid w:val="4C426AC2"/>
    <w:rsid w:val="4E5602CE"/>
    <w:rsid w:val="4F407105"/>
    <w:rsid w:val="4F855819"/>
    <w:rsid w:val="4FC62472"/>
    <w:rsid w:val="51B716D7"/>
    <w:rsid w:val="52643A60"/>
    <w:rsid w:val="53545642"/>
    <w:rsid w:val="547010F1"/>
    <w:rsid w:val="566651C1"/>
    <w:rsid w:val="568515D4"/>
    <w:rsid w:val="57142C7A"/>
    <w:rsid w:val="586D3C8D"/>
    <w:rsid w:val="58C91D0F"/>
    <w:rsid w:val="58CC7C61"/>
    <w:rsid w:val="59A46B56"/>
    <w:rsid w:val="5A7D2604"/>
    <w:rsid w:val="5A8A7ADB"/>
    <w:rsid w:val="5B124A4B"/>
    <w:rsid w:val="60666A14"/>
    <w:rsid w:val="60E81EF7"/>
    <w:rsid w:val="61BD5B6C"/>
    <w:rsid w:val="62D75B6B"/>
    <w:rsid w:val="62F963D5"/>
    <w:rsid w:val="64AA4EB1"/>
    <w:rsid w:val="65CE4293"/>
    <w:rsid w:val="66FB03B7"/>
    <w:rsid w:val="67DF0B9E"/>
    <w:rsid w:val="68C34A77"/>
    <w:rsid w:val="696C4595"/>
    <w:rsid w:val="6AEE181E"/>
    <w:rsid w:val="6DB2396A"/>
    <w:rsid w:val="6DCE7822"/>
    <w:rsid w:val="6DDF72F1"/>
    <w:rsid w:val="6DF556A1"/>
    <w:rsid w:val="6FE00CD3"/>
    <w:rsid w:val="74052C8B"/>
    <w:rsid w:val="7587365D"/>
    <w:rsid w:val="78B65BB3"/>
    <w:rsid w:val="79403F54"/>
    <w:rsid w:val="7F280929"/>
    <w:rsid w:val="7FE5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left="420" w:leftChars="200" w:firstLine="21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2">
    <w:name w:val="p0"/>
    <w:next w:val="9"/>
    <w:qFormat/>
    <w:uiPriority w:val="0"/>
    <w:pPr>
      <w:spacing w:line="365" w:lineRule="atLeast"/>
      <w:ind w:left="1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3064</Words>
  <Characters>3201</Characters>
  <Lines>2</Lines>
  <Paragraphs>8</Paragraphs>
  <TotalTime>31</TotalTime>
  <ScaleCrop>false</ScaleCrop>
  <LinksUpToDate>false</LinksUpToDate>
  <CharactersWithSpaces>3213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2019-12-04T06:57:00Z</cp:lastPrinted>
  <dcterms:modified xsi:type="dcterms:W3CDTF">2022-12-20T08:42:57Z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093D07B1647A4060A16F3A3CF888B7FD</vt:lpwstr>
  </property>
</Properties>
</file>