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北塔区2023年省级财政衔接推进乡村振兴补助资金安排表</w:t>
      </w:r>
    </w:p>
    <w:p>
      <w:pPr>
        <w:spacing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21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712"/>
        <w:gridCol w:w="750"/>
        <w:gridCol w:w="769"/>
        <w:gridCol w:w="769"/>
        <w:gridCol w:w="712"/>
        <w:gridCol w:w="769"/>
        <w:gridCol w:w="525"/>
        <w:gridCol w:w="600"/>
        <w:gridCol w:w="712"/>
        <w:gridCol w:w="769"/>
        <w:gridCol w:w="837"/>
        <w:gridCol w:w="2944"/>
        <w:gridCol w:w="806"/>
        <w:gridCol w:w="731"/>
        <w:gridCol w:w="844"/>
        <w:gridCol w:w="731"/>
        <w:gridCol w:w="750"/>
        <w:gridCol w:w="713"/>
        <w:gridCol w:w="993"/>
        <w:gridCol w:w="1107"/>
        <w:gridCol w:w="1106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乡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建设性质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实施地点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时间进度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责任单位</w:t>
            </w:r>
          </w:p>
        </w:tc>
        <w:tc>
          <w:tcPr>
            <w:tcW w:w="2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建设内容及规模</w:t>
            </w:r>
          </w:p>
        </w:tc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资金规模和筹资方式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受益对象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tblHeader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二级项目类型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项目子类型</w:t>
            </w: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计划开工时间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计划完工时间</w:t>
            </w: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项目预算总投 资（万元）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其中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受益村数（个）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受益户数（户）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受益人口数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（人）</w:t>
            </w:r>
          </w:p>
        </w:tc>
        <w:tc>
          <w:tcPr>
            <w:tcW w:w="3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其中</w:t>
            </w:r>
          </w:p>
        </w:tc>
        <w:tc>
          <w:tcPr>
            <w:tcW w:w="2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tblHeader/>
          <w:jc w:val="center"/>
        </w:trPr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财政资金（万元）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其他资金（万元）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受益脱贫村数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（个）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受益脱贫户数及防止返贫监测对象户数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（户）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受益脱贫人口数及防止返贫监测对象人口数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（人）</w:t>
            </w:r>
          </w:p>
        </w:tc>
        <w:tc>
          <w:tcPr>
            <w:tcW w:w="2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生产项目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水产养殖业发展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田江街道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田江村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鱼塘清淤维修硬化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田江村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田江村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5口鱼塘面积6亩，清淤、维修、硬化，养殖共计35万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776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2198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权归属：田江村委会。本项目建成后，可以持续发展壮大村集体经济，吸纳村内剩余劳动力就业，通过雇佣村内有劳动能力人员和脱贫劳动力，预计带动农户10人以上务工就业，预计每年增加村集体经济1.5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生产项目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种植业基地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田江街道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谷洲村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蔬菜基地附属设施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续建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谷洲村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谷洲村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蓄水池修建6万元、水管铺设安装3万元、内遮阳安装17万元、步行道修建2万元、蔬菜吊绳安装铺设一套2万元。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1692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产权归属：谷州村村民委员会，全年增加村集体经济1万元、带动全村部分村民及监测户脱贫户就业，实现现代化农业生产。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乡村建设行动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农村基础设施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田江街道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苗儿村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道路硬化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续建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苗儿村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2023年10月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苗儿村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道路硬化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600米，项目包括：道路整理6万元，硬化18万元，其他1万元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903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产权归属：苗儿村村民委员会，本项目建成后，为基地生产提供便利 ，减少生产开支5000元/年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生产项目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种植业基地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田江街道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苗儿村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水果基地扩建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续建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苗儿村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2023年8月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2023年10月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苗儿村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艳红桃、蜜柚水果基地扩建40亩，购苗木6万元，肥料10万元，其它2万元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903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2602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产权归属：苗儿村村民委员会，本项目建成后，可壮大集体经济，合作社社员每年分红300元/人，带动10余人就业，就业人员收入5000元/人年，预计每年增加村级体收入3万元。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配套基础设施项目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小型农田水利设施建设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田江街道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邓家社区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灌溉水渠疏浚整修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邓家社区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2023年8月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2023年12月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邓家社区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水渠砌体320米*0.8米高*2面墙体需12万余元，人工二次转运费及余土外运3万元，渠沟粉刷及沟渠硬化3万余元，人工挖基础及材料（河沙，水泥）费3万元。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产业归属：邓家社区，建成后可推动乡村振兴，带动传统种植业发展，激发村民种植农品提高农作物产量从而提高居民收入。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田江街道小计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乡村建设行动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人居环境整治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村容村貌提升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光裕村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美丽庭院建设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光裕村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光裕村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围绕大应公路与320国道沿线，打造大应公路沿线（光裕村段）及6、7、8组美丽庭院亮点，共计20万元。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使用资金达到的效益目标;产权归属:光裕村民委员会，美化院落，改善人居环境，打造院落亮点，提升老百姓生活幸福感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生产项目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种植业基地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贺井村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蔬菜基地配套设施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贺井村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贺井村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完成建设瓜果长廊，修建浑水摸鱼池塘，共计30万元。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使用资金达到的效益目标;产权归属:贺井村民委员会，依托蔬菜基地实现农旅融合，带动乡村旅游，提高村集体收入。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配套基础设施项目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小型农田水利设施建设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贺井村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农业灌溉水利设施建设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贺井村1-2组至9-11组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贺井村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修建1，2，9，10，11组抗旱灌溉电排，管道建设，4组排水渠修建300米共计40万元。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使用资金达到的效益目标;产权归属贺井村委会，提升农业生产效率，降低农业生产成本，有利于村民生产生活便利，促进春耕生产。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加工流通项目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产地初加工和精深加工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李子塘村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黄桃基地配套设施（烘干房）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李子塘村黄桃基地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李子塘村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平整土地，建设320平方米钢结构厂房，建设宝矿300m³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1107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使用资金达到的效益目标;产权归属:李子塘村民委员会，提升产品附加值，扩大品牌效应，建成后，可产黄桃干、红薯干等，预计每年可增加村集体经济收入3万元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7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生产项目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种植业基地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田庄村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秋桃基地品种改良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续建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田庄村秋桃基地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田庄村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秋桃基地建设内容：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①购买新新品种：20亩；预计每亩改良费用：5000元/亩；计：10万元。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②秋桃基地土地流转：50亩；400元/亩/年，5年；计：10万元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③管护（施肥、除草、打药 ）：50亩；预计：2000元/亩；计：10万元                          总计预计：30万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使用资金达到的效益目标，产权归属：田庄村委会，本项目建成后，可大大推动我镇水果产业发展，调整产业布局，巩固脱贫成果。推动我镇乡村振兴工作，计划今年销售秋桃1.9万元，每年能为我村提供务工就业10个，提高受益群众的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生产项目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种植业基地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同兴村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无花果基地扩建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同兴村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同兴村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万茂片无花果基地扩建20亩预计25万元，监控设备5万元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使用资金达到的效益目标;产权归属:同兴村民委员会，带动近50亩田土流转，使农户增收450元/亩，带动脱贫户就业，提供就业岗位4个，增加村集体经济收入预计1万元/年。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生产项目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休闲农业与乡村旅游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望城坡村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蓝莓基地配套设施建设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续建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望城坡村蓝莓基地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望城坡村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园内新增深水井建设1口，日出水量100吨/日，预计花费15万元；现有农产品中心升级装修改造，预计花费15万元；预计共花费30万元。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1069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使用资金达到的效益目标;产权归属望城坡村委会，提升储水功能，保障蓝莓基地灌溉用水，提升生产效率，加强农旅融合，完善园区道路，建设农产品中心，提升蓝莓基地旅游形象，促进产业融合发展提质增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乡村建设行动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农村基础设施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农村道路建设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陈家桥镇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兴旺村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廖家道路提质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兴旺村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兴旺村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从大应公路廖家路口至廖家光伏发电段道路提质，铺油砂500米，4.5米宽，预计花费27.5万元，路面划线标示，预计花费2.5万元；预计共需30万元。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使用资金达到的效益目标;产权归属兴旺村委会，完善村内基础设施，提升村级形象，打造宜居宜游人居环境，提升百姓生活幸福感。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陈家桥小计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乡村建设行动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人居环境整治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村容村貌提升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沐三村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美丽庭院建设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沐三村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沐三村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1.修建文化广场：1300平方米；2.房屋绘画；3.农家菜园规范；4.房前屋后污水集中排放。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权归属：沐三村委员会。把美丽庭院（阳台）创建作为深化美丽乡村建设的重要内容，宣传引导广大村民从自己做起、从家庭做起、从点滴做起，以小家美带动大家美，以家庭面貌的焕然一新促进城乡面貌的改造提升，为推动美丽乡村建设专项行动贡献力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乡村建设行动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农村基础设施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农村道路建设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马家村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清真西寺道路建设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五组清真西寺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2023年11月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马家村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1.修建道路油砂150米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2.打造民族团结阵地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修建油砂路200米、打造民族团结宣传阵地一处。通过油砂路建设、便于村民出行，改善人居环境，营造浓厚的民族团结宣传氛围。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乡村建设行动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人居环境整治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村容村貌提升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人居环境整治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续建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赵家塘组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主要用于建设：1.铺设道板砖2000平方米，132元/平方米，约26.4万元，2.修建排水渠200米，330元/米，约6.6万元。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产权归属：茶元头村委员会，该项目可以带动美丽乡村建设，美化乡村环境，有效推动乡村产业发展，提高村民幸福指数。该项目完成，受益脱贫（监测）4户10人，受益村民群众180人。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生产项目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种植业基地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百盛果园红美人基地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茶元头村1组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主要用于建设：1.搭建大棚3000平方米，约20万元，2.山塘清淤1口，约5万元。约，3.修建肥料池5个，约5万元。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产权归属：茶元头村委员会，以水果基地为基础，发展旅游业，使农民增收，产业增效。增加村集体经济收入，增加村民群众收入。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农村基础设施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小型农田水利设施建设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枫林村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农业生产水利建设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宗政组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2023年3月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2023年11月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枫林村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1、对枫林村宗政、老院、石笋、马路片区修建灌溉水闸2座，老院水井旁机械作业道路扩宽，受益面积280亩。共计5万元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2、农业机械作业桥，建设长度5米。共计3万元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3、水渠建设神仙岩至宗政组邓家塘水渠，包括机械作业，维修加固，硬化水渠，建设长度450米。共计7万元。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产权归属：枫林村村民委员会，项目建成后，完善村级基础设施建设，方便村民农作物用水，提高村民种粮积极性，提升村民幸福感。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乡村建设行动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人居环境整治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农村垃圾治理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茶元头街道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兴隆社区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人居环境提质改造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续建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社区32个组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2023年11月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兴隆社区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辖区内所有组对垃圾池、垃圾桶重新更换，对整体做规划性整治整理共计20万元。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使用资金达到的效益目标;产权归属:兴隆社区，美化院落，改善人居环境，打造院落亮点，提升老百姓生活幸福感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茶元头街道小计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产业发展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金融保险配套项目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小额贷款贴息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北塔区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农业农村水利局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2023年小额贷款贴息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北塔区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2023年8月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2023年12月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北塔区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2023年小额贷款贴息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2023年小额贷款贴息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农业农村水利局小计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537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537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23811" w:h="16838" w:orient="landscape"/>
      <w:pgMar w:top="1559" w:right="1984" w:bottom="161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M2ZmMTVmYTllNzRiYzA0YjM4OTkwOWUwMmQzMjgifQ=="/>
  </w:docVars>
  <w:rsids>
    <w:rsidRoot w:val="000F1B3C"/>
    <w:rsid w:val="00010203"/>
    <w:rsid w:val="000F1B3C"/>
    <w:rsid w:val="000F7725"/>
    <w:rsid w:val="001A552E"/>
    <w:rsid w:val="001D35A3"/>
    <w:rsid w:val="003455FA"/>
    <w:rsid w:val="00352C3B"/>
    <w:rsid w:val="003865A4"/>
    <w:rsid w:val="0041371C"/>
    <w:rsid w:val="004867DD"/>
    <w:rsid w:val="004A6F1B"/>
    <w:rsid w:val="004B3126"/>
    <w:rsid w:val="00571BD2"/>
    <w:rsid w:val="005B56CE"/>
    <w:rsid w:val="00602FAF"/>
    <w:rsid w:val="00646A02"/>
    <w:rsid w:val="00662941"/>
    <w:rsid w:val="006A0047"/>
    <w:rsid w:val="006D21A2"/>
    <w:rsid w:val="006F64B8"/>
    <w:rsid w:val="0072468F"/>
    <w:rsid w:val="007605B6"/>
    <w:rsid w:val="0078484F"/>
    <w:rsid w:val="0087635F"/>
    <w:rsid w:val="00A10408"/>
    <w:rsid w:val="00A1404A"/>
    <w:rsid w:val="00A96BF8"/>
    <w:rsid w:val="00C2125B"/>
    <w:rsid w:val="00CF045C"/>
    <w:rsid w:val="00D72927"/>
    <w:rsid w:val="00DD0F2D"/>
    <w:rsid w:val="00DD4C48"/>
    <w:rsid w:val="00E21257"/>
    <w:rsid w:val="00ED5EC3"/>
    <w:rsid w:val="00EE4CE2"/>
    <w:rsid w:val="00EE620D"/>
    <w:rsid w:val="00EF2A8D"/>
    <w:rsid w:val="05624502"/>
    <w:rsid w:val="0B6E5F24"/>
    <w:rsid w:val="0D33086C"/>
    <w:rsid w:val="16EB39BE"/>
    <w:rsid w:val="266318BC"/>
    <w:rsid w:val="3D08482F"/>
    <w:rsid w:val="3D752064"/>
    <w:rsid w:val="3E1D39DC"/>
    <w:rsid w:val="468B03AD"/>
    <w:rsid w:val="49AD0727"/>
    <w:rsid w:val="506D428F"/>
    <w:rsid w:val="52017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81"/>
    <w:basedOn w:val="5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4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5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7">
    <w:name w:val="font1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1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91"/>
    <w:basedOn w:val="5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20"/>
      <w:szCs w:val="20"/>
      <w:u w:val="none"/>
    </w:rPr>
  </w:style>
  <w:style w:type="character" w:customStyle="1" w:styleId="23">
    <w:name w:val="font101"/>
    <w:basedOn w:val="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4">
    <w:name w:val="font112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5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4236</Words>
  <Characters>4859</Characters>
  <Lines>43</Lines>
  <Paragraphs>12</Paragraphs>
  <TotalTime>30</TotalTime>
  <ScaleCrop>false</ScaleCrop>
  <LinksUpToDate>false</LinksUpToDate>
  <CharactersWithSpaces>4890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2022-06-21T02:52:00Z</dcterms:created>
  <dc:creator>微软用户</dc:creator>
  <cp:lastModifiedBy>企业用户_314885341</cp:lastModifiedBy>
  <cp:lastPrinted>2023-06-05T03:43:00Z</cp:lastPrinted>
  <dcterms:modified xsi:type="dcterms:W3CDTF">2023-10-07T03:45:10Z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E31164F1A81B43A29AE936B7DF3F58F8_13</vt:lpwstr>
  </property>
</Properties>
</file>