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方正小标宋_GBK" w:hAnsi="方正小标宋_GBK" w:eastAsia="方正小标宋_GBK" w:cs="方正小标宋_GBK"/>
          <w:sz w:val="28"/>
          <w:szCs w:val="28"/>
          <w:lang w:eastAsia="zh-CN"/>
        </w:rPr>
        <w:t>北塔区原种场</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pStyle w:val="5"/>
        <w:keepNext w:val="0"/>
        <w:keepLines w:val="0"/>
        <w:widowControl/>
        <w:suppressLineNumbers w:val="0"/>
        <w:spacing w:before="0" w:beforeAutospacing="0" w:after="2" w:afterAutospacing="0"/>
        <w:ind w:left="0" w:right="0" w:firstLine="641"/>
        <w:rPr>
          <w:rFonts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r>
        <w:rPr>
          <w:rFonts w:hint="eastAsia" w:ascii="宋体" w:hAnsi="宋体" w:eastAsia="宋体" w:cs="宋体"/>
          <w:b/>
          <w:bCs/>
          <w:i w:val="0"/>
          <w:iCs w:val="0"/>
          <w:caps w:val="0"/>
          <w:color w:val="444444"/>
          <w:spacing w:val="0"/>
          <w:sz w:val="32"/>
          <w:szCs w:val="32"/>
          <w:shd w:val="clear" w:fill="FFFFFF"/>
          <w:lang w:val="en-US" w:eastAsia="zh-CN"/>
        </w:rPr>
        <w:tab/>
      </w:r>
      <w:r>
        <w:rPr>
          <w:rFonts w:hint="eastAsia" w:ascii="宋体" w:hAnsi="宋体" w:eastAsia="宋体" w:cs="宋体"/>
          <w:b/>
          <w:bCs/>
          <w:i w:val="0"/>
          <w:iCs w:val="0"/>
          <w:caps w:val="0"/>
          <w:color w:val="444444"/>
          <w:spacing w:val="0"/>
          <w:sz w:val="32"/>
          <w:szCs w:val="32"/>
          <w:shd w:val="clear" w:fill="FFFFFF"/>
          <w:lang w:val="en-US" w:eastAsia="zh-CN"/>
        </w:rPr>
        <w:t xml:space="preserve">     </w:t>
      </w:r>
      <w:r>
        <w:rPr>
          <w:rFonts w:hint="eastAsia" w:ascii="宋体" w:hAnsi="宋体" w:eastAsia="宋体" w:cs="宋体"/>
          <w:i w:val="0"/>
          <w:iCs w:val="0"/>
          <w:caps w:val="0"/>
          <w:color w:val="000000"/>
          <w:spacing w:val="0"/>
          <w:sz w:val="32"/>
          <w:szCs w:val="32"/>
        </w:rPr>
        <w:t>邵阳市北塔区原种场内设机构包括：本部门共有编制人数3人，实有人数2人，无内设机构。</w:t>
      </w:r>
      <w:r>
        <w:rPr>
          <w:rFonts w:hint="eastAsia" w:ascii="宋体" w:hAnsi="宋体" w:eastAsia="宋体" w:cs="宋体"/>
          <w:b/>
          <w:bCs/>
          <w:i w:val="0"/>
          <w:iCs w:val="0"/>
          <w:caps w:val="0"/>
          <w:color w:val="444444"/>
          <w:spacing w:val="0"/>
          <w:sz w:val="32"/>
          <w:szCs w:val="32"/>
          <w:shd w:val="clear" w:fill="FFFFFF"/>
          <w:lang w:val="en-US" w:eastAsia="zh-CN"/>
        </w:rPr>
        <w:t xml:space="preserve">                                            （二）主要工作职责   </w:t>
      </w:r>
      <w:r>
        <w:rPr>
          <w:rFonts w:ascii="宋体" w:hAnsi="宋体" w:eastAsia="宋体" w:cs="宋体"/>
          <w:i w:val="0"/>
          <w:iCs w:val="0"/>
          <w:caps w:val="0"/>
          <w:color w:val="000000"/>
          <w:spacing w:val="0"/>
          <w:sz w:val="32"/>
          <w:szCs w:val="32"/>
        </w:rPr>
        <w:t>（</w:t>
      </w:r>
      <w:r>
        <w:rPr>
          <w:rFonts w:hint="eastAsia" w:ascii="宋体" w:hAnsi="宋体" w:eastAsia="宋体" w:cs="宋体"/>
          <w:i w:val="0"/>
          <w:iCs w:val="0"/>
          <w:caps w:val="0"/>
          <w:color w:val="000000"/>
          <w:spacing w:val="0"/>
          <w:sz w:val="32"/>
          <w:szCs w:val="32"/>
          <w:lang w:val="en-US" w:eastAsia="zh-CN"/>
        </w:rPr>
        <w:t>1</w:t>
      </w:r>
      <w:r>
        <w:rPr>
          <w:rFonts w:ascii="宋体" w:hAnsi="宋体" w:eastAsia="宋体" w:cs="宋体"/>
          <w:i w:val="0"/>
          <w:iCs w:val="0"/>
          <w:caps w:val="0"/>
          <w:color w:val="000000"/>
          <w:spacing w:val="0"/>
          <w:sz w:val="32"/>
          <w:szCs w:val="32"/>
        </w:rPr>
        <w:t>）贯彻实施国家和省市有关农业农场发展的法律，法规和政策。</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w:t>
      </w:r>
      <w:r>
        <w:rPr>
          <w:rFonts w:hint="eastAsia" w:ascii="宋体" w:hAnsi="宋体" w:eastAsia="宋体" w:cs="宋体"/>
          <w:i w:val="0"/>
          <w:iCs w:val="0"/>
          <w:caps w:val="0"/>
          <w:color w:val="000000"/>
          <w:spacing w:val="0"/>
          <w:sz w:val="32"/>
          <w:szCs w:val="32"/>
          <w:lang w:val="en-US" w:eastAsia="zh-CN"/>
        </w:rPr>
        <w:t>2</w:t>
      </w:r>
      <w:r>
        <w:rPr>
          <w:rFonts w:ascii="宋体" w:hAnsi="宋体" w:eastAsia="宋体" w:cs="宋体"/>
          <w:i w:val="0"/>
          <w:iCs w:val="0"/>
          <w:caps w:val="0"/>
          <w:color w:val="000000"/>
          <w:spacing w:val="0"/>
          <w:sz w:val="32"/>
          <w:szCs w:val="32"/>
        </w:rPr>
        <w:t>）负责研究拟定和组织实施农业农场管理体制的意见，推进原种场工作系统化，制度化。</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w:t>
      </w:r>
      <w:r>
        <w:rPr>
          <w:rFonts w:hint="eastAsia" w:ascii="宋体" w:hAnsi="宋体" w:eastAsia="宋体" w:cs="宋体"/>
          <w:i w:val="0"/>
          <w:iCs w:val="0"/>
          <w:caps w:val="0"/>
          <w:color w:val="000000"/>
          <w:spacing w:val="0"/>
          <w:sz w:val="32"/>
          <w:szCs w:val="32"/>
          <w:lang w:val="en-US" w:eastAsia="zh-CN"/>
        </w:rPr>
        <w:t>3</w:t>
      </w:r>
      <w:r>
        <w:rPr>
          <w:rFonts w:ascii="宋体" w:hAnsi="宋体" w:eastAsia="宋体" w:cs="宋体"/>
          <w:i w:val="0"/>
          <w:iCs w:val="0"/>
          <w:caps w:val="0"/>
          <w:color w:val="000000"/>
          <w:spacing w:val="0"/>
          <w:sz w:val="32"/>
          <w:szCs w:val="32"/>
        </w:rPr>
        <w:t>）水稻良种繁育，经济作物种植，畜牧养殖及相关经营活动。</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w:t>
      </w:r>
      <w:r>
        <w:rPr>
          <w:rFonts w:hint="eastAsia" w:ascii="宋体" w:hAnsi="宋体" w:eastAsia="宋体" w:cs="宋体"/>
          <w:i w:val="0"/>
          <w:iCs w:val="0"/>
          <w:caps w:val="0"/>
          <w:color w:val="000000"/>
          <w:spacing w:val="0"/>
          <w:sz w:val="32"/>
          <w:szCs w:val="32"/>
          <w:lang w:val="en-US" w:eastAsia="zh-CN"/>
        </w:rPr>
        <w:t>4</w:t>
      </w:r>
      <w:r>
        <w:rPr>
          <w:rFonts w:ascii="宋体" w:hAnsi="宋体" w:eastAsia="宋体" w:cs="宋体"/>
          <w:i w:val="0"/>
          <w:iCs w:val="0"/>
          <w:caps w:val="0"/>
          <w:color w:val="000000"/>
          <w:spacing w:val="0"/>
          <w:sz w:val="32"/>
          <w:szCs w:val="32"/>
        </w:rPr>
        <w:t>）负责辖区内生态环境保护，安全生产，财政收支和国有资产的管理等相关工作。</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ascii="宋体" w:hAnsi="宋体" w:eastAsia="宋体" w:cs="宋体"/>
          <w:i w:val="0"/>
          <w:iCs w:val="0"/>
          <w:caps w:val="0"/>
          <w:color w:val="000000"/>
          <w:spacing w:val="0"/>
          <w:sz w:val="32"/>
          <w:szCs w:val="32"/>
        </w:rPr>
        <w:t>（</w:t>
      </w:r>
      <w:r>
        <w:rPr>
          <w:rFonts w:hint="eastAsia" w:ascii="宋体" w:hAnsi="宋体" w:eastAsia="宋体" w:cs="宋体"/>
          <w:i w:val="0"/>
          <w:iCs w:val="0"/>
          <w:caps w:val="0"/>
          <w:color w:val="000000"/>
          <w:spacing w:val="0"/>
          <w:sz w:val="32"/>
          <w:szCs w:val="32"/>
          <w:lang w:val="en-US" w:eastAsia="zh-CN"/>
        </w:rPr>
        <w:t>5</w:t>
      </w:r>
      <w:r>
        <w:rPr>
          <w:rFonts w:ascii="宋体" w:hAnsi="宋体" w:eastAsia="宋体" w:cs="宋体"/>
          <w:i w:val="0"/>
          <w:iCs w:val="0"/>
          <w:caps w:val="0"/>
          <w:color w:val="000000"/>
          <w:spacing w:val="0"/>
          <w:sz w:val="32"/>
          <w:szCs w:val="32"/>
        </w:rPr>
        <w:t>）完成区委，区人民政府交办的其他工作。</w:t>
      </w:r>
    </w:p>
    <w:p>
      <w:pPr>
        <w:tabs>
          <w:tab w:val="center" w:pos="4153"/>
        </w:tabs>
        <w:spacing w:line="480" w:lineRule="auto"/>
        <w:ind w:left="638" w:leftChars="304" w:firstLine="0" w:firstLineChars="0"/>
        <w:jc w:val="left"/>
        <w:rPr>
          <w:rFonts w:hint="default" w:ascii="宋体" w:hAnsi="宋体" w:eastAsia="宋体" w:cs="宋体"/>
          <w:b/>
          <w:bCs/>
          <w:i w:val="0"/>
          <w:iCs w:val="0"/>
          <w:caps w:val="0"/>
          <w:color w:val="444444"/>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pStyle w:val="5"/>
        <w:keepNext w:val="0"/>
        <w:keepLines w:val="0"/>
        <w:widowControl/>
        <w:suppressLineNumbers w:val="0"/>
        <w:spacing w:before="0" w:beforeAutospacing="0" w:after="2" w:afterAutospacing="0"/>
        <w:ind w:left="0" w:right="0" w:firstLine="640"/>
        <w:rPr>
          <w:rFonts w:ascii="Tahoma" w:hAnsi="Tahoma" w:eastAsia="Tahoma" w:cs="Tahoma"/>
          <w:i w:val="0"/>
          <w:iCs w:val="0"/>
          <w:caps w:val="0"/>
          <w:color w:val="000000"/>
          <w:spacing w:val="0"/>
          <w:sz w:val="27"/>
          <w:szCs w:val="27"/>
        </w:rPr>
      </w:pPr>
      <w:r>
        <w:rPr>
          <w:rFonts w:hint="eastAsia" w:ascii="宋体" w:hAnsi="宋体" w:eastAsia="宋体" w:cs="宋体"/>
          <w:b/>
          <w:bCs/>
          <w:i w:val="0"/>
          <w:iCs w:val="0"/>
          <w:caps w:val="0"/>
          <w:color w:val="444444"/>
          <w:spacing w:val="0"/>
          <w:sz w:val="32"/>
          <w:szCs w:val="32"/>
          <w:shd w:val="clear" w:fill="FFFFFF"/>
          <w:lang w:val="en-US" w:eastAsia="zh-CN"/>
        </w:rPr>
        <w:t xml:space="preserve">（一）预算执行情况   </w:t>
      </w:r>
      <w:r>
        <w:rPr>
          <w:rFonts w:hint="eastAsia" w:ascii="宋体" w:hAnsi="宋体" w:eastAsia="宋体" w:cs="宋体"/>
          <w:i w:val="0"/>
          <w:iCs w:val="0"/>
          <w:caps w:val="0"/>
          <w:color w:val="000000"/>
          <w:spacing w:val="0"/>
          <w:sz w:val="32"/>
          <w:szCs w:val="32"/>
        </w:rPr>
        <w:t>2022年度财政拨款支出年初预算数为24.04万元，支出决算数为39.19万元，完成年初预算的162.99%，其中：</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1、一般公共服务支出（类）政府办公厅（室）及相关机构事务（款）行政运行（项）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年初预算为15.87万元，支出决算为12.42万元，完成年初预算的78.26%。决算数小于年初预算数的主要原因是：部分预算支出</w:t>
      </w:r>
      <w:r>
        <w:rPr>
          <w:rFonts w:hint="eastAsia" w:ascii="宋体" w:hAnsi="宋体" w:eastAsia="宋体" w:cs="宋体"/>
          <w:i w:val="0"/>
          <w:iCs w:val="0"/>
          <w:caps w:val="0"/>
          <w:color w:val="000000"/>
          <w:spacing w:val="0"/>
          <w:sz w:val="32"/>
          <w:szCs w:val="32"/>
          <w:lang w:eastAsia="zh-CN"/>
        </w:rPr>
        <w:t>结余</w:t>
      </w:r>
      <w:r>
        <w:rPr>
          <w:rFonts w:hint="eastAsia" w:ascii="宋体" w:hAnsi="宋体" w:eastAsia="宋体" w:cs="宋体"/>
          <w:i w:val="0"/>
          <w:iCs w:val="0"/>
          <w:caps w:val="0"/>
          <w:color w:val="000000"/>
          <w:spacing w:val="0"/>
          <w:sz w:val="32"/>
          <w:szCs w:val="32"/>
        </w:rPr>
        <w:t>。</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2、一般公共服务支出（类）政府办公厅（室）及相关机构事务（款）其他政府办公厅（室）及相关机构事务支出（项）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年初预算为0万元，支出决算为7万元，决算数大于年初预算数的主要原因是：年初预算未安排该项支出</w:t>
      </w:r>
      <w:r>
        <w:rPr>
          <w:rFonts w:hint="eastAsia" w:ascii="宋体" w:hAnsi="宋体" w:eastAsia="宋体" w:cs="宋体"/>
          <w:i w:val="0"/>
          <w:iCs w:val="0"/>
          <w:caps w:val="0"/>
          <w:color w:val="000000"/>
          <w:spacing w:val="0"/>
          <w:sz w:val="32"/>
          <w:szCs w:val="32"/>
          <w:lang w:eastAsia="zh-CN"/>
        </w:rPr>
        <w:t>，年中预算调整</w:t>
      </w:r>
      <w:r>
        <w:rPr>
          <w:rFonts w:hint="eastAsia" w:ascii="宋体" w:hAnsi="宋体" w:eastAsia="宋体" w:cs="宋体"/>
          <w:i w:val="0"/>
          <w:iCs w:val="0"/>
          <w:caps w:val="0"/>
          <w:color w:val="000000"/>
          <w:spacing w:val="0"/>
          <w:sz w:val="32"/>
          <w:szCs w:val="32"/>
        </w:rPr>
        <w:t>。</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3、文化旅游体育与传媒支出（类）文化和旅游（款）行政运行（项）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年初预算为0万元，支出决算为9.6万元，决算数大于年初预算数的主要原因是：年初预算未安排该项支出</w:t>
      </w:r>
      <w:r>
        <w:rPr>
          <w:rFonts w:hint="eastAsia" w:ascii="宋体" w:hAnsi="宋体" w:eastAsia="宋体" w:cs="宋体"/>
          <w:i w:val="0"/>
          <w:iCs w:val="0"/>
          <w:caps w:val="0"/>
          <w:color w:val="000000"/>
          <w:spacing w:val="0"/>
          <w:sz w:val="32"/>
          <w:szCs w:val="32"/>
          <w:lang w:eastAsia="zh-CN"/>
        </w:rPr>
        <w:t>，年中预算调整</w:t>
      </w:r>
      <w:r>
        <w:rPr>
          <w:rFonts w:hint="eastAsia" w:ascii="宋体" w:hAnsi="宋体" w:eastAsia="宋体" w:cs="宋体"/>
          <w:i w:val="0"/>
          <w:iCs w:val="0"/>
          <w:caps w:val="0"/>
          <w:color w:val="000000"/>
          <w:spacing w:val="0"/>
          <w:sz w:val="32"/>
          <w:szCs w:val="32"/>
        </w:rPr>
        <w:t>。</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4、社会保障和就业支出（类）行政事业单位养老支出（款）机关事业单位基本养老保险缴费支出（项）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年初预算为2万元，支出决算为2万元，完成年初预算的100%。决算数与年初预算数一致，我单位严格按预算执行决算。</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5、社会保障和就业支出（类）财政对其他社会保险基金的补助（款）财政对失业保险基金的补助（项）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年初预算为0.12万元，支出决算为0.12万元，完成年初预算的100%。决算数与年初预算数一致，我单位严格按预算执行决算。</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6、社会保障和就业支出（类）财政对其他社会保险基金的补助（款）财政对工伤保险基金的补助（项）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年初预算为0.12万元，支出决算为0.12万元，完成年初预算的100%。决算数与年初预算数一致，我单位严格按预算执行决算。</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7、卫生健康支出（类）行政事业单位医疗（款）行政单位医疗（项）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年初预算为1.04万元，支出决算为1.04万元，完成年初预算的100%。决算数与年初预算数一致，我单位严格按预算执行决算。</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8、农林水支出（类）水利（款）其他水利支出（项）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年初预算为0万元，支出决算为5万元，决算数大于年初预算数的主要原因是：年初预算未安排该项支出</w:t>
      </w:r>
      <w:r>
        <w:rPr>
          <w:rFonts w:hint="eastAsia" w:ascii="宋体" w:hAnsi="宋体" w:eastAsia="宋体" w:cs="宋体"/>
          <w:i w:val="0"/>
          <w:iCs w:val="0"/>
          <w:caps w:val="0"/>
          <w:color w:val="000000"/>
          <w:spacing w:val="0"/>
          <w:sz w:val="32"/>
          <w:szCs w:val="32"/>
          <w:lang w:eastAsia="zh-CN"/>
        </w:rPr>
        <w:t>，年中预算调整</w:t>
      </w:r>
      <w:r>
        <w:rPr>
          <w:rFonts w:hint="eastAsia" w:ascii="宋体" w:hAnsi="宋体" w:eastAsia="宋体" w:cs="宋体"/>
          <w:i w:val="0"/>
          <w:iCs w:val="0"/>
          <w:caps w:val="0"/>
          <w:color w:val="000000"/>
          <w:spacing w:val="0"/>
          <w:sz w:val="32"/>
          <w:szCs w:val="32"/>
        </w:rPr>
        <w:t>。</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Style w:val="8"/>
          <w:rFonts w:hint="eastAsia" w:ascii="宋体" w:hAnsi="宋体" w:eastAsia="宋体" w:cs="宋体"/>
          <w:i w:val="0"/>
          <w:iCs w:val="0"/>
          <w:caps w:val="0"/>
          <w:color w:val="000000"/>
          <w:spacing w:val="0"/>
          <w:sz w:val="32"/>
          <w:szCs w:val="32"/>
        </w:rPr>
        <w:t>9、住房保障支出（类）住房改革支出（款）住房公积金（项）</w:t>
      </w:r>
    </w:p>
    <w:p>
      <w:pPr>
        <w:pStyle w:val="5"/>
        <w:keepNext w:val="0"/>
        <w:keepLines w:val="0"/>
        <w:widowControl/>
        <w:suppressLineNumbers w:val="0"/>
        <w:spacing w:before="0" w:beforeAutospacing="0" w:after="2" w:afterAutospacing="0"/>
        <w:ind w:left="0" w:right="0" w:firstLine="641"/>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年初预算为1.9万元，支出决算为1.9万元，完成年初预算的100%。决算数与年初预算数一致，我单位严格按预算执行决算。</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2022年度原种场单位基本支出年初预算安排为24.04万元，本年实际支出为39.19万元，主要为人员经费支出和公用经费支出，其中人员经费支出30.19万元、公用经费支出9万元。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本年项目支出年初预算安排为0万元，本年实际支出为0万元，主要是没有项目支出。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39.19万元，预算安排数39.19万元，预算执行率为100%；⑵公用经费预算9万元，实际支出9万元，公用经费控制率为100%；、（3）“三公经费”年初预算安排0万元，实际支出0万元，“三公经费”控制率为100%。（4）政府采购年初预算0万元，实际政府采购金额0万元，政府采购执行率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b/>
          <w:bCs/>
          <w:i w:val="0"/>
          <w:iCs w:val="0"/>
          <w:caps w:val="0"/>
          <w:color w:val="444444"/>
          <w:spacing w:val="0"/>
          <w:sz w:val="24"/>
          <w:szCs w:val="24"/>
          <w:highlight w:val="none"/>
          <w:shd w:val="clear" w:fill="FFFFFF"/>
          <w:lang w:eastAsia="zh-CN"/>
        </w:rPr>
        <w:t>北塔区原种场</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截止2022年12月31日，原种场</w:t>
      </w:r>
      <w:r>
        <w:rPr>
          <w:rFonts w:hint="eastAsia" w:ascii="方正小标宋_GBK" w:hAnsi="方正小标宋_GBK" w:eastAsia="方正小标宋_GBK" w:cs="方正小标宋_GBK"/>
          <w:sz w:val="28"/>
          <w:szCs w:val="28"/>
          <w:lang w:eastAsia="zh-CN"/>
        </w:rPr>
        <w:t>单位</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拥有各类资产总额55.29万元，其中流动资产21.4万元，固定资产33.89万元。单位为加强资产管理，内部制定了资产管理制度，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bidi w:val="0"/>
        <w:jc w:val="left"/>
        <w:rPr>
          <w:rFonts w:hint="default" w:asciiTheme="minorHAnsi" w:hAnsiTheme="minorHAnsi" w:eastAsiaTheme="minorEastAsia" w:cstheme="minorBidi"/>
          <w:kern w:val="2"/>
          <w:sz w:val="32"/>
          <w:szCs w:val="32"/>
          <w:lang w:val="en-US" w:eastAsia="zh-CN" w:bidi="ar-SA"/>
        </w:rPr>
      </w:pPr>
      <w:r>
        <w:rPr>
          <w:rFonts w:hint="eastAsia" w:cstheme="minorBidi"/>
          <w:kern w:val="2"/>
          <w:sz w:val="32"/>
          <w:szCs w:val="32"/>
          <w:lang w:val="en-US" w:eastAsia="zh-CN" w:bidi="ar-SA"/>
        </w:rPr>
        <w:t>2022年度，我场充分履行职责职能，严格执行各项管理制度，经济社会效益显著，社会公众满意度上升，较好地完成了全年工作目标。</w:t>
      </w:r>
    </w:p>
    <w:p>
      <w:pPr>
        <w:keepNext w:val="0"/>
        <w:keepLines w:val="0"/>
        <w:pageBreakBefore w:val="0"/>
        <w:widowControl w:val="0"/>
        <w:kinsoku/>
        <w:wordWrap/>
        <w:overflowPunct/>
        <w:topLinePunct w:val="0"/>
        <w:autoSpaceDE/>
        <w:autoSpaceDN/>
        <w:bidi w:val="0"/>
        <w:adjustRightInd/>
        <w:snapToGrid w:val="0"/>
        <w:spacing w:line="480" w:lineRule="auto"/>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1281" w:leftChars="304" w:right="0" w:hanging="643" w:hangingChars="200"/>
        <w:jc w:val="both"/>
        <w:rPr>
          <w:rFonts w:hint="default"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                         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五.措施及有关建议</w:t>
      </w:r>
    </w:p>
    <w:p>
      <w:pPr>
        <w:pStyle w:val="9"/>
        <w:ind w:firstLine="996" w:firstLineChars="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无</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lang w:eastAsia="zh-CN"/>
        </w:rPr>
        <w:t>原种场</w:t>
      </w:r>
      <w:r>
        <w:rPr>
          <w:rFonts w:hint="eastAsia" w:ascii="宋体" w:hAnsi="宋体" w:cs="宋体"/>
          <w:bCs/>
          <w:kern w:val="0"/>
          <w:sz w:val="32"/>
          <w:szCs w:val="32"/>
        </w:rPr>
        <w:t>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r>
    </w:tbl>
    <w:p>
      <w:pPr>
        <w:pStyle w:val="9"/>
        <w:ind w:firstLine="996" w:firstLineChars="0"/>
        <w:rPr>
          <w:rFonts w:hint="eastAsia" w:ascii="宋体" w:hAnsi="宋体" w:eastAsia="宋体" w:cs="宋体"/>
          <w:i w:val="0"/>
          <w:iCs w:val="0"/>
          <w:caps w:val="0"/>
          <w:color w:val="444444"/>
          <w:spacing w:val="0"/>
          <w:kern w:val="2"/>
          <w:sz w:val="28"/>
          <w:szCs w:val="28"/>
          <w:shd w:val="clear" w:fill="FFFFFF"/>
          <w:lang w:val="en-US" w:eastAsia="zh-CN" w:bidi="ar-S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5C80770"/>
    <w:rsid w:val="07C531B9"/>
    <w:rsid w:val="09D9119E"/>
    <w:rsid w:val="09E17252"/>
    <w:rsid w:val="0B640F3B"/>
    <w:rsid w:val="0B782DD0"/>
    <w:rsid w:val="0D197B03"/>
    <w:rsid w:val="0D5E3707"/>
    <w:rsid w:val="11E84674"/>
    <w:rsid w:val="126C42B4"/>
    <w:rsid w:val="17042185"/>
    <w:rsid w:val="18602A8A"/>
    <w:rsid w:val="1F010C8F"/>
    <w:rsid w:val="204B55D3"/>
    <w:rsid w:val="20F63895"/>
    <w:rsid w:val="25A77F4A"/>
    <w:rsid w:val="26166273"/>
    <w:rsid w:val="26720558"/>
    <w:rsid w:val="29804D3A"/>
    <w:rsid w:val="2B032004"/>
    <w:rsid w:val="2C7529D1"/>
    <w:rsid w:val="2D202ABC"/>
    <w:rsid w:val="2D6C05C8"/>
    <w:rsid w:val="2E162111"/>
    <w:rsid w:val="2EF57F78"/>
    <w:rsid w:val="312863E3"/>
    <w:rsid w:val="32DF2B99"/>
    <w:rsid w:val="340A4F12"/>
    <w:rsid w:val="34AB35B3"/>
    <w:rsid w:val="3619015E"/>
    <w:rsid w:val="36E22B02"/>
    <w:rsid w:val="37500442"/>
    <w:rsid w:val="37A26170"/>
    <w:rsid w:val="3B9303B2"/>
    <w:rsid w:val="3C8416D7"/>
    <w:rsid w:val="3FAB09ED"/>
    <w:rsid w:val="44AF5D78"/>
    <w:rsid w:val="45833892"/>
    <w:rsid w:val="45CB4E15"/>
    <w:rsid w:val="466320FD"/>
    <w:rsid w:val="4ACA7AAB"/>
    <w:rsid w:val="4B685902"/>
    <w:rsid w:val="4B991F60"/>
    <w:rsid w:val="4BD27220"/>
    <w:rsid w:val="4D113C42"/>
    <w:rsid w:val="4E58558A"/>
    <w:rsid w:val="4F3501F1"/>
    <w:rsid w:val="52982570"/>
    <w:rsid w:val="52C04276"/>
    <w:rsid w:val="53202F66"/>
    <w:rsid w:val="54462559"/>
    <w:rsid w:val="55C776C9"/>
    <w:rsid w:val="575435C3"/>
    <w:rsid w:val="5889510A"/>
    <w:rsid w:val="58CA4CA4"/>
    <w:rsid w:val="59A70B1E"/>
    <w:rsid w:val="59E60318"/>
    <w:rsid w:val="5C221AFD"/>
    <w:rsid w:val="5CBC5F90"/>
    <w:rsid w:val="5E434E2C"/>
    <w:rsid w:val="5E6D1153"/>
    <w:rsid w:val="5F83500A"/>
    <w:rsid w:val="5FA32F55"/>
    <w:rsid w:val="60745B56"/>
    <w:rsid w:val="630006BE"/>
    <w:rsid w:val="641F097E"/>
    <w:rsid w:val="65236940"/>
    <w:rsid w:val="664A41B0"/>
    <w:rsid w:val="66C537B1"/>
    <w:rsid w:val="66D16D4F"/>
    <w:rsid w:val="66FE6113"/>
    <w:rsid w:val="6B874FA2"/>
    <w:rsid w:val="6CC24944"/>
    <w:rsid w:val="6D2C48D9"/>
    <w:rsid w:val="6E13574A"/>
    <w:rsid w:val="6FD52562"/>
    <w:rsid w:val="70514092"/>
    <w:rsid w:val="70852420"/>
    <w:rsid w:val="73125FD0"/>
    <w:rsid w:val="74CE4179"/>
    <w:rsid w:val="76DC35F5"/>
    <w:rsid w:val="7832658D"/>
    <w:rsid w:val="79074D5F"/>
    <w:rsid w:val="79B06543"/>
    <w:rsid w:val="79B37DE1"/>
    <w:rsid w:val="7A6A4943"/>
    <w:rsid w:val="7AF745AA"/>
    <w:rsid w:val="7B7D06A6"/>
    <w:rsid w:val="7ED8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1814</Words>
  <Characters>1941</Characters>
  <Lines>0</Lines>
  <Paragraphs>0</Paragraphs>
  <TotalTime>0</TotalTime>
  <ScaleCrop>false</ScaleCrop>
  <LinksUpToDate>false</LinksUpToDate>
  <CharactersWithSpaces>2022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