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第五部分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eastAsia="宋体"/>
          <w:lang w:eastAsia="zh-CN"/>
        </w:rPr>
      </w:pPr>
      <w:r>
        <w:rPr>
          <w:rFonts w:hint="default" w:ascii="Times New Roman" w:hAnsi="Times New Roman" w:eastAsia="微软雅黑" w:cs="Times New Roman"/>
          <w:b/>
          <w:bCs/>
          <w:color w:val="444444"/>
          <w:sz w:val="28"/>
          <w:szCs w:val="28"/>
          <w:shd w:val="clear" w:fill="FFFFFF"/>
        </w:rPr>
        <w:t>2021</w:t>
      </w:r>
      <w:r>
        <w:rPr>
          <w:rFonts w:hint="eastAsia" w:ascii="宋体" w:hAnsi="宋体" w:eastAsia="宋体" w:cs="宋体"/>
          <w:b/>
          <w:bCs/>
          <w:color w:val="444444"/>
          <w:sz w:val="28"/>
          <w:szCs w:val="28"/>
          <w:shd w:val="clear" w:fill="FFFFFF"/>
        </w:rPr>
        <w:t>年度</w:t>
      </w:r>
      <w:r>
        <w:rPr>
          <w:rFonts w:hint="eastAsia" w:ascii="宋体" w:hAnsi="宋体" w:eastAsia="宋体" w:cs="宋体"/>
          <w:b/>
          <w:bCs/>
          <w:color w:val="444444"/>
          <w:sz w:val="28"/>
          <w:szCs w:val="28"/>
          <w:shd w:val="clear" w:fill="FFFFFF"/>
          <w:lang w:eastAsia="zh-CN"/>
        </w:rPr>
        <w:t>园艺示范场</w:t>
      </w:r>
      <w:r>
        <w:rPr>
          <w:rFonts w:hint="eastAsia" w:ascii="宋体" w:hAnsi="宋体" w:eastAsia="宋体" w:cs="宋体"/>
          <w:b/>
          <w:bCs/>
          <w:color w:val="444444"/>
          <w:sz w:val="28"/>
          <w:szCs w:val="28"/>
          <w:shd w:val="clear" w:fill="FFFFFF"/>
        </w:rPr>
        <w:t>整体支出绩效评价报告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1．主要职能。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480" w:lineRule="atLeast"/>
        <w:ind w:right="150"/>
        <w:jc w:val="left"/>
      </w:pPr>
      <w:r>
        <w:rPr>
          <w:rFonts w:hint="eastAsia" w:ascii="宋体" w:hAnsi="宋体" w:eastAsia="宋体" w:cs="宋体"/>
          <w:i w:val="0"/>
          <w:caps w:val="0"/>
          <w:color w:val="000000"/>
          <w:spacing w:val="0"/>
          <w:kern w:val="0"/>
          <w:sz w:val="24"/>
          <w:szCs w:val="24"/>
          <w:shd w:val="clear" w:color="auto" w:fill="FFFFFF"/>
          <w:lang w:val="en-US" w:eastAsia="zh-CN" w:bidi="ar"/>
        </w:rPr>
        <w:t>（1）宣传贯彻中央、省、市、区关于农业农村农民工作的法律法规和方针政策。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480" w:lineRule="atLeast"/>
        <w:ind w:right="150"/>
        <w:jc w:val="left"/>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i w:val="0"/>
          <w:caps w:val="0"/>
          <w:color w:val="000000"/>
          <w:spacing w:val="0"/>
          <w:kern w:val="0"/>
          <w:sz w:val="24"/>
          <w:szCs w:val="24"/>
          <w:shd w:val="clear" w:color="auto" w:fill="FFFFFF"/>
          <w:lang w:val="en-US" w:eastAsia="zh-CN" w:bidi="ar"/>
        </w:rPr>
        <w:t xml:space="preserve">（2）加强管理、政策协调，组织和引导场内经济发展。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480" w:lineRule="atLeast"/>
        <w:ind w:right="150"/>
        <w:jc w:val="left"/>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i w:val="0"/>
          <w:caps w:val="0"/>
          <w:color w:val="000000"/>
          <w:spacing w:val="0"/>
          <w:kern w:val="0"/>
          <w:sz w:val="24"/>
          <w:szCs w:val="24"/>
          <w:shd w:val="clear" w:color="auto" w:fill="FFFFFF"/>
          <w:lang w:val="en-US" w:eastAsia="zh-CN" w:bidi="ar"/>
        </w:rPr>
        <w:t>（3）负责场里日常管理工作。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i w:val="0"/>
          <w:caps w:val="0"/>
          <w:color w:val="000000"/>
          <w:spacing w:val="0"/>
          <w:kern w:val="0"/>
          <w:sz w:val="24"/>
          <w:szCs w:val="24"/>
          <w:shd w:val="clear" w:color="auto" w:fill="FFFFFF"/>
          <w:lang w:val="en-US" w:eastAsia="zh-CN" w:bidi="ar"/>
        </w:rPr>
        <w:t xml:space="preserve">（4）完成区委、政府交办的其它事项 。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2.机构情况。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i w:val="0"/>
          <w:caps w:val="0"/>
          <w:color w:val="000000"/>
          <w:spacing w:val="0"/>
          <w:kern w:val="0"/>
          <w:sz w:val="24"/>
          <w:szCs w:val="24"/>
          <w:shd w:val="clear" w:color="auto" w:fill="FFFFFF"/>
          <w:lang w:val="en-US" w:eastAsia="zh-CN" w:bidi="ar"/>
        </w:rPr>
        <w:t>北塔区园艺示范场是北塔区人民政府直属公益二类差额拨款副科级事业单位，无内设机构。</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人员情况。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480" w:lineRule="atLeast"/>
        <w:ind w:right="150"/>
        <w:jc w:val="left"/>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i w:val="0"/>
          <w:caps w:val="0"/>
          <w:color w:val="000000"/>
          <w:spacing w:val="0"/>
          <w:kern w:val="0"/>
          <w:sz w:val="24"/>
          <w:szCs w:val="24"/>
          <w:shd w:val="clear" w:color="auto" w:fill="FFFFFF"/>
          <w:lang w:val="en-US" w:eastAsia="zh-CN" w:bidi="ar"/>
        </w:rPr>
        <w:t>事业编制3人，另聘请2人。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480" w:lineRule="atLeast"/>
        <w:ind w:right="150"/>
        <w:jc w:val="left"/>
        <w:rPr>
          <w:rFonts w:hint="eastAsia" w:ascii="宋体" w:hAnsi="宋体" w:eastAsia="宋体" w:cs="宋体"/>
          <w:i w:val="0"/>
          <w:caps w:val="0"/>
          <w:color w:val="000000"/>
          <w:spacing w:val="0"/>
          <w:kern w:val="0"/>
          <w:sz w:val="24"/>
          <w:szCs w:val="24"/>
          <w:shd w:val="clear" w:color="auto"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二、部门整体支出管理及使用情况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（一）基本支出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基本支出系保障我</w:t>
      </w:r>
      <w:r>
        <w:rPr>
          <w:rFonts w:hint="eastAsia" w:ascii="宋体" w:hAnsi="宋体" w:eastAsia="宋体" w:cs="宋体"/>
          <w:color w:val="444444"/>
          <w:kern w:val="0"/>
          <w:sz w:val="28"/>
          <w:szCs w:val="28"/>
          <w:shd w:val="clear" w:fill="FFFFFF"/>
          <w:lang w:eastAsia="zh-CN"/>
        </w:rPr>
        <w:t>场</w:t>
      </w:r>
      <w:r>
        <w:rPr>
          <w:rFonts w:hint="eastAsia" w:ascii="宋体" w:hAnsi="宋体" w:eastAsia="宋体" w:cs="宋体"/>
          <w:color w:val="444444"/>
          <w:kern w:val="0"/>
          <w:sz w:val="28"/>
          <w:szCs w:val="28"/>
          <w:shd w:val="clear" w:fill="FFFFFF"/>
        </w:rPr>
        <w:t>机构正常运转、完成日常工作任务而发生的人员支出和公用支出，包括用于在职人员基本工资、津贴补贴等人员经费以及办公费、印刷费、水电费、办公设备购置等日常公用经费。2021年我</w:t>
      </w:r>
      <w:r>
        <w:rPr>
          <w:rFonts w:hint="eastAsia" w:ascii="宋体" w:hAnsi="宋体" w:eastAsia="宋体" w:cs="宋体"/>
          <w:color w:val="444444"/>
          <w:kern w:val="0"/>
          <w:sz w:val="28"/>
          <w:szCs w:val="28"/>
          <w:shd w:val="clear" w:fill="FFFFFF"/>
          <w:lang w:eastAsia="zh-CN"/>
        </w:rPr>
        <w:t>场</w:t>
      </w:r>
      <w:r>
        <w:rPr>
          <w:rFonts w:hint="eastAsia" w:ascii="宋体" w:hAnsi="宋体" w:eastAsia="宋体" w:cs="宋体"/>
          <w:color w:val="444444"/>
          <w:kern w:val="0"/>
          <w:sz w:val="28"/>
          <w:szCs w:val="28"/>
          <w:shd w:val="clear" w:fill="FFFFFF"/>
        </w:rPr>
        <w:t>基本支出</w:t>
      </w:r>
      <w:r>
        <w:rPr>
          <w:rFonts w:hint="eastAsia" w:ascii="宋体" w:hAnsi="宋体" w:eastAsia="宋体" w:cs="宋体"/>
          <w:color w:val="444444"/>
          <w:kern w:val="0"/>
          <w:sz w:val="28"/>
          <w:szCs w:val="28"/>
          <w:shd w:val="clear" w:fill="FFFFFF"/>
          <w:lang w:val="en-US" w:eastAsia="zh-CN"/>
        </w:rPr>
        <w:t>24.1</w:t>
      </w:r>
      <w:r>
        <w:rPr>
          <w:rFonts w:hint="eastAsia" w:ascii="宋体" w:hAnsi="宋体" w:eastAsia="宋体" w:cs="宋体"/>
          <w:color w:val="444444"/>
          <w:kern w:val="0"/>
          <w:sz w:val="28"/>
          <w:szCs w:val="28"/>
          <w:shd w:val="clear" w:fill="FFFFFF"/>
        </w:rPr>
        <w:t>万元，比上年同口径</w:t>
      </w:r>
      <w:r>
        <w:rPr>
          <w:rFonts w:hint="eastAsia" w:ascii="宋体" w:hAnsi="宋体" w:eastAsia="宋体" w:cs="宋体"/>
          <w:color w:val="444444"/>
          <w:kern w:val="0"/>
          <w:sz w:val="28"/>
          <w:szCs w:val="28"/>
          <w:shd w:val="clear" w:fill="FFFFFF"/>
          <w:lang w:eastAsia="zh-CN"/>
        </w:rPr>
        <w:t>减少</w:t>
      </w:r>
      <w:r>
        <w:rPr>
          <w:rFonts w:hint="eastAsia" w:ascii="宋体" w:hAnsi="宋体" w:eastAsia="宋体" w:cs="宋体"/>
          <w:color w:val="444444"/>
          <w:kern w:val="0"/>
          <w:sz w:val="28"/>
          <w:szCs w:val="28"/>
          <w:shd w:val="clear" w:fill="FFFFFF"/>
          <w:lang w:val="en-US" w:eastAsia="zh-CN"/>
        </w:rPr>
        <w:t>2.95</w:t>
      </w:r>
      <w:r>
        <w:rPr>
          <w:rFonts w:hint="eastAsia" w:ascii="宋体" w:hAnsi="宋体" w:eastAsia="宋体" w:cs="宋体"/>
          <w:color w:val="444444"/>
          <w:kern w:val="0"/>
          <w:sz w:val="28"/>
          <w:szCs w:val="28"/>
          <w:shd w:val="clear" w:fill="FFFFFF"/>
        </w:rPr>
        <w:t>万元，</w:t>
      </w:r>
      <w:r>
        <w:rPr>
          <w:rFonts w:hint="eastAsia" w:ascii="宋体" w:hAnsi="宋体" w:eastAsia="宋体" w:cs="宋体"/>
          <w:color w:val="444444"/>
          <w:kern w:val="0"/>
          <w:sz w:val="28"/>
          <w:szCs w:val="28"/>
          <w:shd w:val="clear" w:fill="FFFFFF"/>
          <w:lang w:eastAsia="zh-CN"/>
        </w:rPr>
        <w:t>下降</w:t>
      </w:r>
      <w:r>
        <w:rPr>
          <w:rFonts w:hint="eastAsia" w:ascii="宋体" w:hAnsi="宋体" w:eastAsia="宋体" w:cs="宋体"/>
          <w:color w:val="444444"/>
          <w:kern w:val="0"/>
          <w:sz w:val="28"/>
          <w:szCs w:val="28"/>
          <w:shd w:val="clear" w:fill="FFFFFF"/>
          <w:lang w:val="en-US" w:eastAsia="zh-CN"/>
        </w:rPr>
        <w:t>10.91</w:t>
      </w:r>
      <w:r>
        <w:rPr>
          <w:rFonts w:hint="eastAsia" w:ascii="宋体" w:hAnsi="宋体" w:eastAsia="宋体" w:cs="宋体"/>
          <w:color w:val="444444"/>
          <w:kern w:val="0"/>
          <w:sz w:val="28"/>
          <w:szCs w:val="28"/>
          <w:shd w:val="clear" w:fill="FFFFFF"/>
        </w:rPr>
        <w:t>%。其中：工资福利支出</w:t>
      </w:r>
      <w:r>
        <w:rPr>
          <w:rFonts w:hint="eastAsia" w:ascii="宋体" w:hAnsi="宋体" w:eastAsia="宋体" w:cs="宋体"/>
          <w:color w:val="444444"/>
          <w:kern w:val="0"/>
          <w:sz w:val="28"/>
          <w:szCs w:val="28"/>
          <w:shd w:val="clear" w:fill="FFFFFF"/>
          <w:lang w:val="en-US" w:eastAsia="zh-CN"/>
        </w:rPr>
        <w:t>21.1</w:t>
      </w:r>
      <w:r>
        <w:rPr>
          <w:rFonts w:hint="eastAsia" w:ascii="宋体" w:hAnsi="宋体" w:eastAsia="宋体" w:cs="宋体"/>
          <w:color w:val="444444"/>
          <w:kern w:val="0"/>
          <w:sz w:val="28"/>
          <w:szCs w:val="28"/>
          <w:shd w:val="clear" w:fill="FFFFFF"/>
        </w:rPr>
        <w:t>万元，商品和服务支出</w:t>
      </w:r>
      <w:r>
        <w:rPr>
          <w:rFonts w:hint="eastAsia" w:ascii="宋体" w:hAnsi="宋体" w:eastAsia="宋体" w:cs="宋体"/>
          <w:color w:val="444444"/>
          <w:kern w:val="0"/>
          <w:sz w:val="28"/>
          <w:szCs w:val="28"/>
          <w:shd w:val="clear" w:fill="FFFFFF"/>
          <w:lang w:val="en-US" w:eastAsia="zh-CN"/>
        </w:rPr>
        <w:t>3</w:t>
      </w:r>
      <w:r>
        <w:rPr>
          <w:rFonts w:hint="eastAsia" w:ascii="宋体" w:hAnsi="宋体" w:eastAsia="宋体" w:cs="宋体"/>
          <w:color w:val="444444"/>
          <w:kern w:val="0"/>
          <w:sz w:val="28"/>
          <w:szCs w:val="28"/>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2021年“三公”经费实际开支总额</w:t>
      </w:r>
      <w:r>
        <w:rPr>
          <w:rFonts w:hint="eastAsia" w:ascii="宋体" w:hAnsi="宋体" w:eastAsia="宋体" w:cs="宋体"/>
          <w:color w:val="444444"/>
          <w:kern w:val="0"/>
          <w:sz w:val="28"/>
          <w:szCs w:val="28"/>
          <w:shd w:val="clear" w:fill="FFFFFF"/>
          <w:lang w:val="en-US" w:eastAsia="zh-CN"/>
        </w:rPr>
        <w:t>0.1</w:t>
      </w:r>
      <w:r>
        <w:rPr>
          <w:rFonts w:hint="eastAsia" w:ascii="宋体" w:hAnsi="宋体" w:eastAsia="宋体" w:cs="宋体"/>
          <w:color w:val="444444"/>
          <w:kern w:val="0"/>
          <w:sz w:val="28"/>
          <w:szCs w:val="28"/>
          <w:shd w:val="clear" w:fill="FFFFFF"/>
        </w:rPr>
        <w:t>万元。其中：因公出国（境）费支出本年未发生。公务用车购置及运行维护费实际开支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万元（公务用车购置费未发生，公务用车运行维护费</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万元），公务用车保有量</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辆；公务接待费实际开支</w:t>
      </w:r>
      <w:r>
        <w:rPr>
          <w:rFonts w:hint="eastAsia" w:ascii="宋体" w:hAnsi="宋体" w:eastAsia="宋体" w:cs="宋体"/>
          <w:color w:val="444444"/>
          <w:kern w:val="0"/>
          <w:sz w:val="28"/>
          <w:szCs w:val="28"/>
          <w:shd w:val="clear" w:fill="FFFFFF"/>
          <w:lang w:val="en-US" w:eastAsia="zh-CN"/>
        </w:rPr>
        <w:t>0.1</w:t>
      </w:r>
      <w:r>
        <w:rPr>
          <w:rFonts w:hint="eastAsia" w:ascii="宋体" w:hAnsi="宋体" w:eastAsia="宋体" w:cs="宋体"/>
          <w:color w:val="444444"/>
          <w:kern w:val="0"/>
          <w:sz w:val="28"/>
          <w:szCs w:val="28"/>
          <w:shd w:val="clear" w:fill="FFFFFF"/>
        </w:rPr>
        <w:t>万元，公务接待</w:t>
      </w:r>
      <w:r>
        <w:rPr>
          <w:rFonts w:hint="eastAsia" w:ascii="宋体" w:hAnsi="宋体" w:eastAsia="宋体" w:cs="宋体"/>
          <w:color w:val="444444"/>
          <w:kern w:val="0"/>
          <w:sz w:val="28"/>
          <w:szCs w:val="28"/>
          <w:shd w:val="clear" w:fill="FFFFFF"/>
          <w:lang w:val="en-US" w:eastAsia="zh-CN"/>
        </w:rPr>
        <w:t>5</w:t>
      </w:r>
      <w:r>
        <w:rPr>
          <w:rFonts w:hint="eastAsia" w:ascii="宋体" w:hAnsi="宋体" w:eastAsia="宋体" w:cs="宋体"/>
          <w:color w:val="444444"/>
          <w:kern w:val="0"/>
          <w:sz w:val="28"/>
          <w:szCs w:val="28"/>
          <w:shd w:val="clear" w:fill="FFFFFF"/>
        </w:rPr>
        <w:t>批次</w:t>
      </w:r>
      <w:r>
        <w:rPr>
          <w:rFonts w:hint="eastAsia" w:ascii="宋体" w:hAnsi="宋体" w:eastAsia="宋体" w:cs="宋体"/>
          <w:color w:val="444444"/>
          <w:kern w:val="0"/>
          <w:sz w:val="28"/>
          <w:szCs w:val="28"/>
          <w:shd w:val="clear" w:fill="FFFFFF"/>
          <w:lang w:val="en-US" w:eastAsia="zh-CN"/>
        </w:rPr>
        <w:t>20</w:t>
      </w:r>
      <w:r>
        <w:rPr>
          <w:rFonts w:hint="eastAsia" w:ascii="宋体" w:hAnsi="宋体" w:eastAsia="宋体" w:cs="宋体"/>
          <w:color w:val="444444"/>
          <w:kern w:val="0"/>
          <w:sz w:val="28"/>
          <w:szCs w:val="28"/>
          <w:shd w:val="clear" w:fill="FFFFFF"/>
        </w:rPr>
        <w:t>人次。2021年“三公”经费实际开支总额</w:t>
      </w:r>
      <w:r>
        <w:rPr>
          <w:rFonts w:hint="eastAsia" w:ascii="宋体" w:hAnsi="宋体" w:eastAsia="宋体" w:cs="宋体"/>
          <w:color w:val="444444"/>
          <w:kern w:val="0"/>
          <w:sz w:val="28"/>
          <w:szCs w:val="28"/>
          <w:shd w:val="clear" w:fill="FFFFFF"/>
          <w:lang w:eastAsia="zh-CN"/>
        </w:rPr>
        <w:t>与</w:t>
      </w:r>
      <w:r>
        <w:rPr>
          <w:rFonts w:hint="eastAsia" w:ascii="宋体" w:hAnsi="宋体" w:eastAsia="宋体" w:cs="宋体"/>
          <w:color w:val="444444"/>
          <w:kern w:val="0"/>
          <w:sz w:val="28"/>
          <w:szCs w:val="28"/>
          <w:shd w:val="clear" w:fill="FFFFFF"/>
        </w:rPr>
        <w:t>2020年同口径</w:t>
      </w:r>
      <w:r>
        <w:rPr>
          <w:rFonts w:hint="eastAsia" w:ascii="宋体" w:hAnsi="宋体" w:eastAsia="宋体" w:cs="宋体"/>
          <w:color w:val="444444"/>
          <w:kern w:val="0"/>
          <w:sz w:val="28"/>
          <w:szCs w:val="28"/>
          <w:shd w:val="clear" w:fill="FFFFFF"/>
          <w:lang w:eastAsia="zh-CN"/>
        </w:rPr>
        <w:t>持平</w:t>
      </w:r>
      <w:r>
        <w:rPr>
          <w:rFonts w:hint="eastAsia" w:ascii="宋体" w:hAnsi="宋体" w:eastAsia="宋体" w:cs="宋体"/>
          <w:color w:val="444444"/>
          <w:kern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（二）专项支出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eastAsia="宋体"/>
          <w:lang w:eastAsia="zh-CN"/>
        </w:rPr>
      </w:pPr>
      <w:r>
        <w:rPr>
          <w:rFonts w:hint="eastAsia" w:ascii="宋体" w:hAnsi="宋体" w:eastAsia="宋体" w:cs="宋体"/>
          <w:color w:val="444444"/>
          <w:kern w:val="0"/>
          <w:sz w:val="28"/>
          <w:szCs w:val="28"/>
          <w:shd w:val="clear" w:fill="FFFFFF"/>
        </w:rPr>
        <w:t>2021年我</w:t>
      </w:r>
      <w:r>
        <w:rPr>
          <w:rFonts w:hint="eastAsia" w:ascii="宋体" w:hAnsi="宋体" w:eastAsia="宋体" w:cs="宋体"/>
          <w:color w:val="444444"/>
          <w:kern w:val="0"/>
          <w:sz w:val="28"/>
          <w:szCs w:val="28"/>
          <w:shd w:val="clear" w:fill="FFFFFF"/>
          <w:lang w:eastAsia="zh-CN"/>
        </w:rPr>
        <w:t>场无项目支出。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三、资产管理情况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eastAsia="宋体"/>
          <w:lang w:val="en-US" w:eastAsia="zh-CN"/>
        </w:rPr>
      </w:pPr>
      <w:r>
        <w:rPr>
          <w:rFonts w:hint="default" w:ascii="仿宋" w:hAnsi="仿宋" w:eastAsia="仿宋" w:cs="仿宋"/>
          <w:sz w:val="32"/>
          <w:szCs w:val="32"/>
          <w:lang w:val="en-US" w:eastAsia="zh-CN"/>
        </w:rPr>
        <w:t>我</w:t>
      </w:r>
      <w:r>
        <w:rPr>
          <w:rFonts w:hint="eastAsia" w:ascii="仿宋" w:hAnsi="仿宋" w:eastAsia="仿宋" w:cs="仿宋"/>
          <w:sz w:val="32"/>
          <w:szCs w:val="32"/>
          <w:lang w:val="en-US" w:eastAsia="zh-CN"/>
        </w:rPr>
        <w:t>场</w:t>
      </w:r>
      <w:r>
        <w:rPr>
          <w:rFonts w:hint="default" w:ascii="仿宋" w:hAnsi="仿宋" w:eastAsia="仿宋" w:cs="仿宋"/>
          <w:sz w:val="32"/>
          <w:szCs w:val="32"/>
          <w:lang w:val="en-US" w:eastAsia="zh-CN"/>
        </w:rPr>
        <w:t>资产管理由办公室负责，资产采购按程序实行报批采购，</w:t>
      </w:r>
      <w:r>
        <w:rPr>
          <w:rFonts w:hint="eastAsia" w:ascii="仿宋" w:hAnsi="仿宋" w:eastAsia="仿宋" w:cs="仿宋"/>
          <w:sz w:val="32"/>
          <w:szCs w:val="32"/>
          <w:lang w:val="en-US" w:eastAsia="zh-CN"/>
        </w:rPr>
        <w:t>统一在政采云平台下单，</w:t>
      </w:r>
      <w:r>
        <w:rPr>
          <w:rFonts w:hint="default" w:ascii="仿宋" w:hAnsi="仿宋" w:eastAsia="仿宋" w:cs="仿宋"/>
          <w:sz w:val="32"/>
          <w:szCs w:val="32"/>
          <w:lang w:val="en-US" w:eastAsia="zh-CN"/>
        </w:rPr>
        <w:t>采购后登记</w:t>
      </w:r>
      <w:r>
        <w:rPr>
          <w:rFonts w:hint="eastAsia" w:ascii="仿宋" w:hAnsi="仿宋" w:eastAsia="仿宋" w:cs="仿宋"/>
          <w:sz w:val="32"/>
          <w:szCs w:val="32"/>
          <w:lang w:val="en-US" w:eastAsia="zh-CN"/>
        </w:rPr>
        <w:t>入账，录入资产信息系统</w:t>
      </w:r>
      <w:r>
        <w:rPr>
          <w:rFonts w:hint="default" w:ascii="仿宋" w:hAnsi="仿宋" w:eastAsia="仿宋" w:cs="仿宋"/>
          <w:sz w:val="32"/>
          <w:szCs w:val="32"/>
          <w:lang w:val="en-US" w:eastAsia="zh-CN"/>
        </w:rPr>
        <w:t>，再派发到相关科室。</w:t>
      </w:r>
      <w:r>
        <w:rPr>
          <w:rFonts w:hint="eastAsia" w:ascii="仿宋" w:hAnsi="仿宋" w:eastAsia="仿宋" w:cs="仿宋"/>
          <w:sz w:val="32"/>
          <w:szCs w:val="32"/>
          <w:lang w:val="en-US" w:eastAsia="zh-CN"/>
        </w:rPr>
        <w:t>一是我场资产管理和使用坚持统一政策、统一领导、分级管理、责任到人、物尽其用的原则。</w:t>
      </w:r>
      <w:r>
        <w:rPr>
          <w:rFonts w:hint="default" w:ascii="仿宋" w:hAnsi="仿宋" w:eastAsia="仿宋" w:cs="仿宋"/>
          <w:sz w:val="32"/>
          <w:szCs w:val="32"/>
          <w:lang w:val="en-US" w:eastAsia="zh-CN"/>
        </w:rPr>
        <w:t>二是运用</w:t>
      </w:r>
      <w:r>
        <w:rPr>
          <w:rFonts w:hint="eastAsia" w:ascii="仿宋" w:hAnsi="仿宋" w:eastAsia="仿宋" w:cs="仿宋"/>
          <w:sz w:val="32"/>
          <w:szCs w:val="32"/>
          <w:lang w:val="en-US" w:eastAsia="zh-CN"/>
        </w:rPr>
        <w:t>资产</w:t>
      </w:r>
      <w:r>
        <w:rPr>
          <w:rFonts w:hint="default" w:ascii="仿宋" w:hAnsi="仿宋" w:eastAsia="仿宋" w:cs="仿宋"/>
          <w:sz w:val="32"/>
          <w:szCs w:val="32"/>
          <w:lang w:val="en-US" w:eastAsia="zh-CN"/>
        </w:rPr>
        <w:t>信息管理系统加强资产管理。</w:t>
      </w:r>
      <w:r>
        <w:rPr>
          <w:rFonts w:hint="eastAsia" w:ascii="仿宋" w:hAnsi="仿宋" w:eastAsia="仿宋" w:cs="仿宋"/>
          <w:sz w:val="32"/>
          <w:szCs w:val="32"/>
          <w:lang w:val="en-US" w:eastAsia="zh-CN"/>
        </w:rPr>
        <w:t>对</w:t>
      </w:r>
      <w:r>
        <w:rPr>
          <w:rFonts w:hint="default" w:ascii="仿宋" w:hAnsi="仿宋" w:eastAsia="仿宋" w:cs="仿宋"/>
          <w:sz w:val="32"/>
          <w:szCs w:val="32"/>
          <w:lang w:val="en-US" w:eastAsia="zh-CN"/>
        </w:rPr>
        <w:t>固定资产分别按使用部门、存放地点和</w:t>
      </w:r>
      <w:r>
        <w:rPr>
          <w:rFonts w:hint="eastAsia" w:ascii="仿宋" w:hAnsi="仿宋" w:eastAsia="仿宋" w:cs="仿宋"/>
          <w:sz w:val="32"/>
          <w:szCs w:val="32"/>
          <w:lang w:val="en-US" w:eastAsia="zh-CN"/>
        </w:rPr>
        <w:t>使用</w:t>
      </w:r>
      <w:r>
        <w:rPr>
          <w:rFonts w:hint="default" w:ascii="仿宋" w:hAnsi="仿宋" w:eastAsia="仿宋" w:cs="仿宋"/>
          <w:sz w:val="32"/>
          <w:szCs w:val="32"/>
          <w:lang w:val="en-US" w:eastAsia="zh-CN"/>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hint="eastAsia" w:ascii="仿宋" w:hAnsi="仿宋" w:eastAsia="仿宋" w:cs="仿宋"/>
          <w:sz w:val="32"/>
          <w:szCs w:val="32"/>
          <w:lang w:val="en-US" w:eastAsia="zh-CN"/>
        </w:rPr>
        <w:t>常态</w:t>
      </w:r>
      <w:r>
        <w:rPr>
          <w:rFonts w:hint="default" w:ascii="仿宋" w:hAnsi="仿宋" w:eastAsia="仿宋" w:cs="仿宋"/>
          <w:sz w:val="32"/>
          <w:szCs w:val="32"/>
          <w:lang w:val="en-US" w:eastAsia="zh-CN"/>
        </w:rPr>
        <w:t>化，确保账、卡、实相符。四是根据《湖南省财政厅关于做好行政事业性国有资产月报试编工作的通知》文件要求，每月及时通过财政部统一报表系统上报资产月报电子数据</w:t>
      </w:r>
      <w:r>
        <w:rPr>
          <w:rFonts w:hint="eastAsia" w:ascii="仿宋" w:hAnsi="仿宋" w:eastAsia="仿宋" w:cs="仿宋"/>
          <w:sz w:val="32"/>
          <w:szCs w:val="32"/>
          <w:lang w:val="en-US" w:eastAsia="zh-CN"/>
        </w:rPr>
        <w:t>，每年编制一次固定资产年报。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截至2021年12月31日，邵阳市</w:t>
      </w:r>
      <w:r>
        <w:rPr>
          <w:rFonts w:hint="eastAsia" w:ascii="宋体" w:hAnsi="宋体" w:eastAsia="宋体" w:cs="宋体"/>
          <w:color w:val="444444"/>
          <w:kern w:val="0"/>
          <w:sz w:val="28"/>
          <w:szCs w:val="28"/>
          <w:shd w:val="clear" w:fill="FFFFFF"/>
          <w:lang w:val="en-US" w:eastAsia="zh-CN"/>
        </w:rPr>
        <w:t>北塔区园艺示范场</w:t>
      </w:r>
      <w:r>
        <w:rPr>
          <w:rFonts w:hint="eastAsia" w:ascii="宋体" w:hAnsi="宋体" w:eastAsia="宋体" w:cs="宋体"/>
          <w:color w:val="444444"/>
          <w:kern w:val="0"/>
          <w:sz w:val="28"/>
          <w:szCs w:val="28"/>
          <w:shd w:val="clear" w:fill="FFFFFF"/>
        </w:rPr>
        <w:t>资产总额为</w:t>
      </w:r>
      <w:r>
        <w:rPr>
          <w:rFonts w:hint="eastAsia" w:ascii="宋体" w:hAnsi="宋体" w:eastAsia="宋体" w:cs="宋体"/>
          <w:color w:val="444444"/>
          <w:kern w:val="0"/>
          <w:sz w:val="28"/>
          <w:szCs w:val="28"/>
          <w:shd w:val="clear" w:fill="FFFFFF"/>
          <w:lang w:val="en-US" w:eastAsia="zh-CN"/>
        </w:rPr>
        <w:t>235.8</w:t>
      </w:r>
      <w:r>
        <w:rPr>
          <w:rFonts w:hint="eastAsia" w:ascii="宋体" w:hAnsi="宋体" w:eastAsia="宋体" w:cs="宋体"/>
          <w:color w:val="444444"/>
          <w:kern w:val="0"/>
          <w:sz w:val="28"/>
          <w:szCs w:val="28"/>
          <w:shd w:val="clear" w:fill="FFFFFF"/>
        </w:rPr>
        <w:t>万元，主要由以下部分构成：流动资产</w:t>
      </w:r>
      <w:r>
        <w:rPr>
          <w:rFonts w:hint="eastAsia" w:ascii="宋体" w:hAnsi="宋体" w:eastAsia="宋体" w:cs="宋体"/>
          <w:color w:val="444444"/>
          <w:kern w:val="0"/>
          <w:sz w:val="28"/>
          <w:szCs w:val="28"/>
          <w:shd w:val="clear" w:fill="FFFFFF"/>
          <w:lang w:val="en-US" w:eastAsia="zh-CN"/>
        </w:rPr>
        <w:t>79.3</w:t>
      </w:r>
      <w:r>
        <w:rPr>
          <w:rFonts w:hint="eastAsia" w:ascii="宋体" w:hAnsi="宋体" w:eastAsia="宋体" w:cs="宋体"/>
          <w:color w:val="444444"/>
          <w:kern w:val="0"/>
          <w:sz w:val="28"/>
          <w:szCs w:val="28"/>
          <w:shd w:val="clear" w:fill="FFFFFF"/>
        </w:rPr>
        <w:t>万元,占资产总额的</w:t>
      </w:r>
      <w:r>
        <w:rPr>
          <w:rFonts w:hint="eastAsia" w:ascii="宋体" w:hAnsi="宋体" w:eastAsia="宋体" w:cs="宋体"/>
          <w:color w:val="444444"/>
          <w:kern w:val="0"/>
          <w:sz w:val="28"/>
          <w:szCs w:val="28"/>
          <w:shd w:val="clear" w:fill="FFFFFF"/>
          <w:lang w:val="en-US" w:eastAsia="zh-CN"/>
        </w:rPr>
        <w:t>34</w:t>
      </w:r>
      <w:r>
        <w:rPr>
          <w:rFonts w:hint="eastAsia" w:ascii="宋体" w:hAnsi="宋体" w:eastAsia="宋体" w:cs="宋体"/>
          <w:color w:val="444444"/>
          <w:kern w:val="0"/>
          <w:sz w:val="28"/>
          <w:szCs w:val="28"/>
          <w:shd w:val="clear" w:fill="FFFFFF"/>
        </w:rPr>
        <w:t>%,主要为银行存款及其他应收款等;固定资产</w:t>
      </w:r>
      <w:r>
        <w:rPr>
          <w:rFonts w:hint="eastAsia" w:ascii="宋体" w:hAnsi="宋体" w:eastAsia="宋体" w:cs="宋体"/>
          <w:color w:val="444444"/>
          <w:kern w:val="0"/>
          <w:sz w:val="28"/>
          <w:szCs w:val="28"/>
          <w:shd w:val="clear" w:fill="FFFFFF"/>
          <w:lang w:val="en-US" w:eastAsia="zh-CN"/>
        </w:rPr>
        <w:t>156.5</w:t>
      </w:r>
      <w:r>
        <w:rPr>
          <w:rFonts w:hint="eastAsia" w:ascii="宋体" w:hAnsi="宋体" w:eastAsia="宋体" w:cs="宋体"/>
          <w:color w:val="444444"/>
          <w:kern w:val="0"/>
          <w:sz w:val="28"/>
          <w:szCs w:val="28"/>
          <w:shd w:val="clear" w:fill="FFFFFF"/>
        </w:rPr>
        <w:t>万元,占资产总额的</w:t>
      </w:r>
      <w:r>
        <w:rPr>
          <w:rFonts w:hint="eastAsia" w:ascii="宋体" w:hAnsi="宋体" w:eastAsia="宋体" w:cs="宋体"/>
          <w:color w:val="444444"/>
          <w:kern w:val="0"/>
          <w:sz w:val="28"/>
          <w:szCs w:val="28"/>
          <w:shd w:val="clear" w:fill="FFFFFF"/>
          <w:lang w:val="en-US" w:eastAsia="zh-CN"/>
        </w:rPr>
        <w:t>66</w:t>
      </w:r>
      <w:r>
        <w:rPr>
          <w:rFonts w:hint="eastAsia" w:ascii="宋体" w:hAnsi="宋体" w:eastAsia="宋体" w:cs="宋体"/>
          <w:color w:val="444444"/>
          <w:kern w:val="0"/>
          <w:sz w:val="28"/>
          <w:szCs w:val="28"/>
          <w:shd w:val="clear" w:fill="FFFFFF"/>
        </w:rPr>
        <w:t>%，主要包括房屋</w:t>
      </w:r>
      <w:r>
        <w:rPr>
          <w:rFonts w:hint="eastAsia" w:ascii="宋体" w:hAnsi="宋体" w:eastAsia="宋体" w:cs="宋体"/>
          <w:color w:val="444444"/>
          <w:kern w:val="0"/>
          <w:sz w:val="28"/>
          <w:szCs w:val="28"/>
          <w:shd w:val="clear" w:fill="FFFFFF"/>
          <w:lang w:eastAsia="zh-CN"/>
        </w:rPr>
        <w:t>、土地</w:t>
      </w:r>
      <w:r>
        <w:rPr>
          <w:rFonts w:hint="eastAsia" w:ascii="宋体" w:hAnsi="宋体" w:eastAsia="宋体" w:cs="宋体"/>
          <w:color w:val="444444"/>
          <w:kern w:val="0"/>
          <w:sz w:val="28"/>
          <w:szCs w:val="28"/>
          <w:shd w:val="clear" w:fill="FFFFFF"/>
        </w:rPr>
        <w:t>、办公设备等。</w:t>
      </w:r>
      <w:r>
        <w:rPr>
          <w:rFonts w:hint="eastAsia" w:ascii="微软雅黑" w:hAnsi="微软雅黑" w:eastAsia="微软雅黑" w:cs="微软雅黑"/>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四、部门整体支出绩效情况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eastAsia="宋体"/>
          <w:lang w:val="en-US" w:eastAsia="zh-CN"/>
        </w:rPr>
      </w:pPr>
      <w:r>
        <w:rPr>
          <w:rFonts w:hint="eastAsia" w:ascii="宋体" w:hAnsi="宋体" w:eastAsia="宋体" w:cs="宋体"/>
          <w:color w:val="444444"/>
          <w:kern w:val="0"/>
          <w:sz w:val="28"/>
          <w:szCs w:val="28"/>
          <w:shd w:val="clear" w:fill="FFFFFF"/>
        </w:rPr>
        <w:t>2021年，我</w:t>
      </w:r>
      <w:r>
        <w:rPr>
          <w:rFonts w:hint="eastAsia" w:ascii="宋体" w:hAnsi="宋体" w:eastAsia="宋体" w:cs="宋体"/>
          <w:color w:val="444444"/>
          <w:kern w:val="0"/>
          <w:sz w:val="28"/>
          <w:szCs w:val="28"/>
          <w:shd w:val="clear" w:fill="FFFFFF"/>
          <w:lang w:eastAsia="zh-CN"/>
        </w:rPr>
        <w:t>场</w:t>
      </w:r>
      <w:r>
        <w:rPr>
          <w:rFonts w:hint="eastAsia" w:ascii="宋体" w:hAnsi="宋体" w:eastAsia="宋体" w:cs="宋体"/>
          <w:color w:val="444444"/>
          <w:kern w:val="0"/>
          <w:sz w:val="28"/>
          <w:szCs w:val="28"/>
          <w:shd w:val="clear" w:fill="FFFFFF"/>
        </w:rPr>
        <w:t>充分履行职责职能，严格执行各项管理制度，经济、社会等效益显著、社会公众满意度上升，较好地完成了全年工作目标。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五、综合评价情况及评价结论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2021年我</w:t>
      </w:r>
      <w:r>
        <w:rPr>
          <w:rFonts w:hint="eastAsia" w:ascii="宋体" w:hAnsi="宋体" w:eastAsia="宋体" w:cs="宋体"/>
          <w:color w:val="444444"/>
          <w:kern w:val="0"/>
          <w:sz w:val="28"/>
          <w:szCs w:val="28"/>
          <w:shd w:val="clear" w:fill="FFFFFF"/>
          <w:lang w:eastAsia="zh-CN"/>
        </w:rPr>
        <w:t>场</w:t>
      </w:r>
      <w:r>
        <w:rPr>
          <w:rFonts w:hint="eastAsia" w:ascii="宋体" w:hAnsi="宋体" w:eastAsia="宋体" w:cs="宋体"/>
          <w:color w:val="444444"/>
          <w:kern w:val="0"/>
          <w:sz w:val="28"/>
          <w:szCs w:val="28"/>
          <w:shd w:val="clear" w:fill="FFFFFF"/>
        </w:rPr>
        <w:t>经费开支严格按预算执行，管理制度</w:t>
      </w:r>
      <w:bookmarkStart w:id="1" w:name="_GoBack"/>
      <w:bookmarkEnd w:id="1"/>
      <w:r>
        <w:rPr>
          <w:rFonts w:hint="eastAsia" w:ascii="宋体" w:hAnsi="宋体" w:eastAsia="宋体" w:cs="宋体"/>
          <w:color w:val="444444"/>
          <w:kern w:val="0"/>
          <w:sz w:val="28"/>
          <w:szCs w:val="28"/>
          <w:shd w:val="clear" w:fill="FFFFFF"/>
        </w:rPr>
        <w:t>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w:t>
      </w:r>
      <w:r>
        <w:rPr>
          <w:rFonts w:hint="eastAsia" w:ascii="宋体" w:hAnsi="宋体" w:eastAsia="宋体" w:cs="宋体"/>
          <w:color w:val="444444"/>
          <w:kern w:val="0"/>
          <w:sz w:val="28"/>
          <w:szCs w:val="28"/>
          <w:shd w:val="clear" w:fill="FFFFFF"/>
          <w:lang w:eastAsia="zh-CN"/>
        </w:rPr>
        <w:t>场</w:t>
      </w:r>
      <w:r>
        <w:rPr>
          <w:rFonts w:hint="eastAsia" w:ascii="宋体" w:hAnsi="宋体" w:eastAsia="宋体" w:cs="宋体"/>
          <w:color w:val="444444"/>
          <w:kern w:val="0"/>
          <w:sz w:val="28"/>
          <w:szCs w:val="28"/>
          <w:shd w:val="clear" w:fill="FFFFFF"/>
        </w:rPr>
        <w:t>整体支出绩效自评</w:t>
      </w:r>
      <w:r>
        <w:rPr>
          <w:rFonts w:hint="eastAsia" w:ascii="宋体" w:hAnsi="宋体" w:eastAsia="宋体" w:cs="宋体"/>
          <w:color w:val="444444"/>
          <w:kern w:val="0"/>
          <w:sz w:val="28"/>
          <w:szCs w:val="28"/>
          <w:shd w:val="clear" w:fill="FFFFFF"/>
          <w:lang w:val="en-US" w:eastAsia="zh-CN"/>
        </w:rPr>
        <w:t>100</w:t>
      </w:r>
      <w:r>
        <w:rPr>
          <w:rFonts w:hint="eastAsia" w:ascii="宋体" w:hAnsi="宋体" w:eastAsia="宋体" w:cs="宋体"/>
          <w:color w:val="444444"/>
          <w:kern w:val="0"/>
          <w:sz w:val="28"/>
          <w:szCs w:val="28"/>
          <w:shd w:val="clear" w:fill="FFFFFF"/>
        </w:rPr>
        <w:t>分，自评</w:t>
      </w:r>
      <w:r>
        <w:rPr>
          <w:rFonts w:hint="eastAsia" w:ascii="宋体" w:hAnsi="宋体" w:eastAsia="宋体" w:cs="宋体"/>
          <w:color w:val="444444"/>
          <w:kern w:val="0"/>
          <w:sz w:val="28"/>
          <w:szCs w:val="28"/>
          <w:shd w:val="clear" w:fill="FFFFFF"/>
          <w:lang w:eastAsia="zh-CN"/>
        </w:rPr>
        <w:t>结果为</w:t>
      </w:r>
      <w:r>
        <w:rPr>
          <w:rFonts w:hint="eastAsia" w:ascii="宋体" w:hAnsi="宋体" w:eastAsia="宋体" w:cs="宋体"/>
          <w:color w:val="444444"/>
          <w:kern w:val="0"/>
          <w:sz w:val="28"/>
          <w:szCs w:val="28"/>
          <w:shd w:val="clear" w:fill="FFFFFF"/>
          <w:lang w:val="en-US" w:eastAsia="zh-CN"/>
        </w:rPr>
        <w:t>良好</w:t>
      </w:r>
      <w:r>
        <w:rPr>
          <w:rFonts w:hint="eastAsia" w:ascii="宋体" w:hAnsi="宋体" w:eastAsia="宋体" w:cs="宋体"/>
          <w:color w:val="444444"/>
          <w:kern w:val="0"/>
          <w:sz w:val="28"/>
          <w:szCs w:val="28"/>
          <w:shd w:val="clear" w:fill="FFFFFF"/>
        </w:rPr>
        <w:t>。</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存在的问题及原因分析</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fill="FFFFFF"/>
          <w:lang w:eastAsia="zh-CN"/>
        </w:rPr>
      </w:pPr>
      <w:r>
        <w:rPr>
          <w:rFonts w:hint="eastAsia" w:ascii="宋体" w:hAnsi="宋体" w:eastAsia="宋体" w:cs="宋体"/>
          <w:color w:val="444444"/>
          <w:kern w:val="0"/>
          <w:sz w:val="28"/>
          <w:szCs w:val="28"/>
          <w:shd w:val="clear" w:fill="FFFFFF"/>
          <w:lang w:eastAsia="zh-CN"/>
        </w:rPr>
        <w:t>无</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lang w:eastAsia="zh-CN"/>
        </w:rPr>
        <w:t>园艺示范场</w:t>
      </w:r>
      <w:r>
        <w:rPr>
          <w:rFonts w:hint="eastAsia" w:ascii="宋体" w:hAnsi="宋体" w:cs="宋体"/>
          <w:bCs/>
          <w:kern w:val="0"/>
          <w:sz w:val="32"/>
          <w:szCs w:val="32"/>
        </w:rPr>
        <w:t>整体支出绩效评价指标评分表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C013C"/>
    <w:multiLevelType w:val="singleLevel"/>
    <w:tmpl w:val="921C013C"/>
    <w:lvl w:ilvl="0" w:tentative="0">
      <w:start w:val="6"/>
      <w:numFmt w:val="chineseCounting"/>
      <w:suff w:val="nothing"/>
      <w:lvlText w:val="%1、"/>
      <w:lvlJc w:val="left"/>
      <w:rPr>
        <w:rFonts w:hint="eastAsia"/>
      </w:rPr>
    </w:lvl>
  </w:abstractNum>
  <w:abstractNum w:abstractNumId="1">
    <w:nsid w:val="F0C8D14A"/>
    <w:multiLevelType w:val="singleLevel"/>
    <w:tmpl w:val="F0C8D14A"/>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MTBkOGI1MTNhMzY1NzUwNWVmYjgzOWJkMzgzNGIifQ=="/>
  </w:docVars>
  <w:rsids>
    <w:rsidRoot w:val="00000000"/>
    <w:rsid w:val="142C21B1"/>
    <w:rsid w:val="187C0276"/>
    <w:rsid w:val="1EAC476E"/>
    <w:rsid w:val="45AD0E01"/>
    <w:rsid w:val="630F552B"/>
    <w:rsid w:val="75853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444444"/>
      <w:u w:val="none"/>
    </w:rPr>
  </w:style>
  <w:style w:type="character" w:styleId="9">
    <w:name w:val="Hyperlink"/>
    <w:basedOn w:val="6"/>
    <w:qFormat/>
    <w:uiPriority w:val="0"/>
    <w:rPr>
      <w:color w:val="444444"/>
      <w:u w:val="none"/>
    </w:rPr>
  </w:style>
  <w:style w:type="character" w:customStyle="1" w:styleId="10">
    <w:name w:val="gai"/>
    <w:basedOn w:val="6"/>
    <w:qFormat/>
    <w:uiPriority w:val="0"/>
  </w:style>
  <w:style w:type="character" w:customStyle="1" w:styleId="11">
    <w:name w:val="gai1"/>
    <w:basedOn w:val="6"/>
    <w:qFormat/>
    <w:uiPriority w:val="0"/>
  </w:style>
  <w:style w:type="character" w:customStyle="1" w:styleId="12">
    <w:name w:val="gai2"/>
    <w:basedOn w:val="6"/>
    <w:qFormat/>
    <w:uiPriority w:val="0"/>
  </w:style>
  <w:style w:type="character" w:customStyle="1" w:styleId="13">
    <w:name w:val="gai3"/>
    <w:basedOn w:val="6"/>
    <w:uiPriority w:val="0"/>
  </w:style>
  <w:style w:type="character" w:customStyle="1" w:styleId="14">
    <w:name w:val="gai4"/>
    <w:basedOn w:val="6"/>
    <w:qFormat/>
    <w:uiPriority w:val="0"/>
  </w:style>
  <w:style w:type="character" w:customStyle="1" w:styleId="15">
    <w:name w:val="you"/>
    <w:basedOn w:val="6"/>
    <w:qFormat/>
    <w:uiPriority w:val="0"/>
  </w:style>
  <w:style w:type="character" w:customStyle="1" w:styleId="16">
    <w:name w:val="info-valid"/>
    <w:basedOn w:val="6"/>
    <w:qFormat/>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0"/>
      <w:szCs w:val="0"/>
      <w:shd w:val="clear"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4254</Words>
  <Characters>4489</Characters>
  <Lines>0</Lines>
  <Paragraphs>0</Paragraphs>
  <TotalTime>29</TotalTime>
  <ScaleCrop>false</ScaleCrop>
  <LinksUpToDate>false</LinksUpToDate>
  <CharactersWithSpaces>4647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张新平</cp:lastModifiedBy>
  <dcterms:modified xsi:type="dcterms:W3CDTF">2022-11-29T08:46:06Z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C73C99916AFF4ED4ABBA407866E74381</vt:lpwstr>
  </property>
</Properties>
</file>