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BTDR-2021-01004</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北政</w:t>
      </w:r>
      <w:r>
        <w:rPr>
          <w:rFonts w:hint="eastAsia" w:ascii="仿宋" w:hAnsi="仿宋" w:eastAsia="仿宋" w:cs="仿宋"/>
          <w:sz w:val="32"/>
          <w:szCs w:val="32"/>
          <w:lang w:eastAsia="zh-CN"/>
        </w:rPr>
        <w:t>办发</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780" w:lineRule="exact"/>
        <w:jc w:val="left"/>
        <w:textAlignment w:val="auto"/>
        <w:rPr>
          <w:rFonts w:hint="eastAsia" w:ascii="仿宋" w:hAnsi="仿宋" w:eastAsia="仿宋" w:cs="仿宋"/>
          <w:sz w:val="32"/>
          <w:szCs w:val="32"/>
        </w:rPr>
      </w:pPr>
    </w:p>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邵阳市北塔区人民政府办公室</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jc w:val="center"/>
        <w:textAlignment w:val="auto"/>
        <w:rPr>
          <w:rFonts w:hint="eastAsia" w:ascii="方正小标宋_GBK" w:hAnsi="方正小标宋_GBK" w:eastAsia="方正小标宋_GBK" w:cs="方正小标宋_GBK"/>
          <w:color w:val="auto"/>
          <w:spacing w:val="0"/>
          <w:w w:val="100"/>
          <w:position w:val="0"/>
          <w:sz w:val="44"/>
          <w:szCs w:val="44"/>
        </w:rPr>
      </w:pPr>
      <w:r>
        <w:rPr>
          <w:rFonts w:hint="eastAsia" w:ascii="方正小标宋_GBK" w:hAnsi="方正小标宋_GBK" w:eastAsia="方正小标宋_GBK" w:cs="方正小标宋_GBK"/>
          <w:color w:val="auto"/>
          <w:spacing w:val="0"/>
          <w:w w:val="100"/>
          <w:position w:val="0"/>
          <w:sz w:val="44"/>
          <w:szCs w:val="44"/>
        </w:rPr>
        <w:t>关于印发《</w:t>
      </w:r>
      <w:r>
        <w:rPr>
          <w:rFonts w:hint="eastAsia" w:ascii="方正小标宋_GBK" w:hAnsi="方正小标宋_GBK" w:eastAsia="方正小标宋_GBK" w:cs="方正小标宋_GBK"/>
          <w:color w:val="auto"/>
          <w:spacing w:val="0"/>
          <w:w w:val="100"/>
          <w:position w:val="0"/>
          <w:sz w:val="44"/>
          <w:szCs w:val="44"/>
          <w:lang w:eastAsia="zh-CN"/>
        </w:rPr>
        <w:t>北塔区</w:t>
      </w:r>
      <w:r>
        <w:rPr>
          <w:rFonts w:hint="eastAsia" w:ascii="方正小标宋_GBK" w:hAnsi="方正小标宋_GBK" w:eastAsia="方正小标宋_GBK" w:cs="方正小标宋_GBK"/>
          <w:color w:val="auto"/>
          <w:spacing w:val="0"/>
          <w:w w:val="100"/>
          <w:position w:val="0"/>
          <w:sz w:val="44"/>
          <w:szCs w:val="44"/>
        </w:rPr>
        <w:t>生态环境损害赔偿制度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jc w:val="center"/>
        <w:textAlignment w:val="auto"/>
        <w:rPr>
          <w:rFonts w:hint="eastAsia" w:ascii="方正小标宋_GBK" w:hAnsi="方正小标宋_GBK" w:eastAsia="方正小标宋_GBK" w:cs="方正小标宋_GBK"/>
          <w:color w:val="auto"/>
          <w:spacing w:val="0"/>
          <w:w w:val="100"/>
          <w:position w:val="0"/>
          <w:sz w:val="44"/>
          <w:szCs w:val="44"/>
        </w:rPr>
      </w:pPr>
      <w:r>
        <w:rPr>
          <w:rFonts w:hint="eastAsia" w:ascii="方正小标宋_GBK" w:hAnsi="方正小标宋_GBK" w:eastAsia="方正小标宋_GBK" w:cs="方正小标宋_GBK"/>
          <w:color w:val="auto"/>
          <w:spacing w:val="0"/>
          <w:w w:val="100"/>
          <w:position w:val="0"/>
          <w:sz w:val="44"/>
          <w:szCs w:val="44"/>
        </w:rPr>
        <w:t>改革实施方案》的通知</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eastAsia" w:ascii="仿宋_GB2312" w:hAnsi="仿宋_GB2312" w:eastAsia="仿宋_GB2312" w:cs="仿宋_GB2312"/>
          <w:color w:val="auto"/>
          <w:spacing w:val="0"/>
          <w:w w:val="100"/>
          <w:position w:val="0"/>
          <w:sz w:val="59"/>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eastAsia" w:ascii="仿宋_GB2312" w:hAnsi="仿宋_GB2312" w:eastAsia="仿宋_GB2312" w:cs="仿宋_GB2312"/>
          <w:color w:val="auto"/>
          <w:spacing w:val="0"/>
          <w:w w:val="100"/>
          <w:position w:val="0"/>
        </w:rPr>
      </w:pPr>
      <w:r>
        <w:rPr>
          <w:rFonts w:hint="eastAsia" w:ascii="仿宋_GB2312" w:hAnsi="仿宋_GB2312" w:eastAsia="仿宋_GB2312" w:cs="仿宋_GB2312"/>
          <w:color w:val="auto"/>
          <w:spacing w:val="0"/>
          <w:w w:val="100"/>
          <w:position w:val="0"/>
        </w:rPr>
        <w:t>各</w:t>
      </w:r>
      <w:r>
        <w:rPr>
          <w:rFonts w:hint="eastAsia" w:ascii="仿宋_GB2312" w:hAnsi="仿宋_GB2312" w:eastAsia="仿宋_GB2312" w:cs="仿宋_GB2312"/>
          <w:color w:val="auto"/>
          <w:spacing w:val="0"/>
          <w:w w:val="100"/>
          <w:position w:val="0"/>
          <w:lang w:eastAsia="zh-CN"/>
        </w:rPr>
        <w:t>镇人民政府、街道办事处，区属相关单位</w:t>
      </w:r>
      <w:r>
        <w:rPr>
          <w:rFonts w:hint="eastAsia" w:ascii="仿宋_GB2312" w:hAnsi="仿宋_GB2312" w:eastAsia="仿宋_GB2312" w:cs="仿宋_GB2312"/>
          <w:color w:val="auto"/>
          <w:spacing w:val="0"/>
          <w:w w:val="100"/>
          <w:position w:val="0"/>
        </w:rPr>
        <w:t>：</w:t>
      </w:r>
    </w:p>
    <w:p>
      <w:pPr>
        <w:pStyle w:val="3"/>
        <w:keepNext w:val="0"/>
        <w:keepLines w:val="0"/>
        <w:pageBreakBefore w:val="0"/>
        <w:widowControl w:val="0"/>
        <w:tabs>
          <w:tab w:val="left" w:pos="5479"/>
        </w:tabs>
        <w:kinsoku/>
        <w:wordWrap/>
        <w:overflowPunct/>
        <w:topLinePunct w:val="0"/>
        <w:autoSpaceDE w:val="0"/>
        <w:autoSpaceDN w:val="0"/>
        <w:bidi w:val="0"/>
        <w:adjustRightInd/>
        <w:snapToGrid/>
        <w:spacing w:before="0" w:line="580" w:lineRule="exact"/>
        <w:ind w:left="0" w:right="0" w:firstLine="597"/>
        <w:jc w:val="both"/>
        <w:textAlignment w:val="auto"/>
        <w:rPr>
          <w:rFonts w:hint="eastAsia" w:ascii="仿宋_GB2312" w:hAnsi="仿宋_GB2312" w:eastAsia="仿宋_GB2312" w:cs="仿宋_GB2312"/>
          <w:color w:val="auto"/>
          <w:spacing w:val="0"/>
          <w:w w:val="100"/>
          <w:position w:val="0"/>
        </w:rPr>
      </w:pPr>
      <w:r>
        <w:rPr>
          <w:rFonts w:hint="eastAsia" w:ascii="仿宋_GB2312" w:hAnsi="仿宋_GB2312" w:eastAsia="仿宋_GB2312" w:cs="仿宋_GB2312"/>
          <w:color w:val="auto"/>
          <w:spacing w:val="0"/>
          <w:w w:val="100"/>
          <w:position w:val="0"/>
        </w:rPr>
        <w:t>《</w:t>
      </w:r>
      <w:r>
        <w:rPr>
          <w:rFonts w:hint="eastAsia" w:ascii="仿宋_GB2312" w:hAnsi="仿宋_GB2312" w:eastAsia="仿宋_GB2312" w:cs="仿宋_GB2312"/>
          <w:color w:val="auto"/>
          <w:spacing w:val="0"/>
          <w:w w:val="100"/>
          <w:position w:val="0"/>
          <w:lang w:eastAsia="zh-CN"/>
        </w:rPr>
        <w:t>北塔区</w:t>
      </w:r>
      <w:r>
        <w:rPr>
          <w:rFonts w:hint="eastAsia" w:ascii="仿宋_GB2312" w:hAnsi="仿宋_GB2312" w:eastAsia="仿宋_GB2312" w:cs="仿宋_GB2312"/>
          <w:color w:val="auto"/>
          <w:spacing w:val="0"/>
          <w:w w:val="100"/>
          <w:position w:val="0"/>
        </w:rPr>
        <w:t>生态环境损害赔偿制度改革实施方案》已经</w:t>
      </w:r>
      <w:r>
        <w:rPr>
          <w:rFonts w:hint="eastAsia" w:ascii="仿宋_GB2312" w:hAnsi="仿宋_GB2312" w:eastAsia="仿宋_GB2312" w:cs="仿宋_GB2312"/>
          <w:color w:val="auto"/>
          <w:spacing w:val="0"/>
          <w:w w:val="100"/>
          <w:position w:val="0"/>
          <w:lang w:eastAsia="zh-CN"/>
        </w:rPr>
        <w:t>区人民政府</w:t>
      </w:r>
      <w:r>
        <w:rPr>
          <w:rFonts w:hint="eastAsia" w:ascii="仿宋_GB2312" w:hAnsi="仿宋_GB2312" w:eastAsia="仿宋_GB2312" w:cs="仿宋_GB2312"/>
          <w:color w:val="auto"/>
          <w:spacing w:val="0"/>
          <w:w w:val="100"/>
          <w:position w:val="0"/>
        </w:rPr>
        <w:t>同意，现印发给你们，请认真组织实施。</w:t>
      </w:r>
    </w:p>
    <w:p>
      <w:pPr>
        <w:pStyle w:val="3"/>
        <w:keepNext w:val="0"/>
        <w:keepLines w:val="0"/>
        <w:pageBreakBefore w:val="0"/>
        <w:widowControl w:val="0"/>
        <w:tabs>
          <w:tab w:val="left" w:pos="5479"/>
        </w:tabs>
        <w:kinsoku/>
        <w:wordWrap/>
        <w:overflowPunct/>
        <w:topLinePunct w:val="0"/>
        <w:autoSpaceDE w:val="0"/>
        <w:autoSpaceDN w:val="0"/>
        <w:bidi w:val="0"/>
        <w:adjustRightInd/>
        <w:snapToGrid/>
        <w:spacing w:before="0" w:line="580" w:lineRule="exact"/>
        <w:ind w:left="0" w:right="0" w:firstLine="597"/>
        <w:jc w:val="both"/>
        <w:textAlignment w:val="auto"/>
        <w:rPr>
          <w:rFonts w:hint="eastAsia" w:ascii="仿宋_GB2312" w:hAnsi="仿宋_GB2312" w:eastAsia="仿宋_GB2312" w:cs="仿宋_GB2312"/>
          <w:color w:val="auto"/>
          <w:spacing w:val="0"/>
          <w:w w:val="100"/>
          <w:position w:val="0"/>
        </w:rPr>
      </w:pPr>
    </w:p>
    <w:p>
      <w:pPr>
        <w:pStyle w:val="3"/>
        <w:keepNext w:val="0"/>
        <w:keepLines w:val="0"/>
        <w:pageBreakBefore w:val="0"/>
        <w:widowControl w:val="0"/>
        <w:tabs>
          <w:tab w:val="left" w:pos="5479"/>
        </w:tabs>
        <w:kinsoku/>
        <w:wordWrap/>
        <w:overflowPunct/>
        <w:topLinePunct w:val="0"/>
        <w:autoSpaceDE w:val="0"/>
        <w:autoSpaceDN w:val="0"/>
        <w:bidi w:val="0"/>
        <w:adjustRightInd/>
        <w:snapToGrid/>
        <w:spacing w:before="0" w:line="580" w:lineRule="exact"/>
        <w:ind w:left="0" w:right="0" w:firstLine="597"/>
        <w:jc w:val="both"/>
        <w:textAlignment w:val="auto"/>
        <w:rPr>
          <w:rFonts w:hint="eastAsia" w:ascii="仿宋_GB2312" w:hAnsi="仿宋_GB2312" w:eastAsia="仿宋_GB2312" w:cs="仿宋_GB2312"/>
          <w:color w:val="auto"/>
          <w:spacing w:val="0"/>
          <w:w w:val="100"/>
          <w:position w:val="0"/>
        </w:rPr>
      </w:pPr>
    </w:p>
    <w:p>
      <w:pPr>
        <w:pStyle w:val="3"/>
        <w:keepNext w:val="0"/>
        <w:keepLines w:val="0"/>
        <w:pageBreakBefore w:val="0"/>
        <w:widowControl w:val="0"/>
        <w:tabs>
          <w:tab w:val="left" w:pos="5479"/>
        </w:tabs>
        <w:kinsoku/>
        <w:wordWrap/>
        <w:overflowPunct/>
        <w:topLinePunct w:val="0"/>
        <w:autoSpaceDE w:val="0"/>
        <w:autoSpaceDN w:val="0"/>
        <w:bidi w:val="0"/>
        <w:adjustRightInd/>
        <w:snapToGrid/>
        <w:spacing w:before="0" w:line="580" w:lineRule="exact"/>
        <w:ind w:left="0" w:right="0" w:firstLine="597"/>
        <w:jc w:val="both"/>
        <w:textAlignment w:val="auto"/>
        <w:rPr>
          <w:rFonts w:hint="eastAsia" w:ascii="仿宋_GB2312" w:hAnsi="仿宋_GB2312" w:eastAsia="仿宋_GB2312" w:cs="仿宋_GB2312"/>
          <w:color w:val="auto"/>
          <w:spacing w:val="0"/>
          <w:w w:val="100"/>
          <w:position w:val="0"/>
        </w:rPr>
      </w:pPr>
    </w:p>
    <w:p>
      <w:pPr>
        <w:pStyle w:val="3"/>
        <w:keepNext w:val="0"/>
        <w:keepLines w:val="0"/>
        <w:pageBreakBefore w:val="0"/>
        <w:widowControl w:val="0"/>
        <w:tabs>
          <w:tab w:val="left" w:pos="5479"/>
        </w:tabs>
        <w:kinsoku/>
        <w:wordWrap/>
        <w:overflowPunct/>
        <w:topLinePunct w:val="0"/>
        <w:autoSpaceDE w:val="0"/>
        <w:autoSpaceDN w:val="0"/>
        <w:bidi w:val="0"/>
        <w:adjustRightInd/>
        <w:snapToGrid/>
        <w:spacing w:before="0" w:line="580" w:lineRule="exact"/>
        <w:ind w:left="0" w:right="0"/>
        <w:jc w:val="center"/>
        <w:textAlignment w:val="auto"/>
        <w:rPr>
          <w:rFonts w:hint="eastAsia" w:ascii="仿宋_GB2312" w:hAnsi="仿宋_GB2312" w:eastAsia="仿宋_GB2312" w:cs="仿宋_GB2312"/>
          <w:color w:val="auto"/>
          <w:spacing w:val="0"/>
          <w:w w:val="100"/>
          <w:position w:val="0"/>
        </w:rPr>
      </w:pPr>
      <w:r>
        <w:rPr>
          <w:rFonts w:hint="eastAsia" w:ascii="仿宋_GB2312" w:hAnsi="仿宋_GB2312" w:eastAsia="仿宋_GB2312" w:cs="仿宋_GB2312"/>
          <w:color w:val="auto"/>
          <w:spacing w:val="0"/>
          <w:w w:val="100"/>
          <w:position w:val="0"/>
          <w:lang w:val="en-US" w:eastAsia="zh-CN"/>
        </w:rPr>
        <w:t xml:space="preserve">                          </w:t>
      </w:r>
      <w:r>
        <w:rPr>
          <w:rFonts w:hint="eastAsia" w:ascii="仿宋_GB2312" w:hAnsi="仿宋_GB2312" w:eastAsia="仿宋_GB2312" w:cs="仿宋_GB2312"/>
          <w:color w:val="auto"/>
          <w:spacing w:val="0"/>
          <w:w w:val="100"/>
          <w:position w:val="0"/>
          <w:lang w:eastAsia="zh-CN"/>
        </w:rPr>
        <w:t>邵阳市北塔区人民政府办公室</w:t>
      </w:r>
    </w:p>
    <w:p>
      <w:pPr>
        <w:pStyle w:val="3"/>
        <w:keepNext w:val="0"/>
        <w:keepLines w:val="0"/>
        <w:pageBreakBefore w:val="0"/>
        <w:widowControl w:val="0"/>
        <w:tabs>
          <w:tab w:val="left" w:pos="5479"/>
        </w:tabs>
        <w:kinsoku/>
        <w:wordWrap/>
        <w:overflowPunct/>
        <w:topLinePunct w:val="0"/>
        <w:autoSpaceDE w:val="0"/>
        <w:autoSpaceDN w:val="0"/>
        <w:bidi w:val="0"/>
        <w:adjustRightInd/>
        <w:snapToGrid/>
        <w:spacing w:before="0" w:line="580" w:lineRule="exact"/>
        <w:ind w:left="0" w:right="0" w:firstLine="5120" w:firstLineChars="1600"/>
        <w:jc w:val="both"/>
        <w:textAlignment w:val="auto"/>
        <w:rPr>
          <w:rFonts w:hint="eastAsia" w:ascii="仿宋_GB2312" w:hAnsi="仿宋_GB2312" w:eastAsia="仿宋_GB2312" w:cs="仿宋_GB2312"/>
          <w:color w:val="auto"/>
          <w:spacing w:val="0"/>
          <w:w w:val="100"/>
          <w:position w:val="0"/>
          <w:lang w:val="en-US" w:eastAsia="zh-CN"/>
        </w:rPr>
      </w:pPr>
      <w:r>
        <w:rPr>
          <w:rFonts w:hint="eastAsia" w:ascii="仿宋_GB2312" w:hAnsi="仿宋_GB2312" w:eastAsia="仿宋_GB2312" w:cs="仿宋_GB2312"/>
          <w:color w:val="auto"/>
          <w:spacing w:val="0"/>
          <w:w w:val="100"/>
          <w:position w:val="0"/>
          <w:lang w:val="en-US" w:eastAsia="zh-CN"/>
        </w:rPr>
        <w:t>2021年12月28日</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eastAsia" w:ascii="仿宋_GB2312" w:hAnsi="仿宋_GB2312" w:eastAsia="仿宋_GB2312" w:cs="仿宋_GB2312"/>
          <w:color w:val="auto"/>
          <w:spacing w:val="0"/>
          <w:w w:val="100"/>
          <w:position w:val="0"/>
          <w:sz w:val="22"/>
        </w:rPr>
      </w:pPr>
    </w:p>
    <w:p>
      <w:pPr>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jc w:val="both"/>
        <w:textAlignment w:val="auto"/>
        <w:rPr>
          <w:rFonts w:hint="eastAsia" w:ascii="仿宋_GB2312" w:hAnsi="仿宋_GB2312" w:eastAsia="仿宋_GB2312" w:cs="仿宋_GB2312"/>
          <w:color w:val="auto"/>
          <w:spacing w:val="0"/>
          <w:w w:val="100"/>
          <w:position w:val="0"/>
          <w:sz w:val="22"/>
        </w:rPr>
        <w:sectPr>
          <w:type w:val="continuous"/>
          <w:pgSz w:w="11900" w:h="16838"/>
          <w:pgMar w:top="1984" w:right="1701" w:bottom="1701" w:left="1701" w:header="0" w:footer="975"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w w:val="100"/>
          <w:position w:val="0"/>
          <w:sz w:val="44"/>
          <w:szCs w:val="44"/>
        </w:rPr>
      </w:pPr>
      <w:r>
        <w:rPr>
          <w:rFonts w:hint="eastAsia" w:ascii="方正小标宋_GBK" w:hAnsi="方正小标宋_GBK" w:eastAsia="方正小标宋_GBK" w:cs="方正小标宋_GBK"/>
          <w:color w:val="auto"/>
          <w:spacing w:val="0"/>
          <w:w w:val="100"/>
          <w:position w:val="0"/>
          <w:sz w:val="44"/>
          <w:szCs w:val="44"/>
          <w:lang w:eastAsia="zh-CN"/>
        </w:rPr>
        <w:t>北塔区</w:t>
      </w:r>
      <w:r>
        <w:rPr>
          <w:rFonts w:hint="eastAsia" w:ascii="方正小标宋_GBK" w:hAnsi="方正小标宋_GBK" w:eastAsia="方正小标宋_GBK" w:cs="方正小标宋_GBK"/>
          <w:color w:val="auto"/>
          <w:spacing w:val="0"/>
          <w:w w:val="100"/>
          <w:position w:val="0"/>
          <w:sz w:val="44"/>
          <w:szCs w:val="44"/>
        </w:rPr>
        <w:t>生态环境损害赔偿制度改革</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w w:val="100"/>
          <w:position w:val="0"/>
          <w:sz w:val="44"/>
          <w:szCs w:val="44"/>
        </w:rPr>
      </w:pPr>
      <w:r>
        <w:rPr>
          <w:rFonts w:hint="eastAsia" w:ascii="方正小标宋_GBK" w:hAnsi="方正小标宋_GBK" w:eastAsia="方正小标宋_GBK" w:cs="方正小标宋_GBK"/>
          <w:color w:val="auto"/>
          <w:spacing w:val="0"/>
          <w:w w:val="100"/>
          <w:position w:val="0"/>
          <w:sz w:val="44"/>
          <w:szCs w:val="44"/>
        </w:rPr>
        <w:t>实</w:t>
      </w:r>
      <w:r>
        <w:rPr>
          <w:rFonts w:hint="eastAsia" w:ascii="方正小标宋_GBK" w:hAnsi="方正小标宋_GBK" w:eastAsia="方正小标宋_GBK" w:cs="方正小标宋_GBK"/>
          <w:color w:val="auto"/>
          <w:spacing w:val="0"/>
          <w:w w:val="100"/>
          <w:position w:val="0"/>
          <w:sz w:val="44"/>
          <w:szCs w:val="44"/>
          <w:lang w:val="en-US" w:eastAsia="zh-CN"/>
        </w:rPr>
        <w:t xml:space="preserve"> </w:t>
      </w:r>
      <w:r>
        <w:rPr>
          <w:rFonts w:hint="eastAsia" w:ascii="方正小标宋_GBK" w:hAnsi="方正小标宋_GBK" w:eastAsia="方正小标宋_GBK" w:cs="方正小标宋_GBK"/>
          <w:color w:val="auto"/>
          <w:spacing w:val="0"/>
          <w:w w:val="100"/>
          <w:position w:val="0"/>
          <w:sz w:val="44"/>
          <w:szCs w:val="44"/>
        </w:rPr>
        <w:t>施</w:t>
      </w:r>
      <w:r>
        <w:rPr>
          <w:rFonts w:hint="eastAsia" w:ascii="方正小标宋_GBK" w:hAnsi="方正小标宋_GBK" w:eastAsia="方正小标宋_GBK" w:cs="方正小标宋_GBK"/>
          <w:color w:val="auto"/>
          <w:spacing w:val="0"/>
          <w:w w:val="100"/>
          <w:position w:val="0"/>
          <w:sz w:val="44"/>
          <w:szCs w:val="44"/>
          <w:lang w:val="en-US" w:eastAsia="zh-CN"/>
        </w:rPr>
        <w:t xml:space="preserve"> </w:t>
      </w:r>
      <w:r>
        <w:rPr>
          <w:rFonts w:hint="eastAsia" w:ascii="方正小标宋_GBK" w:hAnsi="方正小标宋_GBK" w:eastAsia="方正小标宋_GBK" w:cs="方正小标宋_GBK"/>
          <w:color w:val="auto"/>
          <w:spacing w:val="0"/>
          <w:w w:val="100"/>
          <w:position w:val="0"/>
          <w:sz w:val="44"/>
          <w:szCs w:val="44"/>
        </w:rPr>
        <w:t>方</w:t>
      </w:r>
      <w:r>
        <w:rPr>
          <w:rFonts w:hint="eastAsia" w:ascii="方正小标宋_GBK" w:hAnsi="方正小标宋_GBK" w:eastAsia="方正小标宋_GBK" w:cs="方正小标宋_GBK"/>
          <w:color w:val="auto"/>
          <w:spacing w:val="0"/>
          <w:w w:val="100"/>
          <w:position w:val="0"/>
          <w:sz w:val="44"/>
          <w:szCs w:val="44"/>
          <w:lang w:val="en-US" w:eastAsia="zh-CN"/>
        </w:rPr>
        <w:t xml:space="preserve"> </w:t>
      </w:r>
      <w:r>
        <w:rPr>
          <w:rFonts w:hint="eastAsia" w:ascii="方正小标宋_GBK" w:hAnsi="方正小标宋_GBK" w:eastAsia="方正小标宋_GBK" w:cs="方正小标宋_GBK"/>
          <w:color w:val="auto"/>
          <w:spacing w:val="0"/>
          <w:w w:val="100"/>
          <w:position w:val="0"/>
          <w:sz w:val="44"/>
          <w:szCs w:val="44"/>
        </w:rPr>
        <w:t>案</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eastAsia" w:ascii="仿宋_GB2312" w:hAnsi="仿宋_GB2312" w:eastAsia="仿宋_GB2312" w:cs="仿宋_GB2312"/>
          <w:color w:val="auto"/>
          <w:spacing w:val="0"/>
          <w:w w:val="100"/>
          <w:position w:val="0"/>
          <w:sz w:val="42"/>
        </w:rPr>
      </w:pPr>
    </w:p>
    <w:p>
      <w:pPr>
        <w:pStyle w:val="3"/>
        <w:keepNext w:val="0"/>
        <w:keepLines w:val="0"/>
        <w:pageBreakBefore w:val="0"/>
        <w:widowControl w:val="0"/>
        <w:tabs>
          <w:tab w:val="left" w:pos="6543"/>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生态环境损害赔偿制度是生态文明制度体系的重要组成部分。为全面深入推进</w:t>
      </w:r>
      <w:r>
        <w:rPr>
          <w:rFonts w:hint="eastAsia" w:ascii="仿宋" w:hAnsi="仿宋" w:eastAsia="仿宋" w:cs="仿宋"/>
          <w:color w:val="auto"/>
          <w:spacing w:val="0"/>
          <w:w w:val="100"/>
          <w:position w:val="0"/>
          <w:sz w:val="32"/>
          <w:szCs w:val="32"/>
          <w:lang w:eastAsia="zh-CN"/>
        </w:rPr>
        <w:t>全区</w:t>
      </w:r>
      <w:r>
        <w:rPr>
          <w:rFonts w:hint="eastAsia" w:ascii="仿宋" w:hAnsi="仿宋" w:eastAsia="仿宋" w:cs="仿宋"/>
          <w:color w:val="auto"/>
          <w:spacing w:val="0"/>
          <w:w w:val="100"/>
          <w:position w:val="0"/>
          <w:sz w:val="32"/>
          <w:szCs w:val="32"/>
        </w:rPr>
        <w:t>生态环境损害赔偿制度改革工作，根据《中共中央办公厅</w:t>
      </w:r>
      <w:r>
        <w:rPr>
          <w:rFonts w:hint="eastAsia" w:ascii="仿宋" w:hAnsi="仿宋" w:eastAsia="仿宋" w:cs="仿宋"/>
          <w:color w:val="auto"/>
          <w:spacing w:val="0"/>
          <w:w w:val="100"/>
          <w:position w:val="0"/>
          <w:sz w:val="32"/>
          <w:szCs w:val="32"/>
          <w:lang w:val="en-US" w:eastAsia="zh-CN"/>
        </w:rPr>
        <w:t xml:space="preserve"> </w:t>
      </w:r>
      <w:r>
        <w:rPr>
          <w:rFonts w:hint="eastAsia" w:ascii="仿宋" w:hAnsi="仿宋" w:eastAsia="仿宋" w:cs="仿宋"/>
          <w:color w:val="auto"/>
          <w:spacing w:val="0"/>
          <w:w w:val="100"/>
          <w:position w:val="0"/>
          <w:sz w:val="32"/>
          <w:szCs w:val="32"/>
        </w:rPr>
        <w:t>国务院办公厅关于印发</w:t>
      </w:r>
      <w:r>
        <w:rPr>
          <w:rFonts w:hint="eastAsia" w:ascii="仿宋" w:hAnsi="仿宋" w:eastAsia="仿宋" w:cs="仿宋"/>
          <w:color w:val="auto"/>
          <w:spacing w:val="0"/>
          <w:w w:val="100"/>
          <w:position w:val="0"/>
          <w:sz w:val="32"/>
          <w:szCs w:val="32"/>
          <w:lang w:val="en-US" w:eastAsia="zh-CN"/>
        </w:rPr>
        <w:t>&lt;</w:t>
      </w:r>
      <w:r>
        <w:rPr>
          <w:rFonts w:hint="eastAsia" w:ascii="仿宋" w:hAnsi="仿宋" w:eastAsia="仿宋" w:cs="仿宋"/>
          <w:color w:val="auto"/>
          <w:spacing w:val="0"/>
          <w:w w:val="100"/>
          <w:position w:val="0"/>
          <w:sz w:val="32"/>
          <w:szCs w:val="32"/>
        </w:rPr>
        <w:t>生态环境损害赔偿制度改革方案</w:t>
      </w:r>
      <w:r>
        <w:rPr>
          <w:rFonts w:hint="eastAsia" w:ascii="仿宋" w:hAnsi="仿宋" w:eastAsia="仿宋" w:cs="仿宋"/>
          <w:color w:val="auto"/>
          <w:spacing w:val="0"/>
          <w:w w:val="100"/>
          <w:position w:val="0"/>
          <w:sz w:val="32"/>
          <w:szCs w:val="32"/>
          <w:lang w:val="en-US" w:eastAsia="zh-CN"/>
        </w:rPr>
        <w:t>&gt;</w:t>
      </w:r>
      <w:r>
        <w:rPr>
          <w:rFonts w:hint="eastAsia" w:ascii="仿宋" w:hAnsi="仿宋" w:eastAsia="仿宋" w:cs="仿宋"/>
          <w:color w:val="auto"/>
          <w:spacing w:val="0"/>
          <w:w w:val="100"/>
          <w:position w:val="0"/>
          <w:sz w:val="32"/>
          <w:szCs w:val="32"/>
        </w:rPr>
        <w:t>的通知》（中办发〔2017〕68号）、生态环境部等11部门《关于推进生态环境损害赔偿制度改革若</w:t>
      </w:r>
      <w:r>
        <w:rPr>
          <w:rFonts w:hint="eastAsia" w:ascii="仿宋" w:hAnsi="仿宋" w:eastAsia="仿宋" w:cs="仿宋"/>
          <w:color w:val="auto"/>
          <w:spacing w:val="0"/>
          <w:w w:val="100"/>
          <w:position w:val="0"/>
          <w:sz w:val="32"/>
          <w:szCs w:val="32"/>
          <w:lang w:eastAsia="zh-CN"/>
        </w:rPr>
        <w:t>干</w:t>
      </w:r>
      <w:r>
        <w:rPr>
          <w:rFonts w:hint="eastAsia" w:ascii="仿宋" w:hAnsi="仿宋" w:eastAsia="仿宋" w:cs="仿宋"/>
          <w:color w:val="auto"/>
          <w:spacing w:val="0"/>
          <w:w w:val="100"/>
          <w:position w:val="0"/>
          <w:sz w:val="32"/>
          <w:szCs w:val="32"/>
        </w:rPr>
        <w:t>具体问题的意见》（环法规〔2020〕44号）、《湖南省生态环境损害赔偿制度改革工作领导小组工作制度》（湘环损赔办〔</w:t>
      </w:r>
      <w:bookmarkStart w:id="0" w:name="_GoBack"/>
      <w:bookmarkEnd w:id="0"/>
      <w:r>
        <w:rPr>
          <w:rFonts w:hint="eastAsia" w:ascii="仿宋" w:hAnsi="仿宋" w:eastAsia="仿宋" w:cs="仿宋"/>
          <w:color w:val="auto"/>
          <w:spacing w:val="0"/>
          <w:w w:val="100"/>
          <w:position w:val="0"/>
          <w:sz w:val="32"/>
          <w:szCs w:val="32"/>
        </w:rPr>
        <w:t>2020〕7号）、《关于印发＜湖南省生态环境损害赔偿调查办法＞等6个文件的通知》（湘环发〔202</w:t>
      </w:r>
      <w:r>
        <w:rPr>
          <w:rFonts w:hint="eastAsia" w:ascii="仿宋" w:hAnsi="仿宋" w:eastAsia="仿宋" w:cs="仿宋"/>
          <w:color w:val="auto"/>
          <w:spacing w:val="0"/>
          <w:w w:val="100"/>
          <w:position w:val="0"/>
          <w:sz w:val="32"/>
          <w:szCs w:val="32"/>
          <w:lang w:val="en-US" w:eastAsia="zh-CN"/>
        </w:rPr>
        <w:t>1</w:t>
      </w:r>
      <w:r>
        <w:rPr>
          <w:rFonts w:hint="eastAsia" w:ascii="仿宋" w:hAnsi="仿宋" w:eastAsia="仿宋" w:cs="仿宋"/>
          <w:color w:val="auto"/>
          <w:spacing w:val="0"/>
          <w:w w:val="100"/>
          <w:position w:val="0"/>
          <w:sz w:val="32"/>
          <w:szCs w:val="32"/>
        </w:rPr>
        <w:t>〕7号）、《邵阳市人民政府办公室关于印发</w:t>
      </w:r>
      <w:r>
        <w:rPr>
          <w:rFonts w:hint="eastAsia" w:ascii="仿宋" w:hAnsi="仿宋" w:eastAsia="仿宋" w:cs="仿宋"/>
          <w:color w:val="auto"/>
          <w:spacing w:val="0"/>
          <w:w w:val="100"/>
          <w:position w:val="0"/>
          <w:sz w:val="32"/>
          <w:szCs w:val="32"/>
          <w:lang w:val="en-US" w:eastAsia="zh-CN"/>
        </w:rPr>
        <w:t>&lt;</w:t>
      </w:r>
      <w:r>
        <w:rPr>
          <w:rFonts w:hint="eastAsia" w:ascii="仿宋" w:hAnsi="仿宋" w:eastAsia="仿宋" w:cs="仿宋"/>
          <w:color w:val="auto"/>
          <w:spacing w:val="0"/>
          <w:w w:val="100"/>
          <w:position w:val="0"/>
          <w:sz w:val="32"/>
          <w:szCs w:val="32"/>
        </w:rPr>
        <w:t>邵阳市生态环境损害赔偿制度改革实施方案</w:t>
      </w:r>
      <w:r>
        <w:rPr>
          <w:rFonts w:hint="eastAsia" w:ascii="仿宋" w:hAnsi="仿宋" w:eastAsia="仿宋" w:cs="仿宋"/>
          <w:color w:val="auto"/>
          <w:spacing w:val="0"/>
          <w:w w:val="100"/>
          <w:position w:val="0"/>
          <w:sz w:val="32"/>
          <w:szCs w:val="32"/>
          <w:lang w:val="en-US" w:eastAsia="zh-CN"/>
        </w:rPr>
        <w:t>&gt;</w:t>
      </w:r>
      <w:r>
        <w:rPr>
          <w:rFonts w:hint="eastAsia" w:ascii="仿宋" w:hAnsi="仿宋" w:eastAsia="仿宋" w:cs="仿宋"/>
          <w:color w:val="auto"/>
          <w:spacing w:val="0"/>
          <w:w w:val="100"/>
          <w:position w:val="0"/>
          <w:sz w:val="32"/>
          <w:szCs w:val="32"/>
        </w:rPr>
        <w:t>的通知》（邵市政办发〔202</w:t>
      </w:r>
      <w:r>
        <w:rPr>
          <w:rFonts w:hint="eastAsia" w:ascii="仿宋" w:hAnsi="仿宋" w:eastAsia="仿宋" w:cs="仿宋"/>
          <w:color w:val="auto"/>
          <w:spacing w:val="0"/>
          <w:w w:val="100"/>
          <w:position w:val="0"/>
          <w:sz w:val="32"/>
          <w:szCs w:val="32"/>
          <w:lang w:val="en-US" w:eastAsia="zh-CN"/>
        </w:rPr>
        <w:t>1</w:t>
      </w:r>
      <w:r>
        <w:rPr>
          <w:rFonts w:hint="eastAsia" w:ascii="仿宋" w:hAnsi="仿宋" w:eastAsia="仿宋" w:cs="仿宋"/>
          <w:color w:val="auto"/>
          <w:spacing w:val="0"/>
          <w:w w:val="100"/>
          <w:position w:val="0"/>
          <w:sz w:val="32"/>
          <w:szCs w:val="32"/>
        </w:rPr>
        <w:t>〕15号）精神，结合我</w:t>
      </w:r>
      <w:r>
        <w:rPr>
          <w:rFonts w:hint="eastAsia" w:ascii="仿宋" w:hAnsi="仿宋" w:eastAsia="仿宋" w:cs="仿宋"/>
          <w:color w:val="auto"/>
          <w:spacing w:val="0"/>
          <w:w w:val="100"/>
          <w:position w:val="0"/>
          <w:sz w:val="32"/>
          <w:szCs w:val="32"/>
          <w:lang w:eastAsia="zh-CN"/>
        </w:rPr>
        <w:t>区</w:t>
      </w:r>
      <w:r>
        <w:rPr>
          <w:rFonts w:hint="eastAsia" w:ascii="仿宋" w:hAnsi="仿宋" w:eastAsia="仿宋" w:cs="仿宋"/>
          <w:color w:val="auto"/>
          <w:spacing w:val="0"/>
          <w:w w:val="100"/>
          <w:position w:val="0"/>
          <w:sz w:val="32"/>
          <w:szCs w:val="32"/>
        </w:rPr>
        <w:t>实际，制定本方案。</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一、总体要求和目标</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按照省市统一部署，在</w:t>
      </w:r>
      <w:r>
        <w:rPr>
          <w:rFonts w:hint="eastAsia" w:ascii="仿宋_GB2312" w:hAnsi="仿宋_GB2312" w:eastAsia="仿宋_GB2312" w:cs="仿宋_GB2312"/>
          <w:color w:val="auto"/>
          <w:spacing w:val="0"/>
          <w:w w:val="100"/>
          <w:position w:val="0"/>
          <w:sz w:val="32"/>
          <w:szCs w:val="32"/>
          <w:lang w:eastAsia="zh-CN"/>
        </w:rPr>
        <w:t>全区</w:t>
      </w:r>
      <w:r>
        <w:rPr>
          <w:rFonts w:hint="eastAsia" w:ascii="仿宋_GB2312" w:hAnsi="仿宋_GB2312" w:eastAsia="仿宋_GB2312" w:cs="仿宋_GB2312"/>
          <w:color w:val="auto"/>
          <w:spacing w:val="0"/>
          <w:w w:val="100"/>
          <w:position w:val="0"/>
          <w:sz w:val="32"/>
          <w:szCs w:val="32"/>
        </w:rPr>
        <w:t>范围内积极推行生态环境损害赔偿制度，通过探索实践，进一步明确生态环境损害赔偿范围、责任主体、索赔主体、损害赔偿解决途径等，建立生态环境损害鉴定评估、磋商、诉讼、修复、资金等管理制度和工作机制，构建责任明确、途径畅通、技术规范、保障有力、赔偿到位、修复有效的生态环境损害赔偿制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二、赔偿适用范围</w:t>
      </w:r>
    </w:p>
    <w:p>
      <w:pPr>
        <w:pStyle w:val="3"/>
        <w:keepNext w:val="0"/>
        <w:keepLines w:val="0"/>
        <w:pageBreakBefore w:val="0"/>
        <w:widowControl w:val="0"/>
        <w:tabs>
          <w:tab w:val="left" w:pos="5446"/>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本方案所称生态环境损害，是指因污染环境、破坏生态造成大气、地表水、地下水、土壤等环境要素和植物、动物、微生物等生物要素的不利改变，及上述要素构成的生态系统功能的退化。</w:t>
      </w:r>
    </w:p>
    <w:p>
      <w:pPr>
        <w:pStyle w:val="3"/>
        <w:keepNext w:val="0"/>
        <w:keepLines w:val="0"/>
        <w:pageBreakBefore w:val="0"/>
        <w:widowControl w:val="0"/>
        <w:tabs>
          <w:tab w:val="left" w:pos="5446"/>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发生以下四种情形之一，是本方案所称的生态环境损害事件：</w:t>
      </w:r>
    </w:p>
    <w:p>
      <w:pPr>
        <w:pStyle w:val="3"/>
        <w:keepNext w:val="0"/>
        <w:keepLines w:val="0"/>
        <w:pageBreakBefore w:val="0"/>
        <w:widowControl w:val="0"/>
        <w:tabs>
          <w:tab w:val="left" w:pos="5446"/>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1.</w:t>
      </w:r>
      <w:r>
        <w:rPr>
          <w:rFonts w:hint="eastAsia" w:ascii="仿宋_GB2312" w:hAnsi="仿宋_GB2312" w:eastAsia="仿宋_GB2312" w:cs="仿宋_GB2312"/>
          <w:color w:val="auto"/>
          <w:spacing w:val="0"/>
          <w:w w:val="100"/>
          <w:position w:val="0"/>
          <w:sz w:val="32"/>
          <w:szCs w:val="32"/>
        </w:rPr>
        <w:t>发生国务院相关文件规定的突发生态环境事件的；</w:t>
      </w:r>
    </w:p>
    <w:p>
      <w:pPr>
        <w:pStyle w:val="3"/>
        <w:keepNext w:val="0"/>
        <w:keepLines w:val="0"/>
        <w:pageBreakBefore w:val="0"/>
        <w:widowControl w:val="0"/>
        <w:tabs>
          <w:tab w:val="left" w:pos="5446"/>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2.</w:t>
      </w:r>
      <w:r>
        <w:rPr>
          <w:rFonts w:hint="eastAsia" w:ascii="仿宋_GB2312" w:hAnsi="仿宋_GB2312" w:eastAsia="仿宋_GB2312" w:cs="仿宋_GB2312"/>
          <w:color w:val="auto"/>
          <w:spacing w:val="0"/>
          <w:w w:val="100"/>
          <w:position w:val="0"/>
          <w:sz w:val="32"/>
          <w:szCs w:val="32"/>
        </w:rPr>
        <w:t>在国土空间规划中确定的重点生态功能区、禁止开发区发生环境污染、生态破坏事件的；</w:t>
      </w:r>
    </w:p>
    <w:p>
      <w:pPr>
        <w:pStyle w:val="3"/>
        <w:keepNext w:val="0"/>
        <w:keepLines w:val="0"/>
        <w:pageBreakBefore w:val="0"/>
        <w:widowControl w:val="0"/>
        <w:tabs>
          <w:tab w:val="left" w:pos="5446"/>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3.</w:t>
      </w:r>
      <w:r>
        <w:rPr>
          <w:rFonts w:hint="eastAsia" w:ascii="仿宋_GB2312" w:hAnsi="仿宋_GB2312" w:eastAsia="仿宋_GB2312" w:cs="仿宋_GB2312"/>
          <w:color w:val="auto"/>
          <w:spacing w:val="0"/>
          <w:w w:val="100"/>
          <w:position w:val="0"/>
          <w:sz w:val="32"/>
          <w:szCs w:val="32"/>
        </w:rPr>
        <w:t>在重点生态功能区和禁止开发区以外的其他地区直接导致区域大气、水等环境质量等级下降，土壤环境风险等级上升，或造成耕地、林地、绿地、草原、湿地、饮用水水源地、重点保护野生动物栖息地等功能性退化的；</w:t>
      </w:r>
    </w:p>
    <w:p>
      <w:pPr>
        <w:pStyle w:val="3"/>
        <w:keepNext w:val="0"/>
        <w:keepLines w:val="0"/>
        <w:pageBreakBefore w:val="0"/>
        <w:widowControl w:val="0"/>
        <w:tabs>
          <w:tab w:val="left" w:pos="5446"/>
        </w:tabs>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4.</w:t>
      </w:r>
      <w:r>
        <w:rPr>
          <w:rFonts w:hint="eastAsia" w:ascii="仿宋_GB2312" w:hAnsi="仿宋_GB2312" w:eastAsia="仿宋_GB2312" w:cs="仿宋_GB2312"/>
          <w:color w:val="auto"/>
          <w:spacing w:val="0"/>
          <w:w w:val="100"/>
          <w:position w:val="0"/>
          <w:sz w:val="32"/>
          <w:szCs w:val="32"/>
        </w:rPr>
        <w:t>其它违反法律法规和国家有关规定，造成环境污染、生态破坏的。</w:t>
      </w:r>
    </w:p>
    <w:p>
      <w:pPr>
        <w:pStyle w:val="9"/>
        <w:keepNext w:val="0"/>
        <w:keepLines w:val="0"/>
        <w:pageBreakBefore w:val="0"/>
        <w:widowControl w:val="0"/>
        <w:numPr>
          <w:ilvl w:val="0"/>
          <w:numId w:val="0"/>
        </w:numPr>
        <w:tabs>
          <w:tab w:val="left" w:pos="1257"/>
        </w:tabs>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以下情形不纳入本方案管理：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1.</w:t>
      </w:r>
      <w:r>
        <w:rPr>
          <w:rFonts w:hint="eastAsia" w:ascii="仿宋_GB2312" w:hAnsi="仿宋_GB2312" w:eastAsia="仿宋_GB2312" w:cs="仿宋_GB2312"/>
          <w:color w:val="auto"/>
          <w:spacing w:val="0"/>
          <w:w w:val="100"/>
          <w:position w:val="0"/>
          <w:sz w:val="32"/>
          <w:szCs w:val="32"/>
        </w:rPr>
        <w:t>生态环境损害事件涉及人身伤害、个人和集体财产损失要求赔偿的，适用民法典等法律规定；</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2.</w:t>
      </w:r>
      <w:r>
        <w:rPr>
          <w:rFonts w:hint="eastAsia" w:ascii="仿宋_GB2312" w:hAnsi="仿宋_GB2312" w:eastAsia="仿宋_GB2312" w:cs="仿宋_GB2312"/>
          <w:color w:val="auto"/>
          <w:spacing w:val="0"/>
          <w:w w:val="100"/>
          <w:position w:val="0"/>
          <w:sz w:val="32"/>
          <w:szCs w:val="32"/>
        </w:rPr>
        <w:t>历史遗留且无责任主体的，由所在地人民政府</w:t>
      </w:r>
      <w:r>
        <w:rPr>
          <w:rFonts w:hint="eastAsia" w:ascii="仿宋_GB2312" w:hAnsi="仿宋_GB2312" w:eastAsia="仿宋_GB2312" w:cs="仿宋_GB2312"/>
          <w:color w:val="auto"/>
          <w:spacing w:val="0"/>
          <w:w w:val="100"/>
          <w:position w:val="0"/>
          <w:sz w:val="32"/>
          <w:szCs w:val="32"/>
          <w:lang w:val="en-US" w:eastAsia="zh-CN"/>
        </w:rPr>
        <w:t>(街道办事处)</w:t>
      </w:r>
      <w:r>
        <w:rPr>
          <w:rFonts w:hint="eastAsia" w:ascii="仿宋_GB2312" w:hAnsi="仿宋_GB2312" w:eastAsia="仿宋_GB2312" w:cs="仿宋_GB2312"/>
          <w:color w:val="auto"/>
          <w:spacing w:val="0"/>
          <w:w w:val="100"/>
          <w:position w:val="0"/>
          <w:sz w:val="32"/>
          <w:szCs w:val="32"/>
        </w:rPr>
        <w:t>纳入日常环境治理工作；</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3.</w:t>
      </w:r>
      <w:r>
        <w:rPr>
          <w:rFonts w:hint="eastAsia" w:ascii="仿宋_GB2312" w:hAnsi="仿宋_GB2312" w:eastAsia="仿宋_GB2312" w:cs="仿宋_GB2312"/>
          <w:color w:val="auto"/>
          <w:spacing w:val="0"/>
          <w:w w:val="100"/>
          <w:position w:val="0"/>
          <w:sz w:val="32"/>
          <w:szCs w:val="32"/>
        </w:rPr>
        <w:t>涉及驻</w:t>
      </w:r>
      <w:r>
        <w:rPr>
          <w:rFonts w:hint="eastAsia" w:ascii="仿宋_GB2312" w:hAnsi="仿宋_GB2312" w:eastAsia="仿宋_GB2312" w:cs="仿宋_GB2312"/>
          <w:color w:val="auto"/>
          <w:spacing w:val="0"/>
          <w:w w:val="100"/>
          <w:position w:val="0"/>
          <w:sz w:val="32"/>
          <w:szCs w:val="32"/>
          <w:lang w:val="en-US" w:eastAsia="zh-CN"/>
        </w:rPr>
        <w:t>区</w:t>
      </w:r>
      <w:r>
        <w:rPr>
          <w:rFonts w:hint="eastAsia" w:ascii="仿宋_GB2312" w:hAnsi="仿宋_GB2312" w:eastAsia="仿宋_GB2312" w:cs="仿宋_GB2312"/>
          <w:color w:val="auto"/>
          <w:spacing w:val="0"/>
          <w:w w:val="100"/>
          <w:position w:val="0"/>
          <w:sz w:val="32"/>
          <w:szCs w:val="32"/>
        </w:rPr>
        <w:t>部队的生态环境损害事件，按军队有关规定办理。</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三、赔偿范围及义务人、权利人</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en-US" w:bidi="ar-SA"/>
        </w:rPr>
        <w:t>（一）赔偿范围。</w:t>
      </w:r>
      <w:r>
        <w:rPr>
          <w:rFonts w:hint="eastAsia" w:ascii="仿宋_GB2312" w:hAnsi="仿宋_GB2312" w:eastAsia="仿宋_GB2312" w:cs="仿宋_GB2312"/>
          <w:color w:val="auto"/>
          <w:spacing w:val="0"/>
          <w:w w:val="100"/>
          <w:position w:val="0"/>
          <w:sz w:val="32"/>
          <w:szCs w:val="32"/>
        </w:rPr>
        <w:t>生态环境损害赔偿范围主要包括：清除污染、修复生态环境及生态环境修复效果评估费用；生态环境损害修复期间服务功能的损失补偿费用；生态环境功能永久性损害造成的损失补偿费用；生态环境损害调查、鉴定评估费用；生态环境损害赔偿诉讼费用（含公益诉讼）；防止损害的发生和扩大所支出的合理费用等。</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en-US" w:bidi="ar-SA"/>
        </w:rPr>
        <w:t>（二）赔偿义务人。</w:t>
      </w:r>
      <w:r>
        <w:rPr>
          <w:rFonts w:hint="eastAsia" w:ascii="仿宋_GB2312" w:hAnsi="仿宋_GB2312" w:eastAsia="仿宋_GB2312" w:cs="仿宋_GB2312"/>
          <w:color w:val="auto"/>
          <w:spacing w:val="0"/>
          <w:w w:val="100"/>
          <w:position w:val="0"/>
          <w:sz w:val="32"/>
          <w:szCs w:val="32"/>
        </w:rPr>
        <w:t>违反法律法规和国家有关规定，造成生态环境损害的单位或个人，应当承担生态环境损害赔偿责任，做到应赔尽赔。现行民事法律和资源环境保护法律有相关免除或减轻生态环境损害赔偿责任规定的，按相应规定执行。赔偿义务人因同一生态环境损害行为需承担行政责任或刑事责任的，不影响其依法承担生态环境损害赔偿责任。</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en-US" w:bidi="ar-SA"/>
        </w:rPr>
        <w:t>（三）赔偿权利人。</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人民政府为本行政区域内生态环境损害赔偿权利人。根据生态环境损害事件类型，</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人民政府指定生态环境、自然资源、农业农村</w:t>
      </w:r>
      <w:r>
        <w:rPr>
          <w:rFonts w:hint="eastAsia" w:ascii="仿宋_GB2312" w:hAnsi="仿宋_GB2312" w:eastAsia="仿宋_GB2312" w:cs="仿宋_GB2312"/>
          <w:color w:val="auto"/>
          <w:spacing w:val="0"/>
          <w:w w:val="100"/>
          <w:position w:val="0"/>
          <w:sz w:val="32"/>
          <w:szCs w:val="32"/>
          <w:lang w:val="en-US" w:eastAsia="zh-CN"/>
        </w:rPr>
        <w:t>水利</w:t>
      </w:r>
      <w:r>
        <w:rPr>
          <w:rFonts w:hint="eastAsia" w:ascii="仿宋_GB2312" w:hAnsi="仿宋_GB2312" w:eastAsia="仿宋_GB2312" w:cs="仿宋_GB2312"/>
          <w:color w:val="auto"/>
          <w:spacing w:val="0"/>
          <w:w w:val="100"/>
          <w:position w:val="0"/>
          <w:sz w:val="32"/>
          <w:szCs w:val="32"/>
        </w:rPr>
        <w:t>、住建、城管</w:t>
      </w:r>
      <w:r>
        <w:rPr>
          <w:rFonts w:hint="eastAsia" w:ascii="仿宋_GB2312" w:hAnsi="仿宋_GB2312" w:eastAsia="仿宋_GB2312" w:cs="仿宋_GB2312"/>
          <w:color w:val="auto"/>
          <w:spacing w:val="0"/>
          <w:w w:val="100"/>
          <w:position w:val="0"/>
          <w:sz w:val="32"/>
          <w:szCs w:val="32"/>
          <w:lang w:val="en-US" w:eastAsia="zh-CN"/>
        </w:rPr>
        <w:t>执法</w:t>
      </w:r>
      <w:r>
        <w:rPr>
          <w:rFonts w:hint="eastAsia" w:ascii="仿宋_GB2312" w:hAnsi="仿宋_GB2312" w:eastAsia="仿宋_GB2312" w:cs="仿宋_GB2312"/>
          <w:color w:val="auto"/>
          <w:spacing w:val="0"/>
          <w:w w:val="100"/>
          <w:position w:val="0"/>
          <w:sz w:val="32"/>
          <w:szCs w:val="32"/>
        </w:rPr>
        <w:t>等部门及各镇</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街道</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依程序开展生态环境损害赔偿具体工作。</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人民政府指定的部门有权提起诉讼。</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四、赔偿工作程序</w:t>
      </w:r>
    </w:p>
    <w:p>
      <w:pPr>
        <w:pStyle w:val="3"/>
        <w:keepNext w:val="0"/>
        <w:keepLines w:val="0"/>
        <w:pageBreakBefore w:val="0"/>
        <w:widowControl w:val="0"/>
        <w:tabs>
          <w:tab w:val="left" w:pos="6925"/>
        </w:tabs>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en-US" w:bidi="ar-SA"/>
        </w:rPr>
        <w:t>（一）提起损害赔偿。</w:t>
      </w:r>
      <w:r>
        <w:rPr>
          <w:rFonts w:hint="eastAsia" w:ascii="仿宋_GB2312" w:hAnsi="仿宋_GB2312" w:eastAsia="仿宋_GB2312" w:cs="仿宋_GB2312"/>
          <w:color w:val="auto"/>
          <w:spacing w:val="0"/>
          <w:w w:val="100"/>
          <w:position w:val="0"/>
          <w:sz w:val="32"/>
          <w:szCs w:val="32"/>
        </w:rPr>
        <w:t>发生生态环境损害事件或收到相关投诉举报线索后，赔偿工作部门应当及时对事件线索进行初步调查核实，认为符合索赔启动情形的，报本部门负责人同意后，开展索赔，填报《索赔启动登记表》。不符合索赔启动情形的，经本部门负责人同意后，终止案件，并填报《索赔终止登记表》。赔偿工作部门应将索赔工作情况向赔偿权利人报告，并填报《生态环境损害调查情况登记表》。</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en-US" w:bidi="ar-SA"/>
        </w:rPr>
        <w:t>（二）开展调查评估。</w:t>
      </w:r>
      <w:r>
        <w:rPr>
          <w:rFonts w:hint="eastAsia" w:ascii="仿宋_GB2312" w:hAnsi="仿宋_GB2312" w:eastAsia="仿宋_GB2312" w:cs="仿宋_GB2312"/>
          <w:color w:val="auto"/>
          <w:spacing w:val="0"/>
          <w:w w:val="100"/>
          <w:position w:val="0"/>
          <w:sz w:val="32"/>
          <w:szCs w:val="32"/>
        </w:rPr>
        <w:t>生态环境损害调查评估实施分级分类管理和属地管理。受理生态环境损害赔偿的部门应按照《湖南省生态环境损害调查办法》规定，开展生态环境损害调查，组织生态环境损害鉴定评估，在规定时间内形成调查报告，提出启动索赔或终止案件的意见。</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rPr>
        <w:t>（三）开展赔偿磋商及司法确认。</w:t>
      </w:r>
      <w:r>
        <w:rPr>
          <w:rFonts w:hint="eastAsia" w:ascii="仿宋_GB2312" w:hAnsi="仿宋_GB2312" w:eastAsia="仿宋_GB2312" w:cs="仿宋_GB2312"/>
          <w:color w:val="auto"/>
          <w:spacing w:val="0"/>
          <w:w w:val="100"/>
          <w:position w:val="0"/>
          <w:sz w:val="32"/>
          <w:szCs w:val="32"/>
        </w:rPr>
        <w:t>生态环境损害赔偿磋商按照《湖南省生态环境损害赔偿磋商管理办法》执行。赔偿权利人及其指定的部门根据鉴定机构出具的司法鉴定意见或鉴定评估报告或参考专家意见等，结合案件综合分析，制作《生态环境损害磋商赔偿意见书》。一般由赔偿工作部门或机构代表赔偿权利人与赔偿义务人在平等自愿的基础上进行磋商，也可以在人民调解委员会的主持下进行磋商，达成一致意见的，由赔偿工作部门与赔偿义务人共同签订《生态环境损害赔偿协议》，并依程序共同向相关基层人民法院申请确定协议的法律效力。经司法确认的赔偿协议，赔偿义务人不履行或不宪全履行的，赔偿权利人及其指定的部门可向人民法院申请强制执行。磋商不成或未能达成一致的，赔偿权利人及其指定的部门应当及时提起生态环境损害赔偿诉讼，或商请检察机关、法律规定的组织提起生态环境损害公益诉讼，要求赔偿义务人承担生态环境损害赔偿责任。</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rPr>
        <w:t>（四）加强赔偿诉讼协作配合。</w:t>
      </w:r>
      <w:r>
        <w:rPr>
          <w:rFonts w:hint="eastAsia" w:ascii="仿宋_GB2312" w:hAnsi="仿宋_GB2312" w:eastAsia="仿宋_GB2312" w:cs="仿宋_GB2312"/>
          <w:color w:val="auto"/>
          <w:spacing w:val="0"/>
          <w:w w:val="100"/>
          <w:position w:val="0"/>
          <w:sz w:val="32"/>
          <w:szCs w:val="32"/>
        </w:rPr>
        <w:t>赔偿工作部门要加强与司法机关的沟通协调，在启动生态环境损害赔偿调查后，一般应告知相关人民法院和检察机关。</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人民检察院应依法支持、督促赔偿权利人主张生态环境损害赔偿权利；建立并推行生态环境损害检察机关提前介入制度，督促赔偿义务人积极达成赔偿或修复协议；积极支持赔偿诉讼，并依法开展公益诉讼。</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rPr>
        <w:t>（五）加强生态环境损害修复与赔偿执行监督。</w:t>
      </w:r>
      <w:r>
        <w:rPr>
          <w:rFonts w:hint="eastAsia" w:ascii="仿宋_GB2312" w:hAnsi="仿宋_GB2312" w:eastAsia="仿宋_GB2312" w:cs="仿宋_GB2312"/>
          <w:color w:val="auto"/>
          <w:spacing w:val="0"/>
          <w:w w:val="100"/>
          <w:position w:val="0"/>
          <w:sz w:val="32"/>
          <w:szCs w:val="32"/>
        </w:rPr>
        <w:t>生态环境损害修复项目实施和监督管理按照《湖南省生态环境损害修复监督管理办法》规定执行。赔偿义务人、赔偿权利人及其指定的部门应当根据磋商协议、法院生效判决或调解书，及时组织开展生态环境损害修复。赔偿义务人无能力开展修复项目的，自行委托具有修复能力的第三方机构进行修复，修复资金由赔偿义务人向委托的第三方机构支付。对于生态环境损害无法修复的项目，赔偿义务人在缴纳赔偿金后，由赔偿权利人及其指定的部门负责组织开展替代修复。赔偿工作部门应当组织对受损生态环境修复的效果进行评估，确保生态环境得到及时有效修复。</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楷体" w:hAnsi="楷体" w:eastAsia="楷体" w:cs="楷体"/>
          <w:b/>
          <w:bCs/>
          <w:color w:val="auto"/>
          <w:spacing w:val="0"/>
          <w:w w:val="100"/>
          <w:position w:val="0"/>
          <w:sz w:val="32"/>
          <w:szCs w:val="32"/>
        </w:rPr>
        <w:t>（六）严格落实赔偿资金管理制度。</w:t>
      </w:r>
      <w:r>
        <w:rPr>
          <w:rFonts w:hint="eastAsia" w:ascii="仿宋_GB2312" w:hAnsi="仿宋_GB2312" w:eastAsia="仿宋_GB2312" w:cs="仿宋_GB2312"/>
          <w:color w:val="auto"/>
          <w:spacing w:val="0"/>
          <w:w w:val="100"/>
          <w:position w:val="0"/>
          <w:sz w:val="32"/>
          <w:szCs w:val="32"/>
        </w:rPr>
        <w:t>赔偿义务人造成的生态环境损害无法修复的，其赔偿资金作为政府非税收入，全额上缴同级国库，纳入一般公共预算管理，列为生态环境损害赔偿专项资金管理，专款专用。按照《湖南省生态环境损害赔偿资金管理办法》规定，生态环境损害赔偿款项收缴使用情况要依法依规公开，接受监督</w:t>
      </w:r>
      <w:r>
        <w:rPr>
          <w:rFonts w:hint="eastAsia" w:ascii="仿宋_GB2312" w:hAnsi="仿宋_GB2312" w:eastAsia="仿宋_GB2312" w:cs="仿宋_GB2312"/>
          <w:color w:val="auto"/>
          <w:spacing w:val="0"/>
          <w:w w:val="10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五、保障措施</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rPr>
        <w:t>（一）加强组织领导，健全工作机制。</w:t>
      </w:r>
      <w:r>
        <w:rPr>
          <w:rFonts w:hint="eastAsia" w:ascii="仿宋_GB2312" w:hAnsi="仿宋_GB2312" w:eastAsia="仿宋_GB2312" w:cs="仿宋_GB2312"/>
          <w:color w:val="auto"/>
          <w:spacing w:val="0"/>
          <w:w w:val="100"/>
          <w:position w:val="0"/>
          <w:sz w:val="32"/>
          <w:szCs w:val="32"/>
        </w:rPr>
        <w:t>加强对生态环境损害赔偿制度改革的统一领导，明确工作任务和要求，积极探索，扎实推进，确保改革措施落到实处。成立</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生态环境损害赔偿制度改革工作领导小组，由分管副</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长任组长，</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政府办公室</w:t>
      </w:r>
      <w:r>
        <w:rPr>
          <w:rFonts w:hint="eastAsia" w:ascii="仿宋_GB2312" w:hAnsi="仿宋_GB2312" w:eastAsia="仿宋_GB2312" w:cs="仿宋_GB2312"/>
          <w:color w:val="auto"/>
          <w:spacing w:val="0"/>
          <w:w w:val="100"/>
          <w:position w:val="0"/>
          <w:sz w:val="32"/>
          <w:szCs w:val="32"/>
          <w:lang w:val="en-US" w:eastAsia="zh-CN"/>
        </w:rPr>
        <w:t>协助工作</w:t>
      </w:r>
      <w:r>
        <w:rPr>
          <w:rFonts w:hint="eastAsia" w:ascii="仿宋_GB2312" w:hAnsi="仿宋_GB2312" w:eastAsia="仿宋_GB2312" w:cs="仿宋_GB2312"/>
          <w:color w:val="auto"/>
          <w:spacing w:val="0"/>
          <w:w w:val="100"/>
          <w:position w:val="0"/>
          <w:sz w:val="32"/>
          <w:szCs w:val="32"/>
        </w:rPr>
        <w:t>副主任、</w:t>
      </w:r>
      <w:r>
        <w:rPr>
          <w:rFonts w:hint="eastAsia" w:ascii="仿宋_GB2312" w:hAnsi="仿宋_GB2312" w:eastAsia="仿宋_GB2312" w:cs="仿宋_GB2312"/>
          <w:color w:val="auto"/>
          <w:spacing w:val="0"/>
          <w:w w:val="100"/>
          <w:position w:val="0"/>
          <w:sz w:val="32"/>
          <w:szCs w:val="32"/>
          <w:lang w:val="en-US" w:eastAsia="zh-CN"/>
        </w:rPr>
        <w:t>区</w:t>
      </w:r>
      <w:r>
        <w:rPr>
          <w:rFonts w:hint="eastAsia" w:ascii="仿宋_GB2312" w:hAnsi="仿宋_GB2312" w:eastAsia="仿宋_GB2312" w:cs="仿宋_GB2312"/>
          <w:color w:val="auto"/>
          <w:spacing w:val="0"/>
          <w:w w:val="100"/>
          <w:position w:val="0"/>
          <w:sz w:val="32"/>
          <w:szCs w:val="32"/>
        </w:rPr>
        <w:t>生态环境</w:t>
      </w:r>
      <w:r>
        <w:rPr>
          <w:rFonts w:hint="eastAsia" w:ascii="仿宋_GB2312" w:hAnsi="仿宋_GB2312" w:eastAsia="仿宋_GB2312" w:cs="仿宋_GB2312"/>
          <w:color w:val="auto"/>
          <w:spacing w:val="0"/>
          <w:w w:val="100"/>
          <w:position w:val="0"/>
          <w:sz w:val="32"/>
          <w:szCs w:val="32"/>
          <w:lang w:val="en-US" w:eastAsia="zh-CN"/>
        </w:rPr>
        <w:t>分</w:t>
      </w:r>
      <w:r>
        <w:rPr>
          <w:rFonts w:hint="eastAsia" w:ascii="仿宋_GB2312" w:hAnsi="仿宋_GB2312" w:eastAsia="仿宋_GB2312" w:cs="仿宋_GB2312"/>
          <w:color w:val="auto"/>
          <w:spacing w:val="0"/>
          <w:w w:val="100"/>
          <w:position w:val="0"/>
          <w:sz w:val="32"/>
          <w:szCs w:val="32"/>
        </w:rPr>
        <w:t>局主要负责人任副组长，相关单位</w:t>
      </w:r>
      <w:r>
        <w:rPr>
          <w:rFonts w:hint="eastAsia" w:ascii="仿宋_GB2312" w:hAnsi="仿宋_GB2312" w:eastAsia="仿宋_GB2312" w:cs="仿宋_GB2312"/>
          <w:color w:val="auto"/>
          <w:spacing w:val="0"/>
          <w:w w:val="100"/>
          <w:position w:val="0"/>
          <w:sz w:val="32"/>
          <w:szCs w:val="32"/>
          <w:lang w:val="en-US" w:eastAsia="zh-CN"/>
        </w:rPr>
        <w:t>负责</w:t>
      </w:r>
      <w:r>
        <w:rPr>
          <w:rFonts w:hint="eastAsia" w:ascii="仿宋_GB2312" w:hAnsi="仿宋_GB2312" w:eastAsia="仿宋_GB2312" w:cs="仿宋_GB2312"/>
          <w:color w:val="auto"/>
          <w:spacing w:val="0"/>
          <w:w w:val="100"/>
          <w:position w:val="0"/>
          <w:sz w:val="32"/>
          <w:szCs w:val="32"/>
        </w:rPr>
        <w:t>人为成员（具体名单附后），领导小组办公室设</w:t>
      </w:r>
      <w:r>
        <w:rPr>
          <w:rFonts w:hint="eastAsia" w:ascii="仿宋_GB2312" w:hAnsi="仿宋_GB2312" w:eastAsia="仿宋_GB2312" w:cs="仿宋_GB2312"/>
          <w:color w:val="auto"/>
          <w:spacing w:val="0"/>
          <w:w w:val="100"/>
          <w:position w:val="0"/>
          <w:sz w:val="32"/>
          <w:szCs w:val="32"/>
          <w:lang w:val="en-US" w:eastAsia="zh-CN"/>
        </w:rPr>
        <w:t>区</w:t>
      </w:r>
      <w:r>
        <w:rPr>
          <w:rFonts w:hint="eastAsia" w:ascii="仿宋_GB2312" w:hAnsi="仿宋_GB2312" w:eastAsia="仿宋_GB2312" w:cs="仿宋_GB2312"/>
          <w:color w:val="auto"/>
          <w:spacing w:val="0"/>
          <w:w w:val="100"/>
          <w:position w:val="0"/>
          <w:sz w:val="32"/>
          <w:szCs w:val="32"/>
        </w:rPr>
        <w:t>生态环境分局。</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生态环境损害赔偿制度改革工作领导小组及其办公室负责统筹推进生态环境损害赔偿制度落实，具有环境资源保护监督管理职能的</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lang w:val="en-US" w:eastAsia="zh-CN"/>
        </w:rPr>
        <w:t>属</w:t>
      </w:r>
      <w:r>
        <w:rPr>
          <w:rFonts w:hint="eastAsia" w:ascii="仿宋_GB2312" w:hAnsi="仿宋_GB2312" w:eastAsia="仿宋_GB2312" w:cs="仿宋_GB2312"/>
          <w:color w:val="auto"/>
          <w:spacing w:val="0"/>
          <w:w w:val="100"/>
          <w:position w:val="0"/>
          <w:sz w:val="32"/>
          <w:szCs w:val="32"/>
        </w:rPr>
        <w:t>相关部门要明确专门机构、人员负责本系统的生态环境损害赔偿工作。要相应成立机构，加强实践探索，推进生态环境损害赔偿工作。各单位对已办理的赔偿案例情况，要按照规定的文书格式收集整理归档，并及时通过“生态环境损害赔偿改革进展报送系统”填报。</w:t>
      </w:r>
    </w:p>
    <w:p>
      <w:pPr>
        <w:pStyle w:val="3"/>
        <w:keepNext w:val="0"/>
        <w:keepLines w:val="0"/>
        <w:pageBreakBefore w:val="0"/>
        <w:widowControl w:val="0"/>
        <w:tabs>
          <w:tab w:val="left" w:pos="3981"/>
          <w:tab w:val="left" w:pos="7562"/>
          <w:tab w:val="left" w:pos="8176"/>
          <w:tab w:val="left" w:pos="8956"/>
        </w:tabs>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rPr>
        <w:t>（二）明确工作职责，落实主体责任。</w:t>
      </w:r>
      <w:r>
        <w:rPr>
          <w:rFonts w:hint="eastAsia" w:ascii="仿宋_GB2312" w:hAnsi="仿宋_GB2312" w:eastAsia="仿宋_GB2312" w:cs="仿宋_GB2312"/>
          <w:color w:val="auto"/>
          <w:spacing w:val="0"/>
          <w:w w:val="100"/>
          <w:position w:val="0"/>
          <w:sz w:val="32"/>
          <w:szCs w:val="32"/>
        </w:rPr>
        <w:t>生态环境损害赔偿制度改革工作所需经费由</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财政予以安排。生态环境损害事件应急处置期间产生的应急处置费，生态环境损害调查、鉴定评估费，在赔偿义务人尚不明确或赔偿义务人无能力及时支付的，由损害发生地</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财政先行垫支，相关支出费用在后续索赔主张。</w:t>
      </w:r>
      <w:r>
        <w:rPr>
          <w:rFonts w:hint="eastAsia" w:ascii="仿宋_GB2312" w:hAnsi="仿宋_GB2312" w:eastAsia="仿宋_GB2312" w:cs="仿宋_GB2312"/>
          <w:color w:val="auto"/>
          <w:spacing w:val="0"/>
          <w:w w:val="100"/>
          <w:position w:val="0"/>
          <w:sz w:val="32"/>
          <w:szCs w:val="32"/>
          <w:lang w:val="en-US" w:eastAsia="zh-CN"/>
        </w:rPr>
        <w:t>区</w:t>
      </w:r>
      <w:r>
        <w:rPr>
          <w:rFonts w:hint="eastAsia" w:ascii="仿宋_GB2312" w:hAnsi="仿宋_GB2312" w:eastAsia="仿宋_GB2312" w:cs="仿宋_GB2312"/>
          <w:color w:val="auto"/>
          <w:spacing w:val="0"/>
          <w:w w:val="100"/>
          <w:position w:val="0"/>
          <w:sz w:val="32"/>
          <w:szCs w:val="32"/>
        </w:rPr>
        <w:t>生态环境、</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自然资源、农业农村</w:t>
      </w:r>
      <w:r>
        <w:rPr>
          <w:rFonts w:hint="eastAsia" w:ascii="仿宋_GB2312" w:hAnsi="仿宋_GB2312" w:eastAsia="仿宋_GB2312" w:cs="仿宋_GB2312"/>
          <w:color w:val="auto"/>
          <w:spacing w:val="0"/>
          <w:w w:val="100"/>
          <w:position w:val="0"/>
          <w:sz w:val="32"/>
          <w:szCs w:val="32"/>
          <w:lang w:val="en-US" w:eastAsia="zh-CN"/>
        </w:rPr>
        <w:t>水利</w:t>
      </w:r>
      <w:r>
        <w:rPr>
          <w:rFonts w:hint="eastAsia" w:ascii="仿宋_GB2312" w:hAnsi="仿宋_GB2312" w:eastAsia="仿宋_GB2312" w:cs="仿宋_GB2312"/>
          <w:color w:val="auto"/>
          <w:spacing w:val="0"/>
          <w:w w:val="100"/>
          <w:position w:val="0"/>
          <w:sz w:val="32"/>
          <w:szCs w:val="32"/>
        </w:rPr>
        <w:t>、住建、城管</w:t>
      </w:r>
      <w:r>
        <w:rPr>
          <w:rFonts w:hint="eastAsia" w:ascii="仿宋_GB2312" w:hAnsi="仿宋_GB2312" w:eastAsia="仿宋_GB2312" w:cs="仿宋_GB2312"/>
          <w:color w:val="auto"/>
          <w:spacing w:val="0"/>
          <w:w w:val="100"/>
          <w:position w:val="0"/>
          <w:sz w:val="32"/>
          <w:szCs w:val="32"/>
          <w:lang w:val="en-US" w:eastAsia="zh-CN"/>
        </w:rPr>
        <w:t>执法</w:t>
      </w:r>
      <w:r>
        <w:rPr>
          <w:rFonts w:hint="eastAsia" w:ascii="仿宋_GB2312" w:hAnsi="仿宋_GB2312" w:eastAsia="仿宋_GB2312" w:cs="仿宋_GB2312"/>
          <w:color w:val="auto"/>
          <w:spacing w:val="0"/>
          <w:w w:val="100"/>
          <w:position w:val="0"/>
          <w:sz w:val="32"/>
          <w:szCs w:val="32"/>
        </w:rPr>
        <w:t>等部门根据职责负责指导、落实本系统涉及的生态环境损害赔偿制度改革工作。</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检察院负责有关生态环境损害赔偿的检察工作。</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司法局负责有关生态环境损害司法鉴定管理工作。</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财政局负责</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级生态环境损害赔偿资金管理工作。</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税务局负责有关生态环境损害赔偿金的征收工作。</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卫健局、生态环境局分局负责环境健康问题调查，加强环境与健康综合监测与风险评估。</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发改、审计等部门按各自职责做好生态环境损害赔偿等相关工作。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rPr>
        <w:t>（三）加强考核监督，强化激励约束。</w:t>
      </w:r>
      <w:r>
        <w:rPr>
          <w:rFonts w:hint="eastAsia" w:ascii="仿宋_GB2312" w:hAnsi="仿宋_GB2312" w:eastAsia="仿宋_GB2312" w:cs="仿宋_GB2312"/>
          <w:color w:val="auto"/>
          <w:spacing w:val="0"/>
          <w:w w:val="100"/>
          <w:position w:val="0"/>
          <w:sz w:val="32"/>
          <w:szCs w:val="32"/>
        </w:rPr>
        <w:t>将生态环境损害赔偿案例推进情况纳入污染防治攻坚战考核内容，形成严考核、硬约束的工作机制。</w:t>
      </w:r>
      <w:r>
        <w:rPr>
          <w:rFonts w:hint="eastAsia" w:ascii="仿宋_GB2312" w:hAnsi="仿宋_GB2312" w:eastAsia="仿宋_GB2312" w:cs="仿宋_GB2312"/>
          <w:color w:val="auto"/>
          <w:spacing w:val="0"/>
          <w:w w:val="100"/>
          <w:position w:val="0"/>
          <w:sz w:val="32"/>
          <w:szCs w:val="32"/>
          <w:lang w:eastAsia="zh-CN"/>
        </w:rPr>
        <w:t>区</w:t>
      </w:r>
      <w:r>
        <w:rPr>
          <w:rFonts w:hint="eastAsia" w:ascii="仿宋_GB2312" w:hAnsi="仿宋_GB2312" w:eastAsia="仿宋_GB2312" w:cs="仿宋_GB2312"/>
          <w:color w:val="auto"/>
          <w:spacing w:val="0"/>
          <w:w w:val="100"/>
          <w:position w:val="0"/>
          <w:sz w:val="32"/>
          <w:szCs w:val="32"/>
        </w:rPr>
        <w:t>人民政府将按照“年度计划、季度督查、半年小结、全年考评</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要求，细化、分解目标任务，务实推进生态环境损害赔偿工作。对积极组织推进、案例实践多、成效显著的相关部门，通过适当方式激励表彰，对未按照规定开展推进工作造成重大影响或者后果的，按照相关规定严肃问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right="0" w:rightChars="0" w:firstLine="643"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eastAsia="zh-CN"/>
        </w:rPr>
        <w:t>（四）</w:t>
      </w:r>
      <w:r>
        <w:rPr>
          <w:rFonts w:hint="eastAsia" w:ascii="楷体" w:hAnsi="楷体" w:eastAsia="楷体" w:cs="楷体"/>
          <w:b/>
          <w:bCs/>
          <w:color w:val="auto"/>
          <w:spacing w:val="0"/>
          <w:w w:val="100"/>
          <w:position w:val="0"/>
          <w:sz w:val="32"/>
          <w:szCs w:val="32"/>
        </w:rPr>
        <w:t>加强宣传引导，鼓励公众参与。</w:t>
      </w:r>
      <w:r>
        <w:rPr>
          <w:rFonts w:hint="eastAsia" w:ascii="仿宋_GB2312" w:hAnsi="仿宋_GB2312" w:eastAsia="仿宋_GB2312" w:cs="仿宋_GB2312"/>
          <w:color w:val="auto"/>
          <w:spacing w:val="0"/>
          <w:w w:val="100"/>
          <w:position w:val="0"/>
          <w:sz w:val="32"/>
          <w:szCs w:val="32"/>
        </w:rPr>
        <w:t>各部门要充分利用电视、报纸和新媒体等载体，加大生态环境损害赔偿有关法规政策的宣传力度。不断创新公众参与方式，邀请专家和利益相关的公民、法人、其他组织参加生态环境损害修复或赔偿磋商工作。依法公开生态环境损害调查、鉴定评估、赔偿、诉讼裁判文书、生态环境修复效果报告等信息，保障公众知情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Chars="200" w:right="0" w:rightChars="0"/>
        <w:jc w:val="both"/>
        <w:textAlignment w:val="auto"/>
        <w:rPr>
          <w:rFonts w:hint="eastAsia" w:ascii="仿宋_GB2312" w:hAnsi="仿宋_GB2312" w:eastAsia="仿宋_GB2312" w:cs="仿宋_GB2312"/>
          <w:color w:val="auto"/>
          <w:spacing w:val="0"/>
          <w:w w:val="100"/>
          <w:position w:val="0"/>
          <w:sz w:val="32"/>
          <w:szCs w:val="32"/>
        </w:rPr>
      </w:pPr>
    </w:p>
    <w:p>
      <w:pPr>
        <w:keepNext w:val="0"/>
        <w:keepLines w:val="0"/>
        <w:pageBreakBefore w:val="0"/>
        <w:widowControl w:val="0"/>
        <w:kinsoku/>
        <w:wordWrap/>
        <w:overflowPunct/>
        <w:topLinePunct w:val="0"/>
        <w:autoSpaceDE w:val="0"/>
        <w:autoSpaceDN w:val="0"/>
        <w:bidi w:val="0"/>
        <w:adjustRightInd/>
        <w:snapToGrid/>
        <w:spacing w:before="0" w:line="580" w:lineRule="exact"/>
        <w:ind w:left="1918" w:leftChars="290" w:right="0" w:hanging="1280" w:hangingChars="4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附件：1.</w:t>
      </w:r>
      <w:r>
        <w:rPr>
          <w:rFonts w:hint="eastAsia" w:ascii="仿宋_GB2312" w:hAnsi="仿宋_GB2312" w:eastAsia="仿宋_GB2312" w:cs="仿宋_GB2312"/>
          <w:color w:val="auto"/>
          <w:spacing w:val="0"/>
          <w:w w:val="100"/>
          <w:position w:val="0"/>
          <w:sz w:val="32"/>
          <w:szCs w:val="32"/>
          <w:lang w:eastAsia="zh-CN"/>
        </w:rPr>
        <w:t>北塔区</w:t>
      </w:r>
      <w:r>
        <w:rPr>
          <w:rFonts w:hint="eastAsia" w:ascii="仿宋_GB2312" w:hAnsi="仿宋_GB2312" w:eastAsia="仿宋_GB2312" w:cs="仿宋_GB2312"/>
          <w:color w:val="auto"/>
          <w:spacing w:val="0"/>
          <w:w w:val="100"/>
          <w:position w:val="0"/>
          <w:sz w:val="32"/>
          <w:szCs w:val="32"/>
        </w:rPr>
        <w:t>生态环境损害赔偿制度改革工作领导小组成员名单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1600" w:firstLineChars="500"/>
        <w:jc w:val="both"/>
        <w:textAlignment w:val="auto"/>
        <w:rPr>
          <w:rFonts w:hint="eastAsia" w:ascii="仿宋_GB2312" w:hAnsi="仿宋_GB2312" w:eastAsia="仿宋_GB2312" w:cs="仿宋_GB2312"/>
          <w:color w:val="auto"/>
          <w:spacing w:val="0"/>
          <w:w w:val="100"/>
          <w:position w:val="0"/>
        </w:rPr>
        <w:sectPr>
          <w:footerReference r:id="rId5" w:type="default"/>
          <w:footerReference r:id="rId6" w:type="even"/>
          <w:pgSz w:w="11900" w:h="16838"/>
          <w:pgMar w:top="1984" w:right="1701" w:bottom="1701" w:left="1701" w:header="0" w:footer="975" w:gutter="0"/>
          <w:cols w:space="0" w:num="1"/>
          <w:rtlGutter w:val="0"/>
          <w:docGrid w:linePitch="0" w:charSpace="0"/>
        </w:sectPr>
      </w:pPr>
      <w:r>
        <w:rPr>
          <w:rFonts w:hint="eastAsia" w:ascii="仿宋_GB2312" w:hAnsi="仿宋_GB2312" w:eastAsia="仿宋_GB2312" w:cs="仿宋_GB2312"/>
          <w:color w:val="auto"/>
          <w:spacing w:val="0"/>
          <w:w w:val="100"/>
          <w:position w:val="0"/>
          <w:sz w:val="32"/>
          <w:szCs w:val="32"/>
        </w:rPr>
        <w:t>2.</w:t>
      </w:r>
      <w:r>
        <w:rPr>
          <w:rFonts w:hint="eastAsia" w:ascii="仿宋_GB2312" w:hAnsi="仿宋_GB2312" w:eastAsia="仿宋_GB2312" w:cs="仿宋_GB2312"/>
          <w:color w:val="auto"/>
          <w:spacing w:val="0"/>
          <w:w w:val="100"/>
          <w:position w:val="0"/>
          <w:sz w:val="32"/>
          <w:szCs w:val="32"/>
          <w:lang w:eastAsia="zh-CN"/>
        </w:rPr>
        <w:t>北塔区</w:t>
      </w:r>
      <w:r>
        <w:rPr>
          <w:rFonts w:hint="eastAsia" w:ascii="仿宋_GB2312" w:hAnsi="仿宋_GB2312" w:eastAsia="仿宋_GB2312" w:cs="仿宋_GB2312"/>
          <w:color w:val="auto"/>
          <w:spacing w:val="0"/>
          <w:w w:val="100"/>
          <w:position w:val="0"/>
          <w:sz w:val="32"/>
          <w:szCs w:val="32"/>
        </w:rPr>
        <w:t>生态环境损害赔偿职责分工表</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附件1</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jc w:val="both"/>
        <w:textAlignment w:val="auto"/>
        <w:rPr>
          <w:rFonts w:hint="eastAsia" w:ascii="方正小标宋_GBK" w:hAnsi="方正小标宋_GBK" w:eastAsia="方正小标宋_GBK" w:cs="方正小标宋_GBK"/>
          <w:color w:val="auto"/>
          <w:spacing w:val="0"/>
          <w:w w:val="100"/>
          <w:position w:val="0"/>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w w:val="100"/>
          <w:position w:val="0"/>
        </w:rPr>
      </w:pPr>
      <w:r>
        <w:rPr>
          <w:rFonts w:hint="eastAsia" w:ascii="方正小标宋_GBK" w:hAnsi="方正小标宋_GBK" w:eastAsia="方正小标宋_GBK" w:cs="方正小标宋_GBK"/>
          <w:color w:val="auto"/>
          <w:spacing w:val="0"/>
          <w:w w:val="100"/>
          <w:position w:val="0"/>
          <w:lang w:eastAsia="zh-CN"/>
        </w:rPr>
        <w:t>北塔区</w:t>
      </w:r>
      <w:r>
        <w:rPr>
          <w:rFonts w:hint="eastAsia" w:ascii="方正小标宋_GBK" w:hAnsi="方正小标宋_GBK" w:eastAsia="方正小标宋_GBK" w:cs="方正小标宋_GBK"/>
          <w:color w:val="auto"/>
          <w:spacing w:val="0"/>
          <w:w w:val="100"/>
          <w:position w:val="0"/>
        </w:rPr>
        <w:t>生态环境损害赔偿制度改革工作</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w w:val="100"/>
          <w:position w:val="0"/>
        </w:rPr>
      </w:pPr>
      <w:r>
        <w:rPr>
          <w:rFonts w:hint="eastAsia" w:ascii="方正小标宋_GBK" w:hAnsi="方正小标宋_GBK" w:eastAsia="方正小标宋_GBK" w:cs="方正小标宋_GBK"/>
          <w:color w:val="auto"/>
          <w:spacing w:val="0"/>
          <w:w w:val="100"/>
          <w:position w:val="0"/>
        </w:rPr>
        <w:t>领导小组成员名单</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0" w:firstLineChars="200"/>
        <w:jc w:val="both"/>
        <w:textAlignment w:val="auto"/>
        <w:rPr>
          <w:rFonts w:hint="eastAsia" w:ascii="仿宋_GB2312" w:hAnsi="仿宋_GB2312" w:eastAsia="仿宋_GB2312" w:cs="仿宋_GB2312"/>
          <w:color w:val="auto"/>
          <w:spacing w:val="0"/>
          <w:w w:val="100"/>
          <w:position w:val="0"/>
          <w:sz w:val="31"/>
        </w:rPr>
      </w:pPr>
    </w:p>
    <w:p>
      <w:pPr>
        <w:keepNext w:val="0"/>
        <w:keepLines w:val="0"/>
        <w:pageBreakBefore w:val="0"/>
        <w:widowControl w:val="0"/>
        <w:kinsoku/>
        <w:wordWrap/>
        <w:overflowPunct/>
        <w:topLinePunct w:val="0"/>
        <w:autoSpaceDE w:val="0"/>
        <w:autoSpaceDN w:val="0"/>
        <w:bidi w:val="0"/>
        <w:adjustRightInd/>
        <w:snapToGrid/>
        <w:spacing w:before="0" w:line="580" w:lineRule="exact"/>
        <w:ind w:left="3322" w:leftChars="290" w:right="0" w:hanging="2684" w:hangingChars="839"/>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rPr>
        <w:t>组</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长：</w:t>
      </w:r>
      <w:r>
        <w:rPr>
          <w:rFonts w:hint="eastAsia" w:ascii="仿宋_GB2312" w:hAnsi="仿宋_GB2312" w:eastAsia="仿宋_GB2312" w:cs="仿宋_GB2312"/>
          <w:color w:val="auto"/>
          <w:spacing w:val="0"/>
          <w:w w:val="100"/>
          <w:position w:val="0"/>
          <w:sz w:val="32"/>
          <w:szCs w:val="32"/>
          <w:lang w:eastAsia="zh-CN"/>
        </w:rPr>
        <w:t>杨旭东</w:t>
      </w:r>
      <w:r>
        <w:rPr>
          <w:rFonts w:hint="eastAsia" w:ascii="仿宋_GB2312" w:hAnsi="仿宋_GB2312" w:eastAsia="仿宋_GB2312" w:cs="仿宋_GB2312"/>
          <w:color w:val="auto"/>
          <w:spacing w:val="0"/>
          <w:w w:val="100"/>
          <w:position w:val="0"/>
          <w:sz w:val="32"/>
          <w:szCs w:val="32"/>
          <w:lang w:val="en-US" w:eastAsia="zh-CN"/>
        </w:rPr>
        <w:t xml:space="preserve">  区人民政府副区长、区人社局、区委组织部副部长（兼）</w:t>
      </w:r>
    </w:p>
    <w:p>
      <w:pPr>
        <w:keepNext w:val="0"/>
        <w:keepLines w:val="0"/>
        <w:pageBreakBefore w:val="0"/>
        <w:widowControl w:val="0"/>
        <w:kinsoku/>
        <w:wordWrap/>
        <w:overflowPunct/>
        <w:topLinePunct w:val="0"/>
        <w:autoSpaceDE w:val="0"/>
        <w:autoSpaceDN w:val="0"/>
        <w:bidi w:val="0"/>
        <w:adjustRightInd/>
        <w:snapToGrid/>
        <w:spacing w:before="0" w:line="580" w:lineRule="exact"/>
        <w:ind w:right="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rPr>
        <w:t>副组长：</w:t>
      </w:r>
      <w:r>
        <w:rPr>
          <w:rFonts w:hint="eastAsia" w:ascii="仿宋_GB2312" w:hAnsi="仿宋_GB2312" w:eastAsia="仿宋_GB2312" w:cs="仿宋_GB2312"/>
          <w:color w:val="auto"/>
          <w:spacing w:val="0"/>
          <w:w w:val="100"/>
          <w:position w:val="0"/>
          <w:sz w:val="32"/>
          <w:szCs w:val="32"/>
          <w:lang w:eastAsia="zh-CN"/>
        </w:rPr>
        <w:t>姚新建</w:t>
      </w:r>
      <w:r>
        <w:rPr>
          <w:rFonts w:hint="eastAsia" w:ascii="仿宋_GB2312" w:hAnsi="仿宋_GB2312" w:eastAsia="仿宋_GB2312" w:cs="仿宋_GB2312"/>
          <w:color w:val="auto"/>
          <w:spacing w:val="0"/>
          <w:w w:val="100"/>
          <w:position w:val="0"/>
          <w:sz w:val="32"/>
          <w:szCs w:val="32"/>
          <w:lang w:val="en-US" w:eastAsia="zh-CN"/>
        </w:rPr>
        <w:t xml:space="preserve">  区生态环境分局局长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rPr>
        <w:t>成</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员：</w:t>
      </w:r>
      <w:r>
        <w:rPr>
          <w:rFonts w:hint="eastAsia" w:ascii="仿宋_GB2312" w:hAnsi="仿宋_GB2312" w:eastAsia="仿宋_GB2312" w:cs="仿宋_GB2312"/>
          <w:color w:val="auto"/>
          <w:spacing w:val="0"/>
          <w:w w:val="100"/>
          <w:position w:val="0"/>
          <w:sz w:val="32"/>
          <w:szCs w:val="32"/>
          <w:lang w:val="en-US" w:eastAsia="zh-CN" w:bidi="ar-SA"/>
        </w:rPr>
        <w:t>曹  娜  区发改局副局长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1920" w:firstLineChars="6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罗  凡  区财政局副局长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11"/>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lang w:val="en-US" w:eastAsia="zh-CN"/>
        </w:rPr>
        <w:t xml:space="preserve">        黄治国</w:t>
      </w:r>
      <w:r>
        <w:rPr>
          <w:rFonts w:hint="eastAsia" w:ascii="仿宋_GB2312" w:hAnsi="仿宋_GB2312" w:eastAsia="仿宋_GB2312" w:cs="仿宋_GB2312"/>
          <w:color w:val="auto"/>
          <w:spacing w:val="0"/>
          <w:w w:val="100"/>
          <w:position w:val="0"/>
          <w:sz w:val="32"/>
          <w:szCs w:val="32"/>
          <w:lang w:val="en-US" w:eastAsia="zh-CN" w:bidi="ar-SA"/>
        </w:rPr>
        <w:t xml:space="preserve">  </w:t>
      </w:r>
      <w:r>
        <w:rPr>
          <w:rFonts w:hint="eastAsia" w:ascii="仿宋_GB2312" w:hAnsi="仿宋_GB2312" w:eastAsia="仿宋_GB2312" w:cs="仿宋_GB2312"/>
          <w:color w:val="auto"/>
          <w:spacing w:val="-11"/>
          <w:w w:val="100"/>
          <w:position w:val="0"/>
          <w:sz w:val="32"/>
          <w:szCs w:val="32"/>
          <w:lang w:val="en-US" w:eastAsia="zh-CN" w:bidi="ar-SA"/>
        </w:rPr>
        <w:t>区城管执法局副局长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1920" w:firstLineChars="600"/>
        <w:jc w:val="both"/>
        <w:textAlignment w:val="auto"/>
        <w:rPr>
          <w:rFonts w:hint="eastAsia" w:ascii="仿宋_GB2312" w:hAnsi="仿宋_GB2312" w:eastAsia="仿宋_GB2312" w:cs="仿宋_GB2312"/>
          <w:color w:val="auto"/>
          <w:spacing w:val="0"/>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lang w:val="en-US" w:eastAsia="zh-CN"/>
        </w:rPr>
        <w:t xml:space="preserve">谢建新  </w:t>
      </w:r>
      <w:r>
        <w:rPr>
          <w:rFonts w:hint="eastAsia" w:ascii="仿宋_GB2312" w:hAnsi="仿宋_GB2312" w:eastAsia="仿宋_GB2312" w:cs="仿宋_GB2312"/>
          <w:color w:val="auto"/>
          <w:spacing w:val="0"/>
          <w:w w:val="100"/>
          <w:position w:val="0"/>
          <w:sz w:val="32"/>
          <w:szCs w:val="32"/>
          <w:lang w:val="en-US" w:eastAsia="zh-CN" w:bidi="ar-SA"/>
        </w:rPr>
        <w:t>区农业农村水利局副局长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lang w:val="en-US" w:eastAsia="zh-CN" w:bidi="ar-SA"/>
        </w:rPr>
        <w:t xml:space="preserve">        谢富国  区住建局副局长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lang w:val="en-US" w:eastAsia="zh-CN" w:bidi="ar-SA"/>
        </w:rPr>
        <w:t xml:space="preserve">        何险峰  区税务局副局长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lang w:val="en-US" w:eastAsia="zh-CN" w:bidi="ar-SA"/>
        </w:rPr>
        <w:t xml:space="preserve">        张忠祥  区司法局副局长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lang w:val="en-US" w:eastAsia="zh-CN" w:bidi="ar-SA"/>
        </w:rPr>
        <w:t xml:space="preserve">        羊建章  区检察院副院长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lang w:val="en-US" w:eastAsia="zh-CN" w:bidi="ar-SA"/>
        </w:rPr>
        <w:t xml:space="preserve">        李进良  区卫健局副局长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bidi="ar-SA"/>
        </w:rPr>
      </w:pPr>
      <w:r>
        <w:rPr>
          <w:rFonts w:hint="eastAsia" w:ascii="仿宋_GB2312" w:hAnsi="仿宋_GB2312" w:eastAsia="仿宋_GB2312" w:cs="仿宋_GB2312"/>
          <w:color w:val="auto"/>
          <w:spacing w:val="0"/>
          <w:w w:val="100"/>
          <w:position w:val="0"/>
          <w:sz w:val="32"/>
          <w:szCs w:val="32"/>
          <w:lang w:val="en-US" w:eastAsia="zh-CN" w:bidi="ar-SA"/>
        </w:rPr>
        <w:t xml:space="preserve">        谢雪艳  区审计局副局长</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sectPr>
          <w:footerReference r:id="rId7" w:type="default"/>
          <w:footerReference r:id="rId8" w:type="even"/>
          <w:pgSz w:w="11900" w:h="16838"/>
          <w:pgMar w:top="1984" w:right="1701" w:bottom="1701" w:left="1701" w:header="0" w:footer="975" w:gutter="0"/>
          <w:cols w:space="0" w:num="1"/>
          <w:rtlGutter w:val="0"/>
          <w:docGrid w:linePitch="0" w:charSpace="0"/>
        </w:sectPr>
      </w:pPr>
      <w:r>
        <w:rPr>
          <w:rFonts w:hint="eastAsia" w:ascii="仿宋_GB2312" w:hAnsi="仿宋_GB2312" w:eastAsia="仿宋_GB2312" w:cs="仿宋_GB2312"/>
          <w:color w:val="auto"/>
          <w:spacing w:val="0"/>
          <w:w w:val="100"/>
          <w:position w:val="0"/>
          <w:sz w:val="32"/>
          <w:szCs w:val="32"/>
        </w:rPr>
        <w:t>领导小组办公室设在</w:t>
      </w:r>
      <w:r>
        <w:rPr>
          <w:rFonts w:hint="eastAsia" w:ascii="仿宋_GB2312" w:hAnsi="仿宋_GB2312" w:eastAsia="仿宋_GB2312" w:cs="仿宋_GB2312"/>
          <w:color w:val="auto"/>
          <w:spacing w:val="0"/>
          <w:w w:val="100"/>
          <w:position w:val="0"/>
          <w:sz w:val="32"/>
          <w:szCs w:val="32"/>
          <w:lang w:val="en-US" w:eastAsia="zh-CN"/>
        </w:rPr>
        <w:t>区</w:t>
      </w:r>
      <w:r>
        <w:rPr>
          <w:rFonts w:hint="eastAsia" w:ascii="仿宋_GB2312" w:hAnsi="仿宋_GB2312" w:eastAsia="仿宋_GB2312" w:cs="仿宋_GB2312"/>
          <w:color w:val="auto"/>
          <w:spacing w:val="0"/>
          <w:w w:val="100"/>
          <w:position w:val="0"/>
          <w:sz w:val="32"/>
          <w:szCs w:val="32"/>
        </w:rPr>
        <w:t>生态环境分局，</w:t>
      </w:r>
      <w:r>
        <w:rPr>
          <w:rFonts w:hint="eastAsia" w:ascii="仿宋_GB2312" w:hAnsi="仿宋_GB2312" w:eastAsia="仿宋_GB2312" w:cs="仿宋_GB2312"/>
          <w:color w:val="auto"/>
          <w:spacing w:val="0"/>
          <w:w w:val="100"/>
          <w:position w:val="0"/>
          <w:sz w:val="32"/>
          <w:szCs w:val="32"/>
          <w:lang w:eastAsia="zh-CN"/>
        </w:rPr>
        <w:t>姚新建</w:t>
      </w:r>
      <w:r>
        <w:rPr>
          <w:rFonts w:hint="eastAsia" w:ascii="仿宋_GB2312" w:hAnsi="仿宋_GB2312" w:eastAsia="仿宋_GB2312" w:cs="仿宋_GB2312"/>
          <w:color w:val="auto"/>
          <w:spacing w:val="0"/>
          <w:w w:val="100"/>
          <w:position w:val="0"/>
          <w:sz w:val="32"/>
          <w:szCs w:val="32"/>
        </w:rPr>
        <w:t>同志兼任办公室主任。今后，领导小组成员因工作变动需要调整的，由所在单位提出意见，经领导小组办公室审核，由领导小组组长批准后行文，报</w:t>
      </w:r>
      <w:r>
        <w:rPr>
          <w:rFonts w:hint="eastAsia" w:ascii="仿宋_GB2312" w:hAnsi="仿宋_GB2312" w:eastAsia="仿宋_GB2312" w:cs="仿宋_GB2312"/>
          <w:color w:val="auto"/>
          <w:spacing w:val="0"/>
          <w:w w:val="100"/>
          <w:position w:val="0"/>
          <w:sz w:val="32"/>
          <w:szCs w:val="32"/>
          <w:lang w:eastAsia="zh-CN"/>
        </w:rPr>
        <w:t>区人民政府</w:t>
      </w:r>
      <w:r>
        <w:rPr>
          <w:rFonts w:hint="eastAsia" w:ascii="仿宋_GB2312" w:hAnsi="仿宋_GB2312" w:eastAsia="仿宋_GB2312" w:cs="仿宋_GB2312"/>
          <w:color w:val="auto"/>
          <w:spacing w:val="0"/>
          <w:w w:val="100"/>
          <w:position w:val="0"/>
          <w:sz w:val="32"/>
          <w:szCs w:val="32"/>
        </w:rPr>
        <w:t>办公室备案。</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附件2</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jc w:val="center"/>
        <w:textAlignment w:val="auto"/>
        <w:rPr>
          <w:rFonts w:hint="eastAsia" w:ascii="方正小标宋_GBK" w:hAnsi="方正小标宋_GBK" w:eastAsia="方正小标宋_GBK" w:cs="方正小标宋_GBK"/>
          <w:color w:val="auto"/>
          <w:spacing w:val="0"/>
          <w:w w:val="100"/>
          <w:position w:val="0"/>
          <w:sz w:val="44"/>
          <w:szCs w:val="44"/>
        </w:rPr>
      </w:pPr>
      <w:r>
        <w:rPr>
          <w:rFonts w:hint="eastAsia" w:ascii="方正小标宋_GBK" w:hAnsi="方正小标宋_GBK" w:eastAsia="方正小标宋_GBK" w:cs="方正小标宋_GBK"/>
          <w:color w:val="auto"/>
          <w:spacing w:val="0"/>
          <w:w w:val="100"/>
          <w:position w:val="0"/>
          <w:sz w:val="44"/>
          <w:szCs w:val="44"/>
          <w:lang w:eastAsia="zh-CN"/>
        </w:rPr>
        <w:t>北塔区</w:t>
      </w:r>
      <w:r>
        <w:rPr>
          <w:rFonts w:hint="eastAsia" w:ascii="方正小标宋_GBK" w:hAnsi="方正小标宋_GBK" w:eastAsia="方正小标宋_GBK" w:cs="方正小标宋_GBK"/>
          <w:color w:val="auto"/>
          <w:spacing w:val="0"/>
          <w:w w:val="100"/>
          <w:position w:val="0"/>
          <w:sz w:val="44"/>
          <w:szCs w:val="44"/>
        </w:rPr>
        <w:t>生态环境损害赔偿职责分工表</w:t>
      </w:r>
    </w:p>
    <w:p>
      <w:pPr>
        <w:pStyle w:val="3"/>
        <w:jc w:val="both"/>
        <w:rPr>
          <w:rFonts w:hint="eastAsia" w:ascii="仿宋_GB2312" w:hAnsi="仿宋_GB2312" w:eastAsia="仿宋_GB2312" w:cs="仿宋_GB2312"/>
          <w:color w:val="auto"/>
          <w:spacing w:val="0"/>
          <w:w w:val="100"/>
          <w:position w:val="0"/>
          <w:sz w:val="20"/>
        </w:rPr>
      </w:pPr>
    </w:p>
    <w:tbl>
      <w:tblPr>
        <w:tblStyle w:val="6"/>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02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jc w:val="right"/>
              <w:textAlignment w:val="auto"/>
              <w:rPr>
                <w:rFonts w:hint="eastAsia" w:ascii="黑体" w:hAnsi="黑体" w:eastAsia="黑体" w:cs="黑体"/>
                <w:color w:val="auto"/>
                <w:spacing w:val="0"/>
                <w:w w:val="100"/>
                <w:position w:val="0"/>
                <w:sz w:val="22"/>
                <w:szCs w:val="40"/>
                <w:vertAlign w:val="baseline"/>
                <w:lang w:eastAsia="zh-CN"/>
              </w:rPr>
            </w:pPr>
            <w:r>
              <w:rPr>
                <w:rFonts w:hint="eastAsia" w:ascii="黑体" w:hAnsi="黑体" w:eastAsia="黑体" w:cs="黑体"/>
                <w:color w:val="auto"/>
                <w:spacing w:val="0"/>
                <w:w w:val="100"/>
                <w:position w:val="0"/>
                <w:sz w:val="22"/>
                <w:szCs w:val="40"/>
                <w:vertAlign w:val="baseline"/>
                <w:lang w:eastAsia="zh-CN"/>
              </w:rPr>
              <w:t>序号</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jc w:val="right"/>
              <w:textAlignment w:val="auto"/>
              <w:rPr>
                <w:rFonts w:hint="eastAsia" w:ascii="黑体" w:hAnsi="黑体" w:eastAsia="黑体" w:cs="黑体"/>
                <w:color w:val="auto"/>
                <w:spacing w:val="0"/>
                <w:w w:val="100"/>
                <w:position w:val="0"/>
                <w:sz w:val="22"/>
                <w:szCs w:val="40"/>
                <w:vertAlign w:val="baseline"/>
                <w:lang w:eastAsia="zh-CN"/>
              </w:rPr>
            </w:pPr>
            <w:r>
              <w:rPr>
                <w:rFonts w:hint="eastAsia" w:ascii="黑体" w:hAnsi="黑体" w:eastAsia="黑体" w:cs="黑体"/>
                <w:color w:val="auto"/>
                <w:spacing w:val="0"/>
                <w:w w:val="100"/>
                <w:position w:val="0"/>
                <w:sz w:val="22"/>
                <w:szCs w:val="40"/>
                <w:vertAlign w:val="baseline"/>
                <w:lang w:eastAsia="zh-CN"/>
              </w:rPr>
              <w:t>责任部门或机构</w:t>
            </w:r>
          </w:p>
        </w:tc>
        <w:tc>
          <w:tcPr>
            <w:tcW w:w="600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黑体" w:hAnsi="黑体" w:eastAsia="黑体" w:cs="黑体"/>
                <w:color w:val="auto"/>
                <w:spacing w:val="0"/>
                <w:w w:val="100"/>
                <w:position w:val="0"/>
                <w:sz w:val="22"/>
                <w:szCs w:val="40"/>
                <w:vertAlign w:val="baseline"/>
                <w:lang w:eastAsia="zh-CN"/>
              </w:rPr>
            </w:pPr>
            <w:r>
              <w:rPr>
                <w:rFonts w:hint="eastAsia" w:ascii="黑体" w:hAnsi="黑体" w:eastAsia="黑体" w:cs="黑体"/>
                <w:color w:val="auto"/>
                <w:spacing w:val="0"/>
                <w:w w:val="100"/>
                <w:position w:val="0"/>
                <w:sz w:val="22"/>
                <w:szCs w:val="40"/>
                <w:vertAlign w:val="baseline"/>
                <w:lang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一</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rPr>
            </w:pPr>
            <w:r>
              <w:rPr>
                <w:rFonts w:hint="eastAsia" w:ascii="仿宋_GB2312" w:hAnsi="仿宋_GB2312" w:eastAsia="仿宋_GB2312" w:cs="仿宋_GB2312"/>
                <w:color w:val="auto"/>
                <w:spacing w:val="0"/>
                <w:w w:val="100"/>
                <w:position w:val="0"/>
                <w:sz w:val="24"/>
                <w:lang w:eastAsia="zh-CN"/>
              </w:rPr>
              <w:t>区级</w:t>
            </w:r>
            <w:r>
              <w:rPr>
                <w:rFonts w:hint="eastAsia" w:ascii="仿宋_GB2312" w:hAnsi="仿宋_GB2312" w:eastAsia="仿宋_GB2312" w:cs="仿宋_GB2312"/>
                <w:color w:val="auto"/>
                <w:spacing w:val="0"/>
                <w:w w:val="100"/>
                <w:position w:val="0"/>
                <w:sz w:val="24"/>
              </w:rPr>
              <w:t>资源环境相关部门</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
              <w:jc w:val="both"/>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4"/>
              </w:rPr>
              <w:t>负责</w:t>
            </w:r>
            <w:r>
              <w:rPr>
                <w:rFonts w:hint="eastAsia" w:ascii="仿宋_GB2312" w:hAnsi="仿宋_GB2312" w:eastAsia="仿宋_GB2312" w:cs="仿宋_GB2312"/>
                <w:color w:val="auto"/>
                <w:spacing w:val="0"/>
                <w:w w:val="100"/>
                <w:position w:val="0"/>
                <w:sz w:val="24"/>
                <w:lang w:val="en-US" w:eastAsia="zh-CN"/>
              </w:rPr>
              <w:t>区</w:t>
            </w:r>
            <w:r>
              <w:rPr>
                <w:rFonts w:hint="eastAsia" w:ascii="仿宋_GB2312" w:hAnsi="仿宋_GB2312" w:eastAsia="仿宋_GB2312" w:cs="仿宋_GB2312"/>
                <w:color w:val="auto"/>
                <w:spacing w:val="0"/>
                <w:w w:val="100"/>
                <w:position w:val="0"/>
                <w:sz w:val="24"/>
              </w:rPr>
              <w:t>级受理的生态环境损害事件调查评估、赔偿磋商、提起诉讼、修复监督等工作，指导</w:t>
            </w:r>
            <w:r>
              <w:rPr>
                <w:rFonts w:hint="eastAsia" w:ascii="仿宋_GB2312" w:hAnsi="仿宋_GB2312" w:eastAsia="仿宋_GB2312" w:cs="仿宋_GB2312"/>
                <w:color w:val="auto"/>
                <w:spacing w:val="0"/>
                <w:w w:val="100"/>
                <w:position w:val="0"/>
                <w:sz w:val="24"/>
                <w:lang w:val="en-US" w:eastAsia="zh-CN"/>
              </w:rPr>
              <w:t>各镇（街道）</w:t>
            </w:r>
            <w:r>
              <w:rPr>
                <w:rFonts w:hint="eastAsia" w:ascii="仿宋_GB2312" w:hAnsi="仿宋_GB2312" w:eastAsia="仿宋_GB2312" w:cs="仿宋_GB2312"/>
                <w:color w:val="auto"/>
                <w:spacing w:val="0"/>
                <w:w w:val="100"/>
                <w:position w:val="0"/>
                <w:sz w:val="24"/>
              </w:rPr>
              <w:t>开展所列生态环境损害类型案件的调查评估、赔偿磋商、提起诉讼、修复监督等工作</w:t>
            </w:r>
            <w:r>
              <w:rPr>
                <w:rFonts w:hint="eastAsia" w:ascii="仿宋_GB2312" w:hAnsi="仿宋_GB2312" w:eastAsia="仿宋_GB2312" w:cs="仿宋_GB2312"/>
                <w:color w:val="auto"/>
                <w:spacing w:val="0"/>
                <w:w w:val="100"/>
                <w:positio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1</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区自然资源局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8" w:firstLineChars="0"/>
              <w:jc w:val="both"/>
              <w:textAlignment w:val="auto"/>
              <w:rPr>
                <w:rFonts w:hint="eastAsia" w:ascii="仿宋_GB2312" w:hAnsi="仿宋_GB2312" w:eastAsia="仿宋_GB2312" w:cs="仿宋_GB2312"/>
                <w:color w:val="auto"/>
                <w:spacing w:val="0"/>
                <w:w w:val="100"/>
                <w:position w:val="0"/>
                <w:sz w:val="24"/>
                <w:szCs w:val="22"/>
                <w:lang w:val="en-US" w:eastAsia="en-US" w:bidi="ar-SA"/>
              </w:rPr>
            </w:pPr>
            <w:r>
              <w:rPr>
                <w:rFonts w:hint="eastAsia" w:ascii="仿宋_GB2312" w:hAnsi="仿宋_GB2312" w:eastAsia="仿宋_GB2312" w:cs="仿宋_GB2312"/>
                <w:color w:val="auto"/>
                <w:spacing w:val="0"/>
                <w:w w:val="100"/>
                <w:position w:val="0"/>
                <w:sz w:val="24"/>
              </w:rPr>
              <w:t>造成土地资源、矿产资源、古生物化石、矿山地质环境破坏等生态环境损害的。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2</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区生态环境分局</w:t>
            </w:r>
          </w:p>
        </w:tc>
        <w:tc>
          <w:tcPr>
            <w:tcW w:w="6000" w:type="dxa"/>
            <w:vAlign w:val="center"/>
          </w:tcPr>
          <w:p>
            <w:pPr>
              <w:pStyle w:val="10"/>
              <w:keepNext w:val="0"/>
              <w:keepLines w:val="0"/>
              <w:pageBreakBefore w:val="0"/>
              <w:widowControl w:val="0"/>
              <w:tabs>
                <w:tab w:val="left" w:pos="2659"/>
              </w:tabs>
              <w:kinsoku/>
              <w:wordWrap/>
              <w:overflowPunct/>
              <w:topLinePunct w:val="0"/>
              <w:autoSpaceDE w:val="0"/>
              <w:autoSpaceDN w:val="0"/>
              <w:bidi w:val="0"/>
              <w:adjustRightInd/>
              <w:snapToGrid/>
              <w:spacing w:before="0" w:line="300" w:lineRule="exact"/>
              <w:ind w:left="0" w:right="0" w:firstLine="29"/>
              <w:jc w:val="both"/>
              <w:textAlignment w:val="auto"/>
              <w:rPr>
                <w:rFonts w:hint="eastAsia" w:ascii="仿宋_GB2312" w:hAnsi="仿宋_GB2312" w:eastAsia="仿宋_GB2312" w:cs="仿宋_GB2312"/>
                <w:color w:val="auto"/>
                <w:spacing w:val="0"/>
                <w:w w:val="100"/>
                <w:position w:val="0"/>
                <w:sz w:val="24"/>
              </w:rPr>
            </w:pPr>
            <w:r>
              <w:rPr>
                <w:rFonts w:hint="eastAsia" w:ascii="仿宋_GB2312" w:hAnsi="仿宋_GB2312" w:eastAsia="仿宋_GB2312" w:cs="仿宋_GB2312"/>
                <w:color w:val="auto"/>
                <w:spacing w:val="0"/>
                <w:w w:val="100"/>
                <w:position w:val="0"/>
                <w:sz w:val="24"/>
              </w:rPr>
              <w:t>发生国务院相关文件规定的突发生态环境事件的；</w:t>
            </w:r>
          </w:p>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right="0"/>
              <w:jc w:val="both"/>
              <w:textAlignment w:val="auto"/>
              <w:rPr>
                <w:rFonts w:hint="eastAsia" w:ascii="仿宋_GB2312" w:hAnsi="仿宋_GB2312" w:eastAsia="仿宋_GB2312" w:cs="仿宋_GB2312"/>
                <w:color w:val="auto"/>
                <w:spacing w:val="0"/>
                <w:w w:val="100"/>
                <w:position w:val="0"/>
                <w:sz w:val="24"/>
                <w:szCs w:val="22"/>
                <w:lang w:val="en-US" w:eastAsia="zh-CN" w:bidi="ar-SA"/>
              </w:rPr>
            </w:pPr>
            <w:r>
              <w:rPr>
                <w:rFonts w:hint="eastAsia" w:ascii="仿宋_GB2312" w:hAnsi="仿宋_GB2312" w:eastAsia="仿宋_GB2312" w:cs="仿宋_GB2312"/>
                <w:color w:val="auto"/>
                <w:spacing w:val="0"/>
                <w:w w:val="100"/>
                <w:position w:val="0"/>
                <w:sz w:val="24"/>
              </w:rPr>
              <w:t>发生生态环境损害事件导致区域大气、水等环境质量等级下降，土壤环境风险等级上升的</w:t>
            </w:r>
            <w:r>
              <w:rPr>
                <w:rFonts w:hint="eastAsia" w:ascii="仿宋_GB2312" w:hAnsi="仿宋_GB2312" w:eastAsia="仿宋_GB2312" w:cs="仿宋_GB2312"/>
                <w:color w:val="auto"/>
                <w:spacing w:val="0"/>
                <w:w w:val="100"/>
                <w:positio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7" w:type="dxa"/>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3</w:t>
            </w:r>
          </w:p>
        </w:tc>
        <w:tc>
          <w:tcPr>
            <w:tcW w:w="2025" w:type="dxa"/>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区农业农村水利局</w:t>
            </w:r>
          </w:p>
        </w:tc>
        <w:tc>
          <w:tcPr>
            <w:tcW w:w="6000" w:type="dxa"/>
            <w:vAlign w:val="center"/>
          </w:tcPr>
          <w:p>
            <w:pPr>
              <w:pStyle w:val="10"/>
              <w:keepNext w:val="0"/>
              <w:keepLines w:val="0"/>
              <w:pageBreakBefore w:val="0"/>
              <w:widowControl w:val="0"/>
              <w:tabs>
                <w:tab w:val="left" w:pos="5178"/>
              </w:tabs>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仿宋_GB2312" w:hAnsi="仿宋_GB2312" w:eastAsia="仿宋_GB2312" w:cs="仿宋_GB2312"/>
                <w:color w:val="auto"/>
                <w:spacing w:val="0"/>
                <w:w w:val="100"/>
                <w:position w:val="0"/>
                <w:sz w:val="24"/>
                <w:szCs w:val="22"/>
                <w:lang w:val="en-US" w:eastAsia="en-US" w:bidi="ar-SA"/>
              </w:rPr>
            </w:pPr>
            <w:r>
              <w:rPr>
                <w:rFonts w:hint="eastAsia" w:ascii="仿宋_GB2312" w:hAnsi="仿宋_GB2312" w:eastAsia="仿宋_GB2312" w:cs="仿宋_GB2312"/>
                <w:color w:val="auto"/>
                <w:spacing w:val="0"/>
                <w:w w:val="100"/>
                <w:position w:val="0"/>
                <w:sz w:val="24"/>
              </w:rPr>
              <w:t>涉及造成其管理的河流、湖库等生态环境损害的</w:t>
            </w:r>
            <w:r>
              <w:rPr>
                <w:rFonts w:hint="eastAsia" w:ascii="仿宋_GB2312" w:hAnsi="仿宋_GB2312" w:eastAsia="仿宋_GB2312" w:cs="仿宋_GB2312"/>
                <w:color w:val="auto"/>
                <w:spacing w:val="0"/>
                <w:w w:val="100"/>
                <w:positio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p>
        </w:tc>
        <w:tc>
          <w:tcPr>
            <w:tcW w:w="2025"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23"/>
              <w:jc w:val="both"/>
              <w:textAlignment w:val="auto"/>
              <w:rPr>
                <w:rFonts w:hint="eastAsia" w:ascii="仿宋_GB2312" w:hAnsi="仿宋_GB2312" w:eastAsia="仿宋_GB2312" w:cs="仿宋_GB2312"/>
                <w:color w:val="auto"/>
                <w:spacing w:val="0"/>
                <w:w w:val="100"/>
                <w:position w:val="0"/>
                <w:sz w:val="24"/>
                <w:szCs w:val="22"/>
                <w:lang w:val="en-US" w:eastAsia="en-US" w:bidi="ar-SA"/>
              </w:rPr>
            </w:pPr>
            <w:r>
              <w:rPr>
                <w:rFonts w:hint="eastAsia" w:ascii="仿宋_GB2312" w:hAnsi="仿宋_GB2312" w:eastAsia="仿宋_GB2312" w:cs="仿宋_GB2312"/>
                <w:color w:val="auto"/>
                <w:spacing w:val="0"/>
                <w:w w:val="100"/>
                <w:position w:val="0"/>
                <w:sz w:val="24"/>
              </w:rPr>
              <w:t>涉及渔业和其管理的自然保护区及耕地、园地土壤污染等生态环境损害的（《中华人民共和国土壤污染防治法》实施之前产生的，并且土壤污染贵任人无法认定的污染地块除外）。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p>
        </w:tc>
        <w:tc>
          <w:tcPr>
            <w:tcW w:w="2025"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13"/>
              <w:jc w:val="both"/>
              <w:textAlignment w:val="auto"/>
              <w:rPr>
                <w:rFonts w:hint="eastAsia" w:ascii="仿宋_GB2312" w:hAnsi="仿宋_GB2312" w:eastAsia="仿宋_GB2312" w:cs="仿宋_GB2312"/>
                <w:color w:val="auto"/>
                <w:spacing w:val="0"/>
                <w:w w:val="100"/>
                <w:position w:val="0"/>
                <w:sz w:val="24"/>
                <w:szCs w:val="22"/>
                <w:lang w:val="en-US" w:eastAsia="zh-CN" w:bidi="ar-SA"/>
              </w:rPr>
            </w:pPr>
            <w:r>
              <w:rPr>
                <w:rFonts w:hint="eastAsia" w:ascii="仿宋_GB2312" w:hAnsi="仿宋_GB2312" w:eastAsia="仿宋_GB2312" w:cs="仿宋_GB2312"/>
                <w:color w:val="auto"/>
                <w:spacing w:val="0"/>
                <w:w w:val="100"/>
                <w:position w:val="0"/>
                <w:sz w:val="24"/>
              </w:rPr>
              <w:t>涉及造成森林、湿地、草原、陆生野生动植物以及其管理的国家公园、自然保护区、自然公园、风景名胜区等生态环境损害的</w:t>
            </w:r>
            <w:r>
              <w:rPr>
                <w:rFonts w:hint="eastAsia" w:ascii="仿宋_GB2312" w:hAnsi="仿宋_GB2312" w:eastAsia="仿宋_GB2312" w:cs="仿宋_GB2312"/>
                <w:color w:val="auto"/>
                <w:spacing w:val="0"/>
                <w:w w:val="100"/>
                <w:positio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4</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区住建局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仿宋_GB2312" w:hAnsi="仿宋_GB2312" w:eastAsia="仿宋_GB2312" w:cs="仿宋_GB2312"/>
                <w:color w:val="auto"/>
                <w:spacing w:val="0"/>
                <w:w w:val="100"/>
                <w:position w:val="0"/>
                <w:sz w:val="24"/>
                <w:szCs w:val="22"/>
                <w:lang w:val="en-US" w:eastAsia="zh-CN" w:bidi="ar-SA"/>
              </w:rPr>
            </w:pPr>
            <w:r>
              <w:rPr>
                <w:rFonts w:hint="eastAsia" w:ascii="仿宋_GB2312" w:hAnsi="仿宋_GB2312" w:eastAsia="仿宋_GB2312" w:cs="仿宋_GB2312"/>
                <w:color w:val="auto"/>
                <w:spacing w:val="0"/>
                <w:w w:val="100"/>
                <w:position w:val="0"/>
                <w:sz w:val="24"/>
              </w:rPr>
              <w:t>涉及其管理的乡镇生活污水处理环境损害的</w:t>
            </w:r>
            <w:r>
              <w:rPr>
                <w:rFonts w:hint="eastAsia" w:ascii="仿宋_GB2312" w:hAnsi="仿宋_GB2312" w:eastAsia="仿宋_GB2312" w:cs="仿宋_GB2312"/>
                <w:color w:val="auto"/>
                <w:spacing w:val="0"/>
                <w:w w:val="100"/>
                <w:positio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5</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区城管执法局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22"/>
              <w:jc w:val="both"/>
              <w:textAlignment w:val="auto"/>
              <w:rPr>
                <w:rFonts w:hint="eastAsia" w:ascii="仿宋_GB2312" w:hAnsi="仿宋_GB2312" w:eastAsia="仿宋_GB2312" w:cs="仿宋_GB2312"/>
                <w:color w:val="auto"/>
                <w:spacing w:val="0"/>
                <w:w w:val="100"/>
                <w:position w:val="0"/>
                <w:sz w:val="24"/>
                <w:szCs w:val="22"/>
                <w:lang w:val="en-US" w:eastAsia="zh-CN" w:bidi="ar-SA"/>
              </w:rPr>
            </w:pPr>
            <w:r>
              <w:rPr>
                <w:rFonts w:hint="eastAsia" w:ascii="仿宋_GB2312" w:hAnsi="仿宋_GB2312" w:eastAsia="仿宋_GB2312" w:cs="仿宋_GB2312"/>
                <w:color w:val="auto"/>
                <w:spacing w:val="0"/>
                <w:w w:val="100"/>
                <w:position w:val="0"/>
                <w:sz w:val="24"/>
              </w:rPr>
              <w:t>涉及造成其管理的城市园林绿地，城镇生活污水处理、供水供气设施、生活垃圾处理等生态环境损害的</w:t>
            </w:r>
            <w:r>
              <w:rPr>
                <w:rFonts w:hint="eastAsia" w:ascii="仿宋_GB2312" w:hAnsi="仿宋_GB2312" w:eastAsia="仿宋_GB2312" w:cs="仿宋_GB2312"/>
                <w:color w:val="auto"/>
                <w:spacing w:val="0"/>
                <w:w w:val="100"/>
                <w:positio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二</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区财政局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06" w:line="300" w:lineRule="exact"/>
              <w:ind w:left="52" w:leftChars="0" w:right="0" w:rightChars="0"/>
              <w:jc w:val="both"/>
              <w:textAlignment w:val="auto"/>
              <w:rPr>
                <w:rFonts w:hint="eastAsia" w:ascii="仿宋_GB2312" w:hAnsi="仿宋_GB2312" w:eastAsia="仿宋_GB2312" w:cs="仿宋_GB2312"/>
                <w:color w:val="auto"/>
                <w:spacing w:val="0"/>
                <w:w w:val="100"/>
                <w:position w:val="0"/>
                <w:sz w:val="24"/>
                <w:szCs w:val="22"/>
                <w:lang w:val="en-US" w:eastAsia="zh-CN" w:bidi="ar-SA"/>
              </w:rPr>
            </w:pPr>
            <w:r>
              <w:rPr>
                <w:rFonts w:hint="eastAsia" w:ascii="仿宋_GB2312" w:hAnsi="仿宋_GB2312" w:eastAsia="仿宋_GB2312" w:cs="仿宋_GB2312"/>
                <w:color w:val="auto"/>
                <w:spacing w:val="0"/>
                <w:w w:val="100"/>
                <w:position w:val="0"/>
                <w:sz w:val="24"/>
              </w:rPr>
              <w:t>负责生态环境损害赔偿资金管理监督等</w:t>
            </w:r>
            <w:r>
              <w:rPr>
                <w:rFonts w:hint="eastAsia" w:ascii="仿宋_GB2312" w:hAnsi="仿宋_GB2312" w:eastAsia="仿宋_GB2312" w:cs="仿宋_GB2312"/>
                <w:color w:val="auto"/>
                <w:spacing w:val="0"/>
                <w:w w:val="100"/>
                <w:positio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三</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区税务局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13" w:line="300" w:lineRule="exact"/>
              <w:ind w:left="45" w:leftChars="0" w:right="0" w:rightChars="0"/>
              <w:jc w:val="both"/>
              <w:textAlignment w:val="auto"/>
              <w:rPr>
                <w:rFonts w:hint="eastAsia" w:ascii="仿宋_GB2312" w:hAnsi="仿宋_GB2312" w:eastAsia="仿宋_GB2312" w:cs="仿宋_GB2312"/>
                <w:color w:val="auto"/>
                <w:spacing w:val="0"/>
                <w:w w:val="100"/>
                <w:position w:val="0"/>
                <w:sz w:val="24"/>
                <w:szCs w:val="22"/>
                <w:lang w:val="en-US" w:eastAsia="en-US" w:bidi="ar-SA"/>
              </w:rPr>
            </w:pPr>
            <w:r>
              <w:rPr>
                <w:rFonts w:hint="eastAsia" w:ascii="仿宋_GB2312" w:hAnsi="仿宋_GB2312" w:eastAsia="仿宋_GB2312" w:cs="仿宋_GB2312"/>
                <w:color w:val="auto"/>
                <w:spacing w:val="0"/>
                <w:w w:val="100"/>
                <w:position w:val="0"/>
                <w:sz w:val="24"/>
              </w:rPr>
              <w:t>负责生态环境损害赔偿资金的征收工作。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rPr>
            </w:pPr>
            <w:r>
              <w:rPr>
                <w:rFonts w:hint="eastAsia" w:ascii="仿宋_GB2312" w:hAnsi="仿宋_GB2312" w:eastAsia="仿宋_GB2312" w:cs="仿宋_GB2312"/>
                <w:color w:val="auto"/>
                <w:spacing w:val="0"/>
                <w:w w:val="100"/>
                <w:position w:val="0"/>
                <w:sz w:val="22"/>
                <w:szCs w:val="40"/>
                <w:vertAlign w:val="baseline"/>
                <w:lang w:val="en-US" w:eastAsia="zh-CN"/>
              </w:rPr>
              <w:t>四</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区司法局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1" w:line="300" w:lineRule="exact"/>
              <w:ind w:left="38" w:leftChars="0" w:right="152" w:rightChars="0"/>
              <w:jc w:val="both"/>
              <w:textAlignment w:val="auto"/>
              <w:rPr>
                <w:rFonts w:hint="eastAsia" w:ascii="仿宋_GB2312" w:hAnsi="仿宋_GB2312" w:eastAsia="仿宋_GB2312" w:cs="仿宋_GB2312"/>
                <w:color w:val="auto"/>
                <w:spacing w:val="0"/>
                <w:w w:val="100"/>
                <w:position w:val="0"/>
                <w:sz w:val="24"/>
                <w:szCs w:val="22"/>
                <w:lang w:val="en-US" w:eastAsia="zh-CN" w:bidi="ar-SA"/>
              </w:rPr>
            </w:pPr>
            <w:r>
              <w:rPr>
                <w:rFonts w:hint="eastAsia" w:ascii="仿宋_GB2312" w:hAnsi="仿宋_GB2312" w:eastAsia="仿宋_GB2312" w:cs="仿宋_GB2312"/>
                <w:color w:val="auto"/>
                <w:spacing w:val="0"/>
                <w:w w:val="100"/>
                <w:position w:val="0"/>
                <w:sz w:val="24"/>
              </w:rPr>
              <w:t>负责生态环境损害司法鉴定管理；指导人民调解委员会依法开展生态环境损害赔偿磋商工作等</w:t>
            </w:r>
            <w:r>
              <w:rPr>
                <w:rFonts w:hint="eastAsia" w:ascii="仿宋_GB2312" w:hAnsi="仿宋_GB2312" w:eastAsia="仿宋_GB2312" w:cs="仿宋_GB2312"/>
                <w:color w:val="auto"/>
                <w:spacing w:val="0"/>
                <w:w w:val="100"/>
                <w:positio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五</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区检察院</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22" w:line="300" w:lineRule="exact"/>
              <w:ind w:right="31"/>
              <w:jc w:val="both"/>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rPr>
              <w:t>支持生态环境损害赔偿磋商、起诉；开展公益诉讼、刑事附带民事公益诉讼，制定相关制度等。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六</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区卫健局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4"/>
              <w:jc w:val="both"/>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rPr>
              <w:t>负责组织开展环境健康问题调查，加强环境与健康综合监测与风险评估等</w:t>
            </w:r>
            <w:r>
              <w:rPr>
                <w:rFonts w:hint="eastAsia" w:ascii="仿宋_GB2312" w:hAnsi="仿宋_GB2312" w:eastAsia="仿宋_GB2312" w:cs="仿宋_GB2312"/>
                <w:color w:val="auto"/>
                <w:spacing w:val="0"/>
                <w:w w:val="100"/>
                <w:positio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七</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区发改局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0" w:line="300" w:lineRule="exact"/>
              <w:ind w:right="273"/>
              <w:jc w:val="both"/>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rPr>
              <w:t>负责将生态环境损害赔偿制度改革纳入国民经济和社会发展规划</w:t>
            </w:r>
            <w:r>
              <w:rPr>
                <w:rFonts w:hint="eastAsia" w:ascii="仿宋_GB2312" w:hAnsi="仿宋_GB2312" w:eastAsia="仿宋_GB2312" w:cs="仿宋_GB2312"/>
                <w:color w:val="auto"/>
                <w:spacing w:val="0"/>
                <w:w w:val="100"/>
                <w:position w:val="0"/>
                <w:sz w:val="22"/>
                <w:lang w:eastAsia="zh-CN"/>
              </w:rPr>
              <w:t>，</w:t>
            </w:r>
            <w:r>
              <w:rPr>
                <w:rFonts w:hint="eastAsia" w:ascii="仿宋_GB2312" w:hAnsi="仿宋_GB2312" w:eastAsia="仿宋_GB2312" w:cs="仿宋_GB2312"/>
                <w:color w:val="auto"/>
                <w:spacing w:val="0"/>
                <w:w w:val="100"/>
                <w:position w:val="0"/>
                <w:sz w:val="22"/>
              </w:rPr>
              <w:t>支持生态修复技术研究及科技成果转化应用工作</w:t>
            </w:r>
            <w:r>
              <w:rPr>
                <w:rFonts w:hint="eastAsia" w:ascii="仿宋_GB2312" w:hAnsi="仿宋_GB2312" w:eastAsia="仿宋_GB2312" w:cs="仿宋_GB2312"/>
                <w:color w:val="auto"/>
                <w:spacing w:val="0"/>
                <w:w w:val="100"/>
                <w:positio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_GB2312" w:hAnsi="仿宋_GB2312" w:eastAsia="仿宋_GB2312" w:cs="仿宋_GB2312"/>
                <w:color w:val="auto"/>
                <w:spacing w:val="0"/>
                <w:w w:val="100"/>
                <w:position w:val="0"/>
                <w:sz w:val="22"/>
                <w:szCs w:val="40"/>
                <w:vertAlign w:val="baseline"/>
                <w:lang w:eastAsia="zh-CN"/>
              </w:rPr>
            </w:pPr>
            <w:r>
              <w:rPr>
                <w:rFonts w:hint="eastAsia" w:ascii="仿宋_GB2312" w:hAnsi="仿宋_GB2312" w:eastAsia="仿宋_GB2312" w:cs="仿宋_GB2312"/>
                <w:color w:val="auto"/>
                <w:spacing w:val="0"/>
                <w:w w:val="100"/>
                <w:position w:val="0"/>
                <w:sz w:val="22"/>
                <w:szCs w:val="40"/>
                <w:vertAlign w:val="baseline"/>
                <w:lang w:eastAsia="zh-CN"/>
              </w:rPr>
              <w:t>八</w:t>
            </w:r>
          </w:p>
        </w:tc>
        <w:tc>
          <w:tcPr>
            <w:tcW w:w="202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eastAsia" w:ascii="仿宋_GB2312" w:hAnsi="仿宋_GB2312" w:eastAsia="仿宋_GB2312" w:cs="仿宋_GB2312"/>
                <w:color w:val="auto"/>
                <w:spacing w:val="0"/>
                <w:w w:val="100"/>
                <w:position w:val="0"/>
                <w:sz w:val="22"/>
                <w:szCs w:val="40"/>
                <w:vertAlign w:val="baseline"/>
                <w:lang w:val="en-US" w:eastAsia="zh-CN" w:bidi="ar-SA"/>
              </w:rPr>
            </w:pPr>
            <w:r>
              <w:rPr>
                <w:rFonts w:hint="eastAsia" w:ascii="仿宋_GB2312" w:hAnsi="仿宋_GB2312" w:eastAsia="仿宋_GB2312" w:cs="仿宋_GB2312"/>
                <w:color w:val="auto"/>
                <w:spacing w:val="0"/>
                <w:w w:val="100"/>
                <w:position w:val="0"/>
                <w:sz w:val="22"/>
                <w:szCs w:val="40"/>
                <w:vertAlign w:val="baseline"/>
                <w:lang w:eastAsia="zh-CN"/>
              </w:rPr>
              <w:t>区审计局</w:t>
            </w:r>
          </w:p>
        </w:tc>
        <w:tc>
          <w:tcPr>
            <w:tcW w:w="600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4" w:firstLineChars="0"/>
              <w:jc w:val="both"/>
              <w:textAlignment w:val="auto"/>
              <w:rPr>
                <w:rFonts w:hint="eastAsia" w:ascii="仿宋_GB2312" w:hAnsi="仿宋_GB2312" w:eastAsia="仿宋_GB2312" w:cs="仿宋_GB2312"/>
                <w:color w:val="auto"/>
                <w:spacing w:val="0"/>
                <w:w w:val="100"/>
                <w:position w:val="0"/>
                <w:sz w:val="22"/>
                <w:szCs w:val="40"/>
                <w:vertAlign w:val="baseline"/>
                <w:lang w:val="en-US" w:eastAsia="zh-CN" w:bidi="ar-SA"/>
              </w:rPr>
            </w:pPr>
            <w:r>
              <w:rPr>
                <w:rFonts w:hint="eastAsia" w:ascii="仿宋_GB2312" w:hAnsi="仿宋_GB2312" w:eastAsia="仿宋_GB2312" w:cs="仿宋_GB2312"/>
                <w:color w:val="auto"/>
                <w:spacing w:val="0"/>
                <w:w w:val="100"/>
                <w:position w:val="0"/>
                <w:sz w:val="22"/>
              </w:rPr>
              <w:t>依法对生态环境损害赔偿资金分配、使用和管理情况实施审计监督</w:t>
            </w:r>
            <w:r>
              <w:rPr>
                <w:rFonts w:hint="eastAsia" w:ascii="仿宋_GB2312" w:hAnsi="仿宋_GB2312" w:eastAsia="仿宋_GB2312" w:cs="仿宋_GB2312"/>
                <w:color w:val="auto"/>
                <w:spacing w:val="0"/>
                <w:w w:val="100"/>
                <w:position w:val="0"/>
                <w:sz w:val="22"/>
                <w:lang w:eastAsia="zh-CN"/>
              </w:rPr>
              <w:t>。</w:t>
            </w:r>
          </w:p>
        </w:tc>
      </w:tr>
    </w:tbl>
    <w:p>
      <w:pPr>
        <w:pStyle w:val="3"/>
        <w:keepNext w:val="0"/>
        <w:keepLines w:val="0"/>
        <w:pageBreakBefore w:val="0"/>
        <w:widowControl w:val="0"/>
        <w:kinsoku/>
        <w:wordWrap/>
        <w:overflowPunct/>
        <w:topLinePunct w:val="0"/>
        <w:autoSpaceDE w:val="0"/>
        <w:autoSpaceDN w:val="0"/>
        <w:bidi w:val="0"/>
        <w:adjustRightInd/>
        <w:snapToGrid/>
        <w:spacing w:line="20" w:lineRule="exact"/>
        <w:jc w:val="both"/>
        <w:textAlignment w:val="auto"/>
        <w:rPr>
          <w:rFonts w:hint="eastAsia" w:ascii="仿宋_GB2312" w:hAnsi="仿宋_GB2312" w:eastAsia="仿宋_GB2312" w:cs="仿宋_GB2312"/>
          <w:color w:val="auto"/>
          <w:spacing w:val="0"/>
          <w:w w:val="100"/>
          <w:position w:val="0"/>
          <w:sz w:val="44"/>
        </w:rPr>
      </w:pPr>
    </w:p>
    <w:sectPr>
      <w:pgSz w:w="11900" w:h="16838"/>
      <w:pgMar w:top="1984" w:right="1701" w:bottom="1701" w:left="1701" w:header="0" w:footer="975"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6323965</wp:posOffset>
              </wp:positionH>
              <wp:positionV relativeFrom="page">
                <wp:posOffset>10026650</wp:posOffset>
              </wp:positionV>
              <wp:extent cx="377825" cy="1949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77825" cy="194945"/>
                      </a:xfrm>
                      <a:prstGeom prst="rect">
                        <a:avLst/>
                      </a:prstGeom>
                      <a:noFill/>
                      <a:ln>
                        <a:noFill/>
                      </a:ln>
                    </wps:spPr>
                    <wps:txbx>
                      <w:txbxContent>
                        <w:p>
                          <w:pPr>
                            <w:spacing w:before="10"/>
                            <w:ind w:left="20" w:right="0" w:firstLine="0"/>
                            <w:jc w:val="left"/>
                            <w:rPr>
                              <w:rFonts w:ascii="Times New Roman"/>
                              <w:sz w:val="24"/>
                            </w:rPr>
                          </w:pPr>
                          <w:r>
                            <w:rPr>
                              <w:rFonts w:ascii="Times New Roman"/>
                              <w:color w:val="919095"/>
                              <w:sz w:val="24"/>
                            </w:rPr>
                            <w:t>-</w:t>
                          </w:r>
                          <w:r>
                            <w:fldChar w:fldCharType="begin"/>
                          </w:r>
                          <w:r>
                            <w:rPr>
                              <w:rFonts w:ascii="Times New Roman"/>
                              <w:color w:val="646067"/>
                              <w:sz w:val="24"/>
                            </w:rPr>
                            <w:instrText xml:space="preserve"> PAGE </w:instrText>
                          </w:r>
                          <w:r>
                            <w:fldChar w:fldCharType="separate"/>
                          </w:r>
                          <w:r>
                            <w:t>5</w:t>
                          </w:r>
                          <w:r>
                            <w:fldChar w:fldCharType="end"/>
                          </w:r>
                          <w:r>
                            <w:rPr>
                              <w:rFonts w:ascii="Times New Roman"/>
                              <w:color w:val="919095"/>
                              <w:sz w:val="24"/>
                            </w:rPr>
                            <w:t>-</w:t>
                          </w:r>
                        </w:p>
                      </w:txbxContent>
                    </wps:txbx>
                    <wps:bodyPr lIns="0" tIns="0" rIns="0" bIns="0" upright="1"/>
                  </wps:wsp>
                </a:graphicData>
              </a:graphic>
            </wp:anchor>
          </w:drawing>
        </mc:Choice>
        <mc:Fallback>
          <w:pict>
            <v:shape id="文本框 1025" o:spid="_x0000_s1026" o:spt="202" type="#_x0000_t202" style="position:absolute;left:0pt;margin-left:497.95pt;margin-top:789.5pt;height:15.35pt;width:29.75pt;mso-position-horizontal-relative:page;mso-position-vertical-relative:page;z-index:-251657216;mso-width-relative:page;mso-height-relative:page;" filled="f" stroked="f" coordsize="21600,21600" o:gfxdata="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yns47bAAAADgEAAA8AAAAAAAAAAQAgAAAAIgAAAGRycy9kb3ducmV2Lnht&#10;bFBLAQIUABQAAAAIAIdO4kCn3F1kvQEAAHQDAAAOAAAAAAAAAAEAIAAAACoBAABkcnMvZTJvRG9j&#10;LnhtbFBLBQYAAAAABgAGAFkBAABZBQAAAAA=&#10;">
              <v:fill on="f" focussize="0,0"/>
              <v:stroke on="f"/>
              <v:imagedata o:title=""/>
              <o:lock v:ext="edit" aspectratio="f"/>
              <v:textbox inset="0mm,0mm,0mm,0mm">
                <w:txbxContent>
                  <w:p>
                    <w:pPr>
                      <w:spacing w:before="10"/>
                      <w:ind w:left="20" w:right="0" w:firstLine="0"/>
                      <w:jc w:val="left"/>
                      <w:rPr>
                        <w:rFonts w:ascii="Times New Roman"/>
                        <w:sz w:val="24"/>
                      </w:rPr>
                    </w:pPr>
                    <w:r>
                      <w:rPr>
                        <w:rFonts w:ascii="Times New Roman"/>
                        <w:color w:val="919095"/>
                        <w:sz w:val="24"/>
                      </w:rPr>
                      <w:t>-</w:t>
                    </w:r>
                    <w:r>
                      <w:fldChar w:fldCharType="begin"/>
                    </w:r>
                    <w:r>
                      <w:rPr>
                        <w:rFonts w:ascii="Times New Roman"/>
                        <w:color w:val="646067"/>
                        <w:sz w:val="24"/>
                      </w:rPr>
                      <w:instrText xml:space="preserve"> PAGE </w:instrText>
                    </w:r>
                    <w:r>
                      <w:fldChar w:fldCharType="separate"/>
                    </w:r>
                    <w:r>
                      <w:t>5</w:t>
                    </w:r>
                    <w:r>
                      <w:fldChar w:fldCharType="end"/>
                    </w:r>
                    <w:r>
                      <w:rPr>
                        <w:rFonts w:ascii="Times New Roman"/>
                        <w:color w:val="919095"/>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942975</wp:posOffset>
              </wp:positionH>
              <wp:positionV relativeFrom="page">
                <wp:posOffset>9933940</wp:posOffset>
              </wp:positionV>
              <wp:extent cx="381000" cy="21082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81000" cy="210820"/>
                      </a:xfrm>
                      <a:prstGeom prst="rect">
                        <a:avLst/>
                      </a:prstGeom>
                      <a:noFill/>
                      <a:ln>
                        <a:noFill/>
                      </a:ln>
                    </wps:spPr>
                    <wps:txbx>
                      <w:txbxContent>
                        <w:p>
                          <w:pPr>
                            <w:spacing w:before="24"/>
                            <w:ind w:left="20" w:right="0" w:firstLine="0"/>
                            <w:jc w:val="left"/>
                            <w:rPr>
                              <w:rFonts w:ascii="Times New Roman"/>
                              <w:sz w:val="25"/>
                            </w:rPr>
                          </w:pPr>
                          <w:r>
                            <w:rPr>
                              <w:rFonts w:ascii="Times New Roman"/>
                              <w:color w:val="807C87"/>
                              <w:sz w:val="25"/>
                            </w:rPr>
                            <w:t>-</w:t>
                          </w:r>
                          <w:r>
                            <w:fldChar w:fldCharType="begin"/>
                          </w:r>
                          <w:r>
                            <w:rPr>
                              <w:rFonts w:ascii="Times New Roman"/>
                              <w:color w:val="807C87"/>
                              <w:sz w:val="25"/>
                            </w:rPr>
                            <w:instrText xml:space="preserve"> PAGE </w:instrText>
                          </w:r>
                          <w:r>
                            <w:fldChar w:fldCharType="separate"/>
                          </w:r>
                          <w:r>
                            <w:t>8</w:t>
                          </w:r>
                          <w:r>
                            <w:fldChar w:fldCharType="end"/>
                          </w:r>
                          <w:r>
                            <w:rPr>
                              <w:rFonts w:ascii="Times New Roman"/>
                              <w:color w:val="645E67"/>
                              <w:sz w:val="25"/>
                            </w:rPr>
                            <w:t>-</w:t>
                          </w:r>
                        </w:p>
                      </w:txbxContent>
                    </wps:txbx>
                    <wps:bodyPr lIns="0" tIns="0" rIns="0" bIns="0" upright="1"/>
                  </wps:wsp>
                </a:graphicData>
              </a:graphic>
            </wp:anchor>
          </w:drawing>
        </mc:Choice>
        <mc:Fallback>
          <w:pict>
            <v:shape id="文本框 1026" o:spid="_x0000_s1026" o:spt="202" type="#_x0000_t202" style="position:absolute;left:0pt;margin-left:74.25pt;margin-top:782.2pt;height:16.6pt;width:30pt;mso-position-horizontal-relative:page;mso-position-vertical-relative:page;z-index:-251657216;mso-width-relative:page;mso-height-relative:page;" filled="f" stroked="f" coordsize="21600,21600" o:gfxdata="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tD2WraAAAADQEAAA8AAAAAAAAAAQAgAAAAIgAAAGRycy9kb3ducmV2LnhtbFBL&#10;AQIUABQAAAAIAIdO4kCHTA6euwEAAHQDAAAOAAAAAAAAAAEAIAAAACkBAABkcnMvZTJvRG9jLnht&#10;bFBLBQYAAAAABgAGAFkBAABWBQAAAAA=&#10;">
              <v:fill on="f" focussize="0,0"/>
              <v:stroke on="f"/>
              <v:imagedata o:title=""/>
              <o:lock v:ext="edit" aspectratio="f"/>
              <v:textbox inset="0mm,0mm,0mm,0mm">
                <w:txbxContent>
                  <w:p>
                    <w:pPr>
                      <w:spacing w:before="24"/>
                      <w:ind w:left="20" w:right="0" w:firstLine="0"/>
                      <w:jc w:val="left"/>
                      <w:rPr>
                        <w:rFonts w:ascii="Times New Roman"/>
                        <w:sz w:val="25"/>
                      </w:rPr>
                    </w:pPr>
                    <w:r>
                      <w:rPr>
                        <w:rFonts w:ascii="Times New Roman"/>
                        <w:color w:val="807C87"/>
                        <w:sz w:val="25"/>
                      </w:rPr>
                      <w:t>-</w:t>
                    </w:r>
                    <w:r>
                      <w:fldChar w:fldCharType="begin"/>
                    </w:r>
                    <w:r>
                      <w:rPr>
                        <w:rFonts w:ascii="Times New Roman"/>
                        <w:color w:val="807C87"/>
                        <w:sz w:val="25"/>
                      </w:rPr>
                      <w:instrText xml:space="preserve"> PAGE </w:instrText>
                    </w:r>
                    <w:r>
                      <w:fldChar w:fldCharType="separate"/>
                    </w:r>
                    <w:r>
                      <w:t>8</w:t>
                    </w:r>
                    <w:r>
                      <w:fldChar w:fldCharType="end"/>
                    </w:r>
                    <w:r>
                      <w:rPr>
                        <w:rFonts w:ascii="Times New Roman"/>
                        <w:color w:val="645E67"/>
                        <w:sz w:val="25"/>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6256655</wp:posOffset>
              </wp:positionH>
              <wp:positionV relativeFrom="page">
                <wp:posOffset>10033635</wp:posOffset>
              </wp:positionV>
              <wp:extent cx="457200" cy="20066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457200" cy="200660"/>
                      </a:xfrm>
                      <a:prstGeom prst="rect">
                        <a:avLst/>
                      </a:prstGeom>
                      <a:noFill/>
                      <a:ln>
                        <a:noFill/>
                      </a:ln>
                    </wps:spPr>
                    <wps:txbx>
                      <w:txbxContent>
                        <w:p>
                          <w:pPr>
                            <w:spacing w:before="42"/>
                            <w:ind w:left="20" w:right="0" w:firstLine="0"/>
                            <w:jc w:val="left"/>
                            <w:rPr>
                              <w:rFonts w:ascii="Arial"/>
                              <w:sz w:val="22"/>
                            </w:rPr>
                          </w:pPr>
                          <w:r>
                            <w:rPr>
                              <w:rFonts w:ascii="Arial"/>
                              <w:color w:val="8C898E"/>
                              <w:w w:val="110"/>
                              <w:sz w:val="22"/>
                            </w:rPr>
                            <w:t>-</w:t>
                          </w:r>
                          <w:r>
                            <w:fldChar w:fldCharType="begin"/>
                          </w:r>
                          <w:r>
                            <w:rPr>
                              <w:rFonts w:ascii="Arial"/>
                              <w:color w:val="645E67"/>
                              <w:w w:val="110"/>
                              <w:sz w:val="22"/>
                            </w:rPr>
                            <w:instrText xml:space="preserve"> PAGE </w:instrText>
                          </w:r>
                          <w:r>
                            <w:fldChar w:fldCharType="separate"/>
                          </w:r>
                          <w:r>
                            <w:t>11</w:t>
                          </w:r>
                          <w:r>
                            <w:fldChar w:fldCharType="end"/>
                          </w:r>
                          <w:r>
                            <w:rPr>
                              <w:rFonts w:ascii="Arial"/>
                              <w:color w:val="8C898E"/>
                              <w:w w:val="110"/>
                              <w:sz w:val="22"/>
                            </w:rPr>
                            <w:t>-</w:t>
                          </w:r>
                        </w:p>
                      </w:txbxContent>
                    </wps:txbx>
                    <wps:bodyPr lIns="0" tIns="0" rIns="0" bIns="0" upright="1"/>
                  </wps:wsp>
                </a:graphicData>
              </a:graphic>
            </wp:anchor>
          </w:drawing>
        </mc:Choice>
        <mc:Fallback>
          <w:pict>
            <v:shape id="文本框 1027" o:spid="_x0000_s1026" o:spt="202" type="#_x0000_t202" style="position:absolute;left:0pt;margin-left:492.65pt;margin-top:790.05pt;height:15.8pt;width:36pt;mso-position-horizontal-relative:page;mso-position-vertical-relative:page;z-index:-251657216;mso-width-relative:page;mso-height-relative:page;" filled="f" stroked="f" coordsize="21600,21600" o:gfxdata="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hj7r2wAAAA4BAAAPAAAAAAAAAAEAIAAAACIAAABkcnMvZG93bnJldi54bWxQ&#10;SwECFAAUAAAACACHTuJAT9w1cLsBAAB0AwAADgAAAAAAAAABACAAAAAqAQAAZHJzL2Uyb0RvYy54&#10;bWxQSwUGAAAAAAYABgBZAQAAVwUAAAAA&#10;">
              <v:fill on="f" focussize="0,0"/>
              <v:stroke on="f"/>
              <v:imagedata o:title=""/>
              <o:lock v:ext="edit" aspectratio="f"/>
              <v:textbox inset="0mm,0mm,0mm,0mm">
                <w:txbxContent>
                  <w:p>
                    <w:pPr>
                      <w:spacing w:before="42"/>
                      <w:ind w:left="20" w:right="0" w:firstLine="0"/>
                      <w:jc w:val="left"/>
                      <w:rPr>
                        <w:rFonts w:ascii="Arial"/>
                        <w:sz w:val="22"/>
                      </w:rPr>
                    </w:pPr>
                    <w:r>
                      <w:rPr>
                        <w:rFonts w:ascii="Arial"/>
                        <w:color w:val="8C898E"/>
                        <w:w w:val="110"/>
                        <w:sz w:val="22"/>
                      </w:rPr>
                      <w:t>-</w:t>
                    </w:r>
                    <w:r>
                      <w:fldChar w:fldCharType="begin"/>
                    </w:r>
                    <w:r>
                      <w:rPr>
                        <w:rFonts w:ascii="Arial"/>
                        <w:color w:val="645E67"/>
                        <w:w w:val="110"/>
                        <w:sz w:val="22"/>
                      </w:rPr>
                      <w:instrText xml:space="preserve"> PAGE </w:instrText>
                    </w:r>
                    <w:r>
                      <w:fldChar w:fldCharType="separate"/>
                    </w:r>
                    <w:r>
                      <w:t>11</w:t>
                    </w:r>
                    <w:r>
                      <w:fldChar w:fldCharType="end"/>
                    </w:r>
                    <w:r>
                      <w:rPr>
                        <w:rFonts w:ascii="Arial"/>
                        <w:color w:val="8C898E"/>
                        <w:w w:val="110"/>
                        <w:sz w:val="2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933450</wp:posOffset>
              </wp:positionH>
              <wp:positionV relativeFrom="page">
                <wp:posOffset>9931400</wp:posOffset>
              </wp:positionV>
              <wp:extent cx="452755" cy="20193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452755" cy="201930"/>
                      </a:xfrm>
                      <a:prstGeom prst="rect">
                        <a:avLst/>
                      </a:prstGeom>
                      <a:noFill/>
                      <a:ln>
                        <a:noFill/>
                      </a:ln>
                    </wps:spPr>
                    <wps:txbx>
                      <w:txbxContent>
                        <w:p>
                          <w:pPr>
                            <w:spacing w:before="9"/>
                            <w:ind w:left="20" w:right="0" w:firstLine="0"/>
                            <w:jc w:val="left"/>
                            <w:rPr>
                              <w:rFonts w:ascii="Times New Roman"/>
                              <w:sz w:val="25"/>
                            </w:rPr>
                          </w:pPr>
                          <w:r>
                            <w:rPr>
                              <w:rFonts w:ascii="Times New Roman"/>
                              <w:color w:val="858289"/>
                              <w:sz w:val="25"/>
                            </w:rPr>
                            <w:t>-</w:t>
                          </w:r>
                          <w:r>
                            <w:fldChar w:fldCharType="begin"/>
                          </w:r>
                          <w:r>
                            <w:rPr>
                              <w:rFonts w:ascii="Times New Roman"/>
                              <w:color w:val="676069"/>
                              <w:sz w:val="25"/>
                            </w:rPr>
                            <w:instrText xml:space="preserve"> PAGE </w:instrText>
                          </w:r>
                          <w:r>
                            <w:fldChar w:fldCharType="separate"/>
                          </w:r>
                          <w:r>
                            <w:t>12</w:t>
                          </w:r>
                          <w:r>
                            <w:fldChar w:fldCharType="end"/>
                          </w:r>
                          <w:r>
                            <w:rPr>
                              <w:rFonts w:ascii="Times New Roman"/>
                              <w:color w:val="858289"/>
                              <w:sz w:val="25"/>
                            </w:rPr>
                            <w:t>-</w:t>
                          </w:r>
                        </w:p>
                      </w:txbxContent>
                    </wps:txbx>
                    <wps:bodyPr lIns="0" tIns="0" rIns="0" bIns="0" upright="1"/>
                  </wps:wsp>
                </a:graphicData>
              </a:graphic>
            </wp:anchor>
          </w:drawing>
        </mc:Choice>
        <mc:Fallback>
          <w:pict>
            <v:shape id="文本框 1028" o:spid="_x0000_s1026" o:spt="202" type="#_x0000_t202" style="position:absolute;left:0pt;margin-left:73.5pt;margin-top:782pt;height:15.9pt;width:35.65pt;mso-position-horizontal-relative:page;mso-position-vertical-relative:page;z-index:-251657216;mso-width-relative:page;mso-height-relative:page;" filled="f" stroked="f" coordsize="21600,21600" o:gfxdata="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xWngNoAAAANAQAADwAAAAAAAAABACAAAAAiAAAAZHJzL2Rvd25yZXYueG1s&#10;UEsBAhQAFAAAAAgAh07iQIf11WC9AQAAdAMAAA4AAAAAAAAAAQAgAAAAKQEAAGRycy9lMm9Eb2Mu&#10;eG1sUEsFBgAAAAAGAAYAWQEAAFgFAAAAAA==&#10;">
              <v:fill on="f" focussize="0,0"/>
              <v:stroke on="f"/>
              <v:imagedata o:title=""/>
              <o:lock v:ext="edit" aspectratio="f"/>
              <v:textbox inset="0mm,0mm,0mm,0mm">
                <w:txbxContent>
                  <w:p>
                    <w:pPr>
                      <w:spacing w:before="9"/>
                      <w:ind w:left="20" w:right="0" w:firstLine="0"/>
                      <w:jc w:val="left"/>
                      <w:rPr>
                        <w:rFonts w:ascii="Times New Roman"/>
                        <w:sz w:val="25"/>
                      </w:rPr>
                    </w:pPr>
                    <w:r>
                      <w:rPr>
                        <w:rFonts w:ascii="Times New Roman"/>
                        <w:color w:val="858289"/>
                        <w:sz w:val="25"/>
                      </w:rPr>
                      <w:t>-</w:t>
                    </w:r>
                    <w:r>
                      <w:fldChar w:fldCharType="begin"/>
                    </w:r>
                    <w:r>
                      <w:rPr>
                        <w:rFonts w:ascii="Times New Roman"/>
                        <w:color w:val="676069"/>
                        <w:sz w:val="25"/>
                      </w:rPr>
                      <w:instrText xml:space="preserve"> PAGE </w:instrText>
                    </w:r>
                    <w:r>
                      <w:fldChar w:fldCharType="separate"/>
                    </w:r>
                    <w:r>
                      <w:t>12</w:t>
                    </w:r>
                    <w:r>
                      <w:fldChar w:fldCharType="end"/>
                    </w:r>
                    <w:r>
                      <w:rPr>
                        <w:rFonts w:ascii="Times New Roman"/>
                        <w:color w:val="858289"/>
                        <w:sz w:val="25"/>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61766"/>
    <w:rsid w:val="2DC64F40"/>
    <w:rsid w:val="2F101C22"/>
    <w:rsid w:val="34EA1E4A"/>
    <w:rsid w:val="35DE3097"/>
    <w:rsid w:val="421F622F"/>
    <w:rsid w:val="4FDC70FC"/>
    <w:rsid w:val="537316DE"/>
    <w:rsid w:val="5B3A4E5F"/>
    <w:rsid w:val="6333412A"/>
    <w:rsid w:val="67223513"/>
    <w:rsid w:val="6E260D89"/>
    <w:rsid w:val="6F242919"/>
    <w:rsid w:val="77ED03C7"/>
    <w:rsid w:val="79DB7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outlineLvl w:val="1"/>
    </w:pPr>
    <w:rPr>
      <w:rFonts w:ascii="宋体" w:hAnsi="宋体" w:eastAsia="宋体" w:cs="宋体"/>
      <w:sz w:val="42"/>
      <w:szCs w:val="42"/>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374" w:firstLine="670"/>
      <w:jc w:val="both"/>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2021-11-26T01:48:00Z</dcterms:created>
  <dc:creator>Administrator</dc:creator>
  <cp:lastModifiedBy>巨信</cp:lastModifiedBy>
  <cp:lastPrinted>2021-12-28T08:04:07Z</cp:lastPrinted>
  <dcterms:modified xsi:type="dcterms:W3CDTF">2021-12-28T08:06:10Z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LastSaved">
    <vt:filetime>2021-11-26T00:00:00Z</vt:filetime>
  </property>
  <property fmtid="{D5CDD505-2E9C-101B-9397-08002B2CF9AE}" pid="4" name="KSOProductBuildVer">
    <vt:lpwstr>2052-11.1.0.11194</vt:lpwstr>
  </property>
  <property fmtid="{D5CDD505-2E9C-101B-9397-08002B2CF9AE}" pid="5" name="ICV">
    <vt:lpwstr>55D034CE1B8B41179534618C5EF7B08B</vt:lpwstr>
  </property>
</Properties>
</file>