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i w:val="0"/>
          <w:iCs w:val="0"/>
          <w:caps w:val="0"/>
          <w:color w:val="auto"/>
          <w:spacing w:val="0"/>
          <w:kern w:val="44"/>
          <w:sz w:val="44"/>
          <w:szCs w:val="44"/>
          <w:shd w:val="clear" w:fill="FFFFFF"/>
          <w:lang w:val="en-US" w:eastAsia="zh-CN" w:bidi="ar"/>
        </w:rPr>
      </w:pPr>
      <w:r>
        <w:rPr>
          <w:rFonts w:hint="eastAsia" w:ascii="宋体" w:hAnsi="宋体" w:eastAsia="宋体" w:cs="宋体"/>
          <w:b/>
          <w:bCs/>
          <w:i w:val="0"/>
          <w:iCs w:val="0"/>
          <w:caps w:val="0"/>
          <w:color w:val="auto"/>
          <w:spacing w:val="0"/>
          <w:kern w:val="44"/>
          <w:sz w:val="44"/>
          <w:szCs w:val="44"/>
          <w:shd w:val="clear" w:fill="FFFFFF"/>
          <w:lang w:val="en-US" w:eastAsia="zh-CN" w:bidi="ar"/>
        </w:rPr>
        <w:t>北塔区委网信办</w:t>
      </w:r>
      <w:r>
        <w:rPr>
          <w:rFonts w:hint="eastAsia" w:ascii="宋体" w:hAnsi="宋体" w:eastAsia="宋体" w:cs="宋体"/>
          <w:b/>
          <w:bCs/>
          <w:i w:val="0"/>
          <w:iCs w:val="0"/>
          <w:caps w:val="0"/>
          <w:color w:val="auto"/>
          <w:spacing w:val="0"/>
          <w:kern w:val="44"/>
          <w:sz w:val="44"/>
          <w:szCs w:val="44"/>
          <w:shd w:val="clear" w:fill="FFFFFF"/>
          <w:lang w:val="en-US" w:eastAsia="zh-CN" w:bidi="ar"/>
        </w:rPr>
        <w:t>202</w:t>
      </w:r>
      <w:r>
        <w:rPr>
          <w:rFonts w:hint="eastAsia" w:ascii="宋体" w:hAnsi="宋体" w:eastAsia="宋体" w:cs="宋体"/>
          <w:b/>
          <w:bCs/>
          <w:i w:val="0"/>
          <w:iCs w:val="0"/>
          <w:caps w:val="0"/>
          <w:color w:val="auto"/>
          <w:spacing w:val="0"/>
          <w:kern w:val="44"/>
          <w:sz w:val="44"/>
          <w:szCs w:val="44"/>
          <w:shd w:val="clear" w:fill="FFFFFF"/>
          <w:lang w:val="en-US" w:eastAsia="zh-CN" w:bidi="ar"/>
        </w:rPr>
        <w:t>2</w:t>
      </w:r>
      <w:r>
        <w:rPr>
          <w:rFonts w:hint="eastAsia" w:ascii="宋体" w:hAnsi="宋体" w:eastAsia="宋体" w:cs="宋体"/>
          <w:b/>
          <w:bCs/>
          <w:i w:val="0"/>
          <w:iCs w:val="0"/>
          <w:caps w:val="0"/>
          <w:color w:val="auto"/>
          <w:spacing w:val="0"/>
          <w:kern w:val="44"/>
          <w:sz w:val="44"/>
          <w:szCs w:val="44"/>
          <w:shd w:val="clear" w:fill="FFFFFF"/>
          <w:lang w:val="en-US" w:eastAsia="zh-CN" w:bidi="ar"/>
        </w:rPr>
        <w:t>年度部门整体支出</w:t>
      </w:r>
    </w:p>
    <w:p>
      <w:pPr>
        <w:keepNext w:val="0"/>
        <w:keepLines w:val="0"/>
        <w:widowControl/>
        <w:suppressLineNumbers w:val="0"/>
        <w:jc w:val="center"/>
        <w:rPr>
          <w:rFonts w:hint="eastAsia" w:ascii="宋体" w:hAnsi="宋体" w:eastAsia="宋体" w:cs="宋体"/>
          <w:b/>
          <w:bCs/>
          <w:i w:val="0"/>
          <w:iCs w:val="0"/>
          <w:caps w:val="0"/>
          <w:color w:val="auto"/>
          <w:spacing w:val="0"/>
          <w:kern w:val="44"/>
          <w:sz w:val="44"/>
          <w:szCs w:val="44"/>
          <w:shd w:val="clear" w:fill="FFFFFF"/>
          <w:lang w:val="en-US" w:eastAsia="zh-CN" w:bidi="ar"/>
        </w:rPr>
      </w:pPr>
      <w:r>
        <w:rPr>
          <w:rFonts w:hint="eastAsia" w:ascii="宋体" w:hAnsi="宋体" w:eastAsia="宋体" w:cs="宋体"/>
          <w:b/>
          <w:bCs/>
          <w:i w:val="0"/>
          <w:iCs w:val="0"/>
          <w:caps w:val="0"/>
          <w:color w:val="auto"/>
          <w:spacing w:val="0"/>
          <w:kern w:val="44"/>
          <w:sz w:val="44"/>
          <w:szCs w:val="44"/>
          <w:shd w:val="clear" w:fill="FFFFFF"/>
          <w:lang w:val="en-US" w:eastAsia="zh-CN" w:bidi="ar"/>
        </w:rPr>
        <w:t>绩效评价报</w:t>
      </w:r>
      <w:r>
        <w:rPr>
          <w:rFonts w:hint="eastAsia" w:ascii="宋体" w:hAnsi="宋体" w:eastAsia="宋体" w:cs="宋体"/>
          <w:b/>
          <w:bCs/>
          <w:i w:val="0"/>
          <w:iCs w:val="0"/>
          <w:caps w:val="0"/>
          <w:color w:val="auto"/>
          <w:spacing w:val="0"/>
          <w:kern w:val="44"/>
          <w:sz w:val="44"/>
          <w:szCs w:val="44"/>
          <w:shd w:val="clear" w:fill="FFFFFF"/>
          <w:lang w:val="en-US" w:eastAsia="zh-CN" w:bidi="ar"/>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shd w:val="clear" w:fill="FFFFFF"/>
        </w:rPr>
        <w:t>一、部门基本情况</w:t>
      </w:r>
      <w:bookmarkStart w:id="1" w:name="_GoBack"/>
      <w:bookmarkEnd w:id="1"/>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（一）机构设置及人员情况</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color w:val="auto"/>
          <w:kern w:val="2"/>
          <w:sz w:val="32"/>
          <w:szCs w:val="32"/>
          <w:lang w:val="en-US" w:eastAsia="zh-CN" w:bidi="ar"/>
        </w:rPr>
      </w:pPr>
      <w:r>
        <w:rPr>
          <w:rFonts w:hint="eastAsia" w:ascii="宋体" w:hAnsi="宋体" w:eastAsia="宋体" w:cs="宋体"/>
          <w:i w:val="0"/>
          <w:iCs w:val="0"/>
          <w:caps w:val="0"/>
          <w:color w:val="000000"/>
          <w:spacing w:val="0"/>
          <w:sz w:val="32"/>
          <w:szCs w:val="32"/>
        </w:rPr>
        <w:t>机构</w:t>
      </w:r>
      <w:r>
        <w:rPr>
          <w:rFonts w:hint="eastAsia" w:ascii="宋体" w:hAnsi="宋体" w:eastAsia="宋体" w:cs="宋体"/>
          <w:i w:val="0"/>
          <w:iCs w:val="0"/>
          <w:caps w:val="0"/>
          <w:color w:val="000000"/>
          <w:spacing w:val="0"/>
          <w:sz w:val="32"/>
          <w:szCs w:val="32"/>
          <w:lang w:eastAsia="zh-CN"/>
        </w:rPr>
        <w:t>设置情况</w:t>
      </w:r>
      <w:r>
        <w:rPr>
          <w:rFonts w:hint="eastAsia" w:ascii="宋体" w:hAnsi="宋体" w:eastAsia="宋体" w:cs="宋体"/>
          <w:i w:val="0"/>
          <w:iCs w:val="0"/>
          <w:caps w:val="0"/>
          <w:color w:val="000000"/>
          <w:spacing w:val="0"/>
          <w:sz w:val="32"/>
          <w:szCs w:val="32"/>
        </w:rPr>
        <w:t>：</w:t>
      </w:r>
      <w:r>
        <w:rPr>
          <w:rFonts w:hint="eastAsia" w:ascii="宋体" w:hAnsi="宋体" w:eastAsia="宋体" w:cs="宋体"/>
          <w:i w:val="0"/>
          <w:iCs w:val="0"/>
          <w:caps w:val="0"/>
          <w:color w:val="000000"/>
          <w:spacing w:val="0"/>
          <w:sz w:val="32"/>
          <w:szCs w:val="32"/>
          <w:lang w:val="en-US" w:eastAsia="zh-CN"/>
        </w:rPr>
        <w:t>此项内容依法不予公开。</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i w:val="0"/>
          <w:iCs w:val="0"/>
          <w:caps w:val="0"/>
          <w:color w:val="000000"/>
          <w:spacing w:val="0"/>
          <w:sz w:val="32"/>
          <w:szCs w:val="32"/>
          <w:lang w:eastAsia="zh-CN"/>
        </w:rPr>
        <w:t>人员情况：</w:t>
      </w:r>
      <w:r>
        <w:rPr>
          <w:rFonts w:hint="eastAsia" w:ascii="宋体" w:hAnsi="宋体" w:eastAsia="宋体" w:cs="宋体"/>
          <w:color w:val="auto"/>
          <w:kern w:val="2"/>
          <w:sz w:val="32"/>
          <w:szCs w:val="32"/>
          <w:lang w:val="en-US" w:eastAsia="zh-CN" w:bidi="ar"/>
        </w:rPr>
        <w:t>本部门</w:t>
      </w:r>
      <w:r>
        <w:rPr>
          <w:rFonts w:hint="eastAsia" w:ascii="宋体" w:hAnsi="宋体" w:eastAsia="宋体" w:cs="宋体"/>
          <w:color w:val="000000"/>
          <w:kern w:val="2"/>
          <w:sz w:val="32"/>
          <w:szCs w:val="32"/>
        </w:rPr>
        <w:t>共有编制人数</w:t>
      </w:r>
      <w:r>
        <w:rPr>
          <w:rFonts w:hint="eastAsia" w:ascii="宋体" w:hAnsi="宋体" w:eastAsia="宋体" w:cs="宋体"/>
          <w:color w:val="000000"/>
          <w:kern w:val="2"/>
          <w:sz w:val="32"/>
          <w:szCs w:val="32"/>
          <w:lang w:val="en-US" w:eastAsia="zh-CN"/>
        </w:rPr>
        <w:t>8</w:t>
      </w:r>
      <w:r>
        <w:rPr>
          <w:rFonts w:hint="eastAsia" w:ascii="宋体" w:hAnsi="宋体" w:eastAsia="宋体" w:cs="宋体"/>
          <w:color w:val="000000"/>
          <w:kern w:val="2"/>
          <w:sz w:val="32"/>
          <w:szCs w:val="32"/>
        </w:rPr>
        <w:t>人，实有人数</w:t>
      </w:r>
      <w:r>
        <w:rPr>
          <w:rFonts w:hint="eastAsia" w:ascii="宋体" w:hAnsi="宋体" w:eastAsia="宋体" w:cs="宋体"/>
          <w:color w:val="000000"/>
          <w:kern w:val="2"/>
          <w:sz w:val="32"/>
          <w:szCs w:val="32"/>
          <w:lang w:val="en-US" w:eastAsia="zh-CN"/>
        </w:rPr>
        <w:t>8</w:t>
      </w:r>
      <w:r>
        <w:rPr>
          <w:rFonts w:hint="eastAsia" w:ascii="宋体" w:hAnsi="宋体" w:eastAsia="宋体" w:cs="宋体"/>
          <w:color w:val="000000"/>
          <w:kern w:val="2"/>
          <w:sz w:val="32"/>
          <w:szCs w:val="32"/>
        </w:rPr>
        <w:t>人</w:t>
      </w:r>
    </w:p>
    <w:p>
      <w:pPr>
        <w:numPr>
          <w:ilvl w:val="0"/>
          <w:numId w:val="0"/>
        </w:numPr>
        <w:spacing w:line="480" w:lineRule="auto"/>
        <w:ind w:firstLine="643" w:firstLineChars="200"/>
        <w:jc w:val="left"/>
        <w:rPr>
          <w:color w:val="auto"/>
        </w:rPr>
      </w:pPr>
      <w:r>
        <w:rPr>
          <w:rFonts w:hint="eastAsia" w:ascii="宋体" w:hAnsi="宋体" w:eastAsia="宋体" w:cs="宋体"/>
          <w:b/>
          <w:bCs/>
          <w:i w:val="0"/>
          <w:iCs w:val="0"/>
          <w:caps w:val="0"/>
          <w:color w:val="auto"/>
          <w:spacing w:val="0"/>
          <w:sz w:val="32"/>
          <w:szCs w:val="32"/>
          <w:shd w:val="clear" w:fill="FFFFFF"/>
          <w:lang w:val="en-US" w:eastAsia="zh-CN"/>
        </w:rPr>
        <w:t>（二）主要工作职责</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000000"/>
          <w:spacing w:val="0"/>
          <w:sz w:val="32"/>
          <w:szCs w:val="32"/>
          <w:lang w:val="en-US" w:eastAsia="zh-CN"/>
        </w:rPr>
        <w:t>此项内容依法不予公开。</w:t>
      </w:r>
    </w:p>
    <w:p>
      <w:pPr>
        <w:numPr>
          <w:ilvl w:val="0"/>
          <w:numId w:val="0"/>
        </w:numPr>
        <w:spacing w:line="480" w:lineRule="auto"/>
        <w:jc w:val="left"/>
        <w:rPr>
          <w:rFonts w:hint="eastAsia" w:ascii="宋体" w:hAnsi="宋体" w:eastAsia="宋体" w:cs="宋体"/>
          <w:b/>
          <w:bCs/>
          <w:i w:val="0"/>
          <w:iCs w:val="0"/>
          <w:caps w:val="0"/>
          <w:color w:val="auto"/>
          <w:spacing w:val="0"/>
          <w:sz w:val="32"/>
          <w:szCs w:val="32"/>
          <w:shd w:val="clear" w:fill="FFFFFF"/>
        </w:rPr>
      </w:pPr>
      <w:r>
        <w:rPr>
          <w:rFonts w:hint="eastAsia" w:ascii="宋体" w:hAnsi="宋体" w:eastAsia="宋体" w:cs="宋体"/>
          <w:b/>
          <w:bCs/>
          <w:i w:val="0"/>
          <w:iCs w:val="0"/>
          <w:caps w:val="0"/>
          <w:color w:val="auto"/>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（一）预算执行情况</w:t>
      </w:r>
    </w:p>
    <w:p>
      <w:pPr>
        <w:spacing w:line="480" w:lineRule="auto"/>
        <w:ind w:firstLine="640" w:firstLineChars="200"/>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kern w:val="2"/>
          <w:sz w:val="32"/>
          <w:szCs w:val="32"/>
          <w:lang w:val="en-US" w:eastAsia="zh-CN" w:bidi="ar"/>
        </w:rPr>
        <w:t>2022年本部门全年预算数125.57万元，本年实际支出</w:t>
      </w:r>
      <w:r>
        <w:rPr>
          <w:rFonts w:hint="eastAsia" w:ascii="宋体" w:hAnsi="宋体" w:eastAsia="宋体" w:cs="宋体"/>
          <w:i w:val="0"/>
          <w:iCs w:val="0"/>
          <w:caps w:val="0"/>
          <w:color w:val="000000"/>
          <w:spacing w:val="0"/>
          <w:sz w:val="32"/>
          <w:szCs w:val="32"/>
          <w:lang w:val="en-US" w:eastAsia="zh-CN"/>
        </w:rPr>
        <w:t>164.33</w:t>
      </w:r>
      <w:r>
        <w:rPr>
          <w:rFonts w:hint="eastAsia" w:ascii="宋体" w:hAnsi="宋体" w:eastAsia="宋体" w:cs="宋体"/>
          <w:i w:val="0"/>
          <w:iCs w:val="0"/>
          <w:caps w:val="0"/>
          <w:color w:val="000000"/>
          <w:spacing w:val="0"/>
          <w:sz w:val="32"/>
          <w:szCs w:val="32"/>
        </w:rPr>
        <w:t>万元</w:t>
      </w:r>
      <w:r>
        <w:rPr>
          <w:rFonts w:hint="eastAsia" w:ascii="宋体" w:hAnsi="宋体" w:eastAsia="宋体" w:cs="宋体"/>
          <w:i w:val="0"/>
          <w:iCs w:val="0"/>
          <w:caps w:val="0"/>
          <w:color w:val="000000"/>
          <w:spacing w:val="0"/>
          <w:sz w:val="32"/>
          <w:szCs w:val="32"/>
          <w:lang w:eastAsia="zh-CN"/>
        </w:rPr>
        <w:t>，完成全年预算的</w:t>
      </w:r>
      <w:r>
        <w:rPr>
          <w:rFonts w:hint="eastAsia" w:ascii="宋体" w:hAnsi="宋体" w:eastAsia="宋体" w:cs="宋体"/>
          <w:i w:val="0"/>
          <w:iCs w:val="0"/>
          <w:caps w:val="0"/>
          <w:color w:val="000000"/>
          <w:spacing w:val="0"/>
          <w:sz w:val="32"/>
          <w:szCs w:val="32"/>
          <w:lang w:val="en-US" w:eastAsia="zh-CN"/>
        </w:rPr>
        <w:t>130.87%</w:t>
      </w:r>
      <w:r>
        <w:rPr>
          <w:rFonts w:hint="eastAsia" w:ascii="宋体" w:hAnsi="宋体" w:eastAsia="宋体" w:cs="宋体"/>
          <w:i w:val="0"/>
          <w:iCs w:val="0"/>
          <w:caps w:val="0"/>
          <w:color w:val="000000"/>
          <w:spacing w:val="0"/>
          <w:sz w:val="32"/>
          <w:szCs w:val="32"/>
        </w:rPr>
        <w:t>。与上一年度相比，</w:t>
      </w:r>
      <w:r>
        <w:rPr>
          <w:rFonts w:hint="eastAsia" w:ascii="宋体" w:hAnsi="宋体" w:eastAsia="宋体" w:cs="宋体"/>
          <w:i w:val="0"/>
          <w:iCs w:val="0"/>
          <w:caps w:val="0"/>
          <w:color w:val="000000"/>
          <w:spacing w:val="0"/>
          <w:sz w:val="32"/>
          <w:szCs w:val="32"/>
          <w:lang w:eastAsia="zh-CN"/>
        </w:rPr>
        <w:t>实际支出</w:t>
      </w:r>
      <w:r>
        <w:rPr>
          <w:rFonts w:hint="eastAsia" w:ascii="宋体" w:hAnsi="宋体" w:eastAsia="宋体" w:cs="宋体"/>
          <w:i w:val="0"/>
          <w:iCs w:val="0"/>
          <w:caps w:val="0"/>
          <w:color w:val="000000"/>
          <w:spacing w:val="0"/>
          <w:sz w:val="32"/>
          <w:szCs w:val="32"/>
          <w:lang w:val="en-US" w:eastAsia="zh-CN"/>
        </w:rPr>
        <w:t>增加26.77</w:t>
      </w:r>
      <w:r>
        <w:rPr>
          <w:rFonts w:hint="eastAsia" w:ascii="宋体" w:hAnsi="宋体" w:eastAsia="宋体" w:cs="宋体"/>
          <w:i w:val="0"/>
          <w:iCs w:val="0"/>
          <w:caps w:val="0"/>
          <w:color w:val="000000"/>
          <w:spacing w:val="0"/>
          <w:sz w:val="32"/>
          <w:szCs w:val="32"/>
        </w:rPr>
        <w:t>万元，</w:t>
      </w:r>
      <w:r>
        <w:rPr>
          <w:rFonts w:hint="eastAsia" w:ascii="宋体" w:hAnsi="宋体" w:eastAsia="宋体" w:cs="宋体"/>
          <w:i w:val="0"/>
          <w:iCs w:val="0"/>
          <w:caps w:val="0"/>
          <w:color w:val="000000"/>
          <w:spacing w:val="0"/>
          <w:sz w:val="32"/>
          <w:szCs w:val="32"/>
          <w:lang w:val="en-US" w:eastAsia="zh-CN"/>
        </w:rPr>
        <w:t>上升19.46</w:t>
      </w:r>
      <w:r>
        <w:rPr>
          <w:rFonts w:hint="eastAsia" w:ascii="宋体" w:hAnsi="宋体" w:eastAsia="宋体" w:cs="宋体"/>
          <w:i w:val="0"/>
          <w:iCs w:val="0"/>
          <w:caps w:val="0"/>
          <w:color w:val="000000"/>
          <w:spacing w:val="0"/>
          <w:sz w:val="32"/>
          <w:szCs w:val="32"/>
        </w:rPr>
        <w:t>%。主要原因是</w:t>
      </w:r>
      <w:r>
        <w:rPr>
          <w:rFonts w:hint="eastAsia" w:ascii="宋体" w:hAnsi="宋体" w:eastAsia="宋体" w:cs="宋体"/>
          <w:i w:val="0"/>
          <w:iCs w:val="0"/>
          <w:caps w:val="0"/>
          <w:color w:val="000000"/>
          <w:spacing w:val="0"/>
          <w:sz w:val="32"/>
          <w:szCs w:val="32"/>
          <w:lang w:val="en-US" w:eastAsia="zh-CN"/>
        </w:rPr>
        <w:t>人员经费和公用经费的增加。</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2022年度收入合计</w:t>
      </w:r>
      <w:r>
        <w:rPr>
          <w:rFonts w:hint="eastAsia" w:ascii="宋体" w:hAnsi="宋体" w:eastAsia="宋体" w:cs="宋体"/>
          <w:i w:val="0"/>
          <w:iCs w:val="0"/>
          <w:caps w:val="0"/>
          <w:color w:val="000000"/>
          <w:spacing w:val="0"/>
          <w:sz w:val="32"/>
          <w:szCs w:val="32"/>
          <w:lang w:val="en-US" w:eastAsia="zh-CN"/>
        </w:rPr>
        <w:t>164.33</w:t>
      </w:r>
      <w:r>
        <w:rPr>
          <w:rFonts w:hint="eastAsia" w:ascii="宋体" w:hAnsi="宋体" w:eastAsia="宋体" w:cs="宋体"/>
          <w:i w:val="0"/>
          <w:iCs w:val="0"/>
          <w:caps w:val="0"/>
          <w:color w:val="000000"/>
          <w:spacing w:val="0"/>
          <w:sz w:val="32"/>
          <w:szCs w:val="32"/>
        </w:rPr>
        <w:t>万元，其中：财政拨款收入</w:t>
      </w:r>
      <w:r>
        <w:rPr>
          <w:rFonts w:hint="eastAsia" w:ascii="宋体" w:hAnsi="宋体" w:eastAsia="宋体" w:cs="宋体"/>
          <w:i w:val="0"/>
          <w:iCs w:val="0"/>
          <w:caps w:val="0"/>
          <w:color w:val="000000"/>
          <w:spacing w:val="0"/>
          <w:sz w:val="32"/>
          <w:szCs w:val="32"/>
          <w:lang w:val="en-US" w:eastAsia="zh-CN"/>
        </w:rPr>
        <w:t>162.49</w:t>
      </w:r>
      <w:r>
        <w:rPr>
          <w:rFonts w:hint="eastAsia" w:ascii="宋体" w:hAnsi="宋体" w:eastAsia="宋体" w:cs="宋体"/>
          <w:i w:val="0"/>
          <w:iCs w:val="0"/>
          <w:caps w:val="0"/>
          <w:color w:val="000000"/>
          <w:spacing w:val="0"/>
          <w:sz w:val="32"/>
          <w:szCs w:val="32"/>
        </w:rPr>
        <w:t>万元，占</w:t>
      </w:r>
      <w:r>
        <w:rPr>
          <w:rFonts w:hint="eastAsia" w:ascii="宋体" w:hAnsi="宋体" w:eastAsia="宋体" w:cs="宋体"/>
          <w:i w:val="0"/>
          <w:iCs w:val="0"/>
          <w:caps w:val="0"/>
          <w:color w:val="000000"/>
          <w:spacing w:val="0"/>
          <w:sz w:val="32"/>
          <w:szCs w:val="32"/>
          <w:lang w:val="en-US" w:eastAsia="zh-CN"/>
        </w:rPr>
        <w:t>98.88</w:t>
      </w:r>
      <w:r>
        <w:rPr>
          <w:rFonts w:hint="eastAsia" w:ascii="宋体" w:hAnsi="宋体" w:eastAsia="宋体" w:cs="宋体"/>
          <w:i w:val="0"/>
          <w:iCs w:val="0"/>
          <w:caps w:val="0"/>
          <w:color w:val="000000"/>
          <w:spacing w:val="0"/>
          <w:sz w:val="32"/>
          <w:szCs w:val="32"/>
        </w:rPr>
        <w:t>%；上级补助收入0万元，占0%；事业收入0万元，占0%；经营收入0万元，占0%；附属单位上缴收入0万元，占0%；其他收入</w:t>
      </w:r>
      <w:r>
        <w:rPr>
          <w:rFonts w:hint="eastAsia" w:ascii="宋体" w:hAnsi="宋体" w:eastAsia="宋体" w:cs="宋体"/>
          <w:i w:val="0"/>
          <w:iCs w:val="0"/>
          <w:caps w:val="0"/>
          <w:color w:val="000000"/>
          <w:spacing w:val="0"/>
          <w:sz w:val="32"/>
          <w:szCs w:val="32"/>
          <w:lang w:val="en-US" w:eastAsia="zh-CN"/>
        </w:rPr>
        <w:t>1.84</w:t>
      </w:r>
      <w:r>
        <w:rPr>
          <w:rFonts w:hint="eastAsia" w:ascii="宋体" w:hAnsi="宋体" w:eastAsia="宋体" w:cs="宋体"/>
          <w:i w:val="0"/>
          <w:iCs w:val="0"/>
          <w:caps w:val="0"/>
          <w:color w:val="000000"/>
          <w:spacing w:val="0"/>
          <w:sz w:val="32"/>
          <w:szCs w:val="32"/>
        </w:rPr>
        <w:t>万元，占</w:t>
      </w:r>
      <w:r>
        <w:rPr>
          <w:rFonts w:hint="eastAsia" w:ascii="宋体" w:hAnsi="宋体" w:eastAsia="宋体" w:cs="宋体"/>
          <w:i w:val="0"/>
          <w:iCs w:val="0"/>
          <w:caps w:val="0"/>
          <w:color w:val="000000"/>
          <w:spacing w:val="0"/>
          <w:sz w:val="32"/>
          <w:szCs w:val="32"/>
          <w:lang w:val="en-US" w:eastAsia="zh-CN"/>
        </w:rPr>
        <w:t>1.12</w:t>
      </w:r>
      <w:r>
        <w:rPr>
          <w:rFonts w:hint="eastAsia" w:ascii="宋体" w:hAnsi="宋体" w:eastAsia="宋体" w:cs="宋体"/>
          <w:i w:val="0"/>
          <w:iCs w:val="0"/>
          <w:caps w:val="0"/>
          <w:color w:val="000000"/>
          <w:spacing w:val="0"/>
          <w:sz w:val="32"/>
          <w:szCs w:val="32"/>
        </w:rPr>
        <w:t>%</w:t>
      </w:r>
    </w:p>
    <w:p>
      <w:pPr>
        <w:spacing w:line="480" w:lineRule="auto"/>
        <w:ind w:firstLine="640" w:firstLineChars="200"/>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000000"/>
          <w:spacing w:val="0"/>
          <w:sz w:val="32"/>
          <w:szCs w:val="32"/>
        </w:rPr>
        <w:t>2022年度支出合计</w:t>
      </w:r>
      <w:r>
        <w:rPr>
          <w:rFonts w:hint="eastAsia" w:ascii="宋体" w:hAnsi="宋体" w:eastAsia="宋体" w:cs="宋体"/>
          <w:i w:val="0"/>
          <w:iCs w:val="0"/>
          <w:caps w:val="0"/>
          <w:color w:val="000000"/>
          <w:spacing w:val="0"/>
          <w:sz w:val="32"/>
          <w:szCs w:val="32"/>
          <w:lang w:val="en-US" w:eastAsia="zh-CN"/>
        </w:rPr>
        <w:t>164.33</w:t>
      </w:r>
      <w:r>
        <w:rPr>
          <w:rFonts w:hint="eastAsia" w:ascii="宋体" w:hAnsi="宋体" w:eastAsia="宋体" w:cs="宋体"/>
          <w:i w:val="0"/>
          <w:iCs w:val="0"/>
          <w:caps w:val="0"/>
          <w:color w:val="000000"/>
          <w:spacing w:val="0"/>
          <w:sz w:val="32"/>
          <w:szCs w:val="32"/>
        </w:rPr>
        <w:t>万元，其中：基本支出</w:t>
      </w:r>
      <w:r>
        <w:rPr>
          <w:rFonts w:hint="eastAsia" w:ascii="宋体" w:hAnsi="宋体" w:eastAsia="宋体" w:cs="宋体"/>
          <w:i w:val="0"/>
          <w:iCs w:val="0"/>
          <w:caps w:val="0"/>
          <w:color w:val="000000"/>
          <w:spacing w:val="0"/>
          <w:sz w:val="32"/>
          <w:szCs w:val="32"/>
          <w:lang w:val="en-US" w:eastAsia="zh-CN"/>
        </w:rPr>
        <w:t>164.33</w:t>
      </w:r>
      <w:r>
        <w:rPr>
          <w:rFonts w:hint="eastAsia" w:ascii="宋体" w:hAnsi="宋体" w:eastAsia="宋体" w:cs="宋体"/>
          <w:i w:val="0"/>
          <w:iCs w:val="0"/>
          <w:caps w:val="0"/>
          <w:color w:val="000000"/>
          <w:spacing w:val="0"/>
          <w:sz w:val="32"/>
          <w:szCs w:val="32"/>
        </w:rPr>
        <w:t>万元，占100%；项目支出0万元，占0%；上缴上级支出0万元，占0%；经营支出0万元，占0%；对附属单位补助支出0万元，占0%。</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（二）基本支出情况</w:t>
      </w:r>
    </w:p>
    <w:p>
      <w:p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2022年度北塔区委网信办基本支出年初预算安排为</w:t>
      </w:r>
      <w:r>
        <w:rPr>
          <w:rFonts w:hint="eastAsia" w:ascii="宋体" w:hAnsi="宋体" w:eastAsia="宋体" w:cs="宋体"/>
          <w:i w:val="0"/>
          <w:iCs w:val="0"/>
          <w:caps w:val="0"/>
          <w:color w:val="000000"/>
          <w:spacing w:val="0"/>
          <w:sz w:val="32"/>
          <w:szCs w:val="32"/>
          <w:lang w:val="en-US" w:eastAsia="zh-CN"/>
        </w:rPr>
        <w:t>80.57</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万元，本年实际支出为</w:t>
      </w:r>
      <w:r>
        <w:rPr>
          <w:rFonts w:hint="eastAsia" w:ascii="宋体" w:hAnsi="宋体" w:eastAsia="宋体" w:cs="宋体"/>
          <w:i w:val="0"/>
          <w:iCs w:val="0"/>
          <w:caps w:val="0"/>
          <w:color w:val="000000"/>
          <w:spacing w:val="0"/>
          <w:sz w:val="32"/>
          <w:szCs w:val="32"/>
          <w:lang w:val="en-US" w:eastAsia="zh-CN"/>
        </w:rPr>
        <w:t>164.33</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万元，</w:t>
      </w:r>
    </w:p>
    <w:p>
      <w:p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主要为人员经费支出和公用经费支出，其中人员经费支出80.61万元、公用经费支出83.72万元。</w:t>
      </w:r>
    </w:p>
    <w:p>
      <w:pPr>
        <w:numPr>
          <w:ilvl w:val="0"/>
          <w:numId w:val="0"/>
        </w:numPr>
        <w:spacing w:line="480" w:lineRule="auto"/>
        <w:ind w:left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（三）项目支出情况</w:t>
      </w:r>
    </w:p>
    <w:p>
      <w:pPr>
        <w:numPr>
          <w:ilvl w:val="0"/>
          <w:numId w:val="0"/>
        </w:num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本年项目支出年初预算安排为45万元，本年实际支出为0万元，本部门2022年度无项目支出。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643" w:firstLineChars="200"/>
        <w:jc w:val="both"/>
        <w:rPr>
          <w:rFonts w:hint="eastAsia" w:ascii="宋体" w:hAnsi="宋体" w:eastAsia="宋体" w:cs="宋体"/>
          <w:b/>
          <w:bCs/>
          <w:i w:val="0"/>
          <w:iCs w:val="0"/>
          <w:caps w:val="0"/>
          <w:color w:val="auto"/>
          <w:spacing w:val="0"/>
          <w:sz w:val="32"/>
          <w:szCs w:val="32"/>
          <w:highlight w:val="none"/>
          <w:shd w:val="clear" w:fill="FFFFFF"/>
        </w:rPr>
      </w:pPr>
      <w:r>
        <w:rPr>
          <w:rFonts w:hint="eastAsia" w:ascii="宋体" w:hAnsi="宋体" w:eastAsia="宋体" w:cs="宋体"/>
          <w:b/>
          <w:bCs/>
          <w:i w:val="0"/>
          <w:iCs w:val="0"/>
          <w:caps w:val="0"/>
          <w:color w:val="auto"/>
          <w:spacing w:val="0"/>
          <w:sz w:val="32"/>
          <w:szCs w:val="32"/>
          <w:highlight w:val="none"/>
          <w:shd w:val="clear" w:fill="FFFFFF"/>
          <w:lang w:val="en-US" w:eastAsia="zh-CN"/>
        </w:rPr>
        <w:t>三</w:t>
      </w:r>
      <w:r>
        <w:rPr>
          <w:rFonts w:hint="eastAsia" w:ascii="宋体" w:hAnsi="宋体" w:eastAsia="宋体" w:cs="宋体"/>
          <w:b/>
          <w:bCs/>
          <w:i w:val="0"/>
          <w:iCs w:val="0"/>
          <w:caps w:val="0"/>
          <w:color w:val="auto"/>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32"/>
          <w:szCs w:val="32"/>
          <w:highlight w:val="none"/>
          <w:shd w:val="clear" w:fill="FFFFFF"/>
        </w:rPr>
      </w:pPr>
      <w:r>
        <w:rPr>
          <w:rFonts w:hint="eastAsia" w:ascii="宋体" w:hAnsi="宋体" w:eastAsia="宋体" w:cs="宋体"/>
          <w:b/>
          <w:bCs/>
          <w:i w:val="0"/>
          <w:iCs w:val="0"/>
          <w:caps w:val="0"/>
          <w:color w:val="auto"/>
          <w:spacing w:val="0"/>
          <w:sz w:val="32"/>
          <w:szCs w:val="32"/>
          <w:highlight w:val="none"/>
          <w:shd w:val="clear" w:fill="FFFFFF"/>
        </w:rPr>
        <w:t>1、预算执行情况。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⑴2022年财政拨款预算执行数</w:t>
      </w:r>
      <w:r>
        <w:rPr>
          <w:rFonts w:hint="eastAsia" w:ascii="宋体" w:hAnsi="宋体" w:eastAsia="宋体" w:cs="宋体"/>
          <w:i w:val="0"/>
          <w:iCs w:val="0"/>
          <w:caps w:val="0"/>
          <w:color w:val="000000"/>
          <w:spacing w:val="0"/>
          <w:sz w:val="32"/>
          <w:szCs w:val="32"/>
          <w:lang w:val="en-US" w:eastAsia="zh-CN"/>
        </w:rPr>
        <w:t>164.33</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万元，预算安排数</w:t>
      </w:r>
      <w:r>
        <w:rPr>
          <w:rFonts w:hint="eastAsia" w:ascii="宋体" w:hAnsi="宋体" w:eastAsia="宋体" w:cs="宋体"/>
          <w:i w:val="0"/>
          <w:iCs w:val="0"/>
          <w:caps w:val="0"/>
          <w:color w:val="000000"/>
          <w:spacing w:val="0"/>
          <w:sz w:val="32"/>
          <w:szCs w:val="32"/>
          <w:lang w:val="en-US" w:eastAsia="zh-CN"/>
        </w:rPr>
        <w:t>125.57</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万元，预算执行率为</w:t>
      </w:r>
      <w:r>
        <w:rPr>
          <w:rFonts w:hint="eastAsia" w:ascii="宋体" w:hAnsi="宋体" w:eastAsia="宋体" w:cs="宋体"/>
          <w:i w:val="0"/>
          <w:iCs w:val="0"/>
          <w:caps w:val="0"/>
          <w:color w:val="000000"/>
          <w:spacing w:val="0"/>
          <w:sz w:val="32"/>
          <w:szCs w:val="32"/>
          <w:lang w:val="en-US" w:eastAsia="zh-CN"/>
        </w:rPr>
        <w:t>130.87</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当年预算有超支38.76万元。⑵公用经费预算54.46万元，实际支出83.72万元，公用经费控制率为153.73%；（3）“三公经费”年初预算安排0万元，实际支出0万元，（4）政府采购年初预算32万元，实际政府采购金额47.74万元，政府采购执行率149.18%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2、预决算信息公开情况。</w:t>
      </w:r>
      <w:r>
        <w:rPr>
          <w:rFonts w:hint="eastAsia" w:ascii="宋体" w:hAnsi="宋体" w:eastAsia="宋体" w:cs="宋体"/>
          <w:b w:val="0"/>
          <w:bCs w:val="0"/>
          <w:i w:val="0"/>
          <w:iCs w:val="0"/>
          <w:caps w:val="0"/>
          <w:color w:val="auto"/>
          <w:spacing w:val="0"/>
          <w:sz w:val="32"/>
          <w:szCs w:val="32"/>
          <w:highlight w:val="none"/>
          <w:shd w:val="clear" w:fill="FFFFFF"/>
          <w:lang w:eastAsia="zh-CN"/>
        </w:rPr>
        <w:t>北塔区</w:t>
      </w:r>
      <w:r>
        <w:rPr>
          <w:rFonts w:hint="eastAsia" w:ascii="宋体" w:hAnsi="宋体" w:eastAsia="宋体" w:cs="宋体"/>
          <w:b w:val="0"/>
          <w:bCs w:val="0"/>
          <w:i w:val="0"/>
          <w:iCs w:val="0"/>
          <w:caps w:val="0"/>
          <w:color w:val="auto"/>
          <w:spacing w:val="0"/>
          <w:sz w:val="32"/>
          <w:szCs w:val="32"/>
          <w:highlight w:val="none"/>
          <w:shd w:val="clear" w:fill="FFFFFF"/>
          <w:lang w:val="en-US" w:eastAsia="zh-CN"/>
        </w:rPr>
        <w:t>委网信办</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及时在区政</w:t>
      </w:r>
      <w:r>
        <w:rPr>
          <w:rFonts w:hint="eastAsia" w:ascii="宋体" w:hAnsi="宋体" w:eastAsia="宋体" w:cs="宋体"/>
          <w:i w:val="0"/>
          <w:iCs w:val="0"/>
          <w:caps w:val="0"/>
          <w:color w:val="auto"/>
          <w:spacing w:val="0"/>
          <w:kern w:val="2"/>
          <w:sz w:val="32"/>
          <w:szCs w:val="32"/>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shd w:val="clear" w:fill="FFFFFF"/>
          <w:lang w:val="en-US" w:eastAsia="zh-CN"/>
        </w:rPr>
        <w:t>3</w:t>
      </w:r>
      <w:r>
        <w:rPr>
          <w:rFonts w:hint="eastAsia" w:ascii="宋体" w:hAnsi="宋体" w:eastAsia="宋体" w:cs="宋体"/>
          <w:b/>
          <w:bCs/>
          <w:i w:val="0"/>
          <w:iCs w:val="0"/>
          <w:caps w:val="0"/>
          <w:color w:val="auto"/>
          <w:spacing w:val="0"/>
          <w:sz w:val="32"/>
          <w:szCs w:val="32"/>
          <w:shd w:val="clear" w:fill="FFFFFF"/>
        </w:rPr>
        <w:t>、资产管理情况。</w:t>
      </w:r>
      <w:r>
        <w:rPr>
          <w:rFonts w:hint="eastAsia" w:ascii="宋体" w:hAnsi="宋体" w:eastAsia="宋体" w:cs="宋体"/>
          <w:i w:val="0"/>
          <w:iCs w:val="0"/>
          <w:caps w:val="0"/>
          <w:color w:val="auto"/>
          <w:spacing w:val="0"/>
          <w:kern w:val="2"/>
          <w:sz w:val="32"/>
          <w:szCs w:val="32"/>
          <w:shd w:val="clear" w:fill="FFFFFF"/>
          <w:lang w:val="en-US" w:eastAsia="zh-CN" w:bidi="ar-SA"/>
        </w:rPr>
        <w:t>截止2022年12月31日，</w:t>
      </w:r>
      <w:r>
        <w:rPr>
          <w:rFonts w:hint="eastAsia" w:ascii="宋体" w:hAnsi="宋体" w:eastAsia="宋体" w:cs="宋体"/>
          <w:color w:val="auto"/>
          <w:sz w:val="32"/>
          <w:szCs w:val="32"/>
          <w:lang w:eastAsia="zh-CN"/>
        </w:rPr>
        <w:t>北塔区</w:t>
      </w:r>
      <w:r>
        <w:rPr>
          <w:rFonts w:hint="eastAsia" w:ascii="宋体" w:hAnsi="宋体" w:eastAsia="宋体" w:cs="宋体"/>
          <w:color w:val="auto"/>
          <w:sz w:val="32"/>
          <w:szCs w:val="32"/>
          <w:lang w:val="en-US" w:eastAsia="zh-CN"/>
        </w:rPr>
        <w:t>委网信办</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拥有各类资产总额7.65万元，其中流动资产2.78万元，固定资产净值4.87万元。单位为加强资产管理，内部制定了资产管理制度，</w:t>
      </w:r>
      <w:r>
        <w:rPr>
          <w:rFonts w:hint="eastAsia" w:ascii="宋体" w:hAnsi="宋体" w:eastAsia="宋体" w:cs="宋体"/>
          <w:i w:val="0"/>
          <w:iCs w:val="0"/>
          <w:caps w:val="0"/>
          <w:color w:val="auto"/>
          <w:spacing w:val="0"/>
          <w:kern w:val="2"/>
          <w:sz w:val="32"/>
          <w:szCs w:val="32"/>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1、</w:t>
      </w:r>
      <w:r>
        <w:rPr>
          <w:rFonts w:hint="eastAsia" w:ascii="宋体" w:hAnsi="宋体" w:eastAsia="宋体" w:cs="宋体"/>
          <w:b w:val="0"/>
          <w:bCs w:val="0"/>
          <w:sz w:val="32"/>
          <w:szCs w:val="32"/>
        </w:rPr>
        <w:t>预算执行</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预算管理</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为规范机关财务管理，建立健全财务管理制度，我</w:t>
      </w:r>
      <w:r>
        <w:rPr>
          <w:rFonts w:hint="eastAsia" w:ascii="宋体" w:hAnsi="宋体" w:eastAsia="宋体" w:cs="宋体"/>
          <w:b w:val="0"/>
          <w:bCs w:val="0"/>
          <w:sz w:val="32"/>
          <w:szCs w:val="32"/>
          <w:lang w:val="en-US" w:eastAsia="zh-CN"/>
        </w:rPr>
        <w:t>办</w:t>
      </w:r>
      <w:r>
        <w:rPr>
          <w:rFonts w:hint="eastAsia" w:ascii="宋体" w:hAnsi="宋体" w:eastAsia="宋体" w:cs="宋体"/>
          <w:b w:val="0"/>
          <w:bCs w:val="0"/>
          <w:sz w:val="32"/>
          <w:szCs w:val="32"/>
        </w:rPr>
        <w:t>根据《会计法》、《预算法》、《政府会计准则》等法律和财政部、省财政厅有关财务规章制度等一系列合法合规、较为完整的、具有很强的可操作性财务管理制度。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3、</w:t>
      </w:r>
      <w:r>
        <w:rPr>
          <w:rFonts w:hint="eastAsia" w:ascii="宋体" w:hAnsi="宋体" w:eastAsia="宋体" w:cs="宋体"/>
          <w:b w:val="0"/>
          <w:bCs w:val="0"/>
          <w:sz w:val="32"/>
          <w:szCs w:val="32"/>
        </w:rPr>
        <w:t>提升支出绩效</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202</w:t>
      </w: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年，我</w:t>
      </w:r>
      <w:r>
        <w:rPr>
          <w:rFonts w:hint="eastAsia" w:ascii="宋体" w:hAnsi="宋体" w:eastAsia="宋体" w:cs="宋体"/>
          <w:b w:val="0"/>
          <w:bCs w:val="0"/>
          <w:sz w:val="32"/>
          <w:szCs w:val="32"/>
          <w:lang w:val="en-US" w:eastAsia="zh-CN"/>
        </w:rPr>
        <w:t>办</w:t>
      </w:r>
      <w:r>
        <w:rPr>
          <w:rFonts w:hint="eastAsia" w:ascii="宋体" w:hAnsi="宋体" w:eastAsia="宋体" w:cs="宋体"/>
          <w:b w:val="0"/>
          <w:bCs w:val="0"/>
          <w:sz w:val="32"/>
          <w:szCs w:val="32"/>
        </w:rPr>
        <w:t>全面落实区委、区政府的各项工作部署，牢固树立发展意识，大力弘扬实干精神，扎实推进各项工作，各项工作任务全面完成，财务管理规范，单位行政运行稳定有序。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i w:val="0"/>
          <w:iCs w:val="0"/>
          <w:caps w:val="0"/>
          <w:color w:val="auto"/>
          <w:spacing w:val="0"/>
          <w:kern w:val="2"/>
          <w:sz w:val="32"/>
          <w:szCs w:val="32"/>
          <w:shd w:val="clear" w:fill="FFFFFF"/>
          <w:lang w:val="en-US" w:eastAsia="zh-CN" w:bidi="ar-SA"/>
        </w:rPr>
      </w:pPr>
      <w:r>
        <w:rPr>
          <w:rFonts w:hint="eastAsia" w:ascii="宋体" w:hAnsi="宋体" w:eastAsia="宋体" w:cs="宋体"/>
          <w:b w:val="0"/>
          <w:bCs w:val="0"/>
          <w:sz w:val="32"/>
          <w:szCs w:val="32"/>
          <w:lang w:val="en-US" w:eastAsia="zh-CN"/>
        </w:rPr>
        <w:t>4、</w:t>
      </w:r>
      <w:r>
        <w:rPr>
          <w:rFonts w:hint="eastAsia" w:ascii="宋体" w:hAnsi="宋体" w:eastAsia="宋体" w:cs="宋体"/>
          <w:b w:val="0"/>
          <w:bCs w:val="0"/>
          <w:sz w:val="32"/>
          <w:szCs w:val="32"/>
        </w:rPr>
        <w:t>评价结论</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我</w:t>
      </w:r>
      <w:r>
        <w:rPr>
          <w:rFonts w:hint="eastAsia" w:ascii="宋体" w:hAnsi="宋体" w:eastAsia="宋体" w:cs="宋体"/>
          <w:b w:val="0"/>
          <w:bCs w:val="0"/>
          <w:sz w:val="32"/>
          <w:szCs w:val="32"/>
          <w:lang w:val="en-US" w:eastAsia="zh-CN"/>
        </w:rPr>
        <w:t>办</w:t>
      </w:r>
      <w:r>
        <w:rPr>
          <w:rFonts w:hint="eastAsia" w:ascii="宋体" w:hAnsi="宋体" w:eastAsia="宋体" w:cs="宋体"/>
          <w:b w:val="0"/>
          <w:bCs w:val="0"/>
          <w:sz w:val="32"/>
          <w:szCs w:val="32"/>
        </w:rPr>
        <w:t>认真组织开展整体支出绩效自评，自评等级“良好”。</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存在的问题及原因分析</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预算编制不够明确和细化，预算编制的合理性需要提高，预算执行力还要进一步加强。资金使用效益有待进一步提高，绩效目标设立不够明确、细化和量化。</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人员素质有待提高。由于人员变动，单位对相关绩效管理业务的熟练，加上缺乏系统的培训，业务操作水平有限。</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leftChars="0" w:right="0" w:firstLine="420" w:firstLineChars="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改进措施及有关建议</w:t>
      </w:r>
    </w:p>
    <w:p>
      <w:pPr>
        <w:widowControl/>
        <w:spacing w:line="600" w:lineRule="exact"/>
        <w:ind w:firstLine="645"/>
        <w:jc w:val="left"/>
        <w:rPr>
          <w:rFonts w:hint="eastAsia" w:asciiTheme="minorEastAsia" w:hAnsiTheme="minorEastAsia" w:eastAsiaTheme="minorEastAsia" w:cstheme="minorEastAsia"/>
          <w:b w:val="0"/>
          <w:kern w:val="2"/>
          <w:sz w:val="32"/>
          <w:szCs w:val="32"/>
          <w:lang w:val="en-US" w:eastAsia="zh-CN" w:bidi="ar-SA"/>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b w:val="0"/>
          <w:kern w:val="2"/>
          <w:sz w:val="32"/>
          <w:szCs w:val="32"/>
          <w:lang w:val="en-US" w:eastAsia="zh-CN" w:bidi="ar-SA"/>
        </w:rPr>
        <w:t>1、细化预算编制工作，认真做好预算的编制。进一步加强内设机构的预算管理意识，严格按照预算编制的相关制度和要求进行预算编制。</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640" w:firstLineChars="200"/>
        <w:textAlignment w:val="auto"/>
        <w:rPr>
          <w:rFonts w:hint="eastAsia" w:asciiTheme="minorEastAsia" w:hAnsiTheme="minorEastAsia" w:eastAsiaTheme="minorEastAsia" w:cstheme="minorEastAsia"/>
          <w:b w:val="0"/>
          <w:kern w:val="2"/>
          <w:sz w:val="32"/>
          <w:szCs w:val="32"/>
          <w:lang w:val="en-US" w:eastAsia="zh-CN" w:bidi="ar-SA"/>
        </w:rPr>
      </w:pPr>
      <w:r>
        <w:rPr>
          <w:rFonts w:hint="eastAsia" w:asciiTheme="minorEastAsia" w:hAnsiTheme="minorEastAsia" w:eastAsiaTheme="minorEastAsia" w:cstheme="minorEastAsia"/>
          <w:b w:val="0"/>
          <w:kern w:val="2"/>
          <w:sz w:val="32"/>
          <w:szCs w:val="32"/>
          <w:lang w:val="en-US" w:eastAsia="zh-CN" w:bidi="ar-SA"/>
        </w:rPr>
        <w:t>加强政策学习，提高思想认识。组织相关人员认真学习《会计法》、《预算法》等相关法规、制度，提高业务人员的业务水平及思想认识，为绩效评价工作夯实基础。</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一级指标</w:t>
            </w:r>
          </w:p>
        </w:tc>
        <w:tc>
          <w:tcPr>
            <w:tcW w:w="429"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二级指标</w:t>
            </w:r>
          </w:p>
        </w:tc>
        <w:tc>
          <w:tcPr>
            <w:tcW w:w="567"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851"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三级   指标</w:t>
            </w:r>
          </w:p>
        </w:tc>
        <w:tc>
          <w:tcPr>
            <w:tcW w:w="567"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3118"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评价标准</w:t>
            </w:r>
          </w:p>
        </w:tc>
        <w:tc>
          <w:tcPr>
            <w:tcW w:w="3472"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备注</w:t>
            </w:r>
          </w:p>
        </w:tc>
        <w:tc>
          <w:tcPr>
            <w:tcW w:w="617" w:type="dxa"/>
            <w:noWrap/>
            <w:vAlign w:val="center"/>
          </w:tcPr>
          <w:p>
            <w:pPr>
              <w:widowControl/>
              <w:jc w:val="center"/>
              <w:rPr>
                <w:rFonts w:ascii="宋体" w:hAnsi="宋体" w:eastAsia="宋体" w:cs="宋体"/>
                <w:b/>
                <w:bCs/>
                <w:kern w:val="0"/>
                <w:sz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非税收入完成率=（2021年度非税实际收入完成数/2021年度非税收入预算数）×100%，有减免因素的，以非税局确定的为准。</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textDirection w:val="tbRlV"/>
            <w:vAlign w:val="center"/>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left"/>
              <w:rPr>
                <w:rFonts w:ascii="仿宋_GB2312" w:hAnsi="宋体" w:eastAsia="仿宋_GB2312" w:cs="宋体"/>
                <w:kern w:val="0"/>
                <w:sz w:val="20"/>
                <w:szCs w:val="20"/>
              </w:rPr>
            </w:pPr>
          </w:p>
        </w:tc>
        <w:tc>
          <w:tcPr>
            <w:tcW w:w="3472" w:type="dxa"/>
            <w:noWrap/>
            <w:vAlign w:val="center"/>
          </w:tcPr>
          <w:p>
            <w:pPr>
              <w:autoSpaceDN w:val="0"/>
              <w:jc w:val="left"/>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rPr>
                <w:rFonts w:ascii="仿宋_GB2312" w:hAnsi="宋体" w:eastAsia="仿宋_GB2312" w:cs="宋体"/>
                <w:kern w:val="0"/>
                <w:sz w:val="20"/>
                <w:szCs w:val="20"/>
              </w:rPr>
            </w:pPr>
          </w:p>
        </w:tc>
        <w:tc>
          <w:tcPr>
            <w:tcW w:w="3118" w:type="dxa"/>
            <w:tcBorders>
              <w:top w:val="single" w:color="auto" w:sz="4" w:space="0"/>
            </w:tcBorders>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ign w:val="center"/>
          </w:tcPr>
          <w:p>
            <w:pPr>
              <w:widowControl/>
              <w:jc w:val="left"/>
              <w:rPr>
                <w:rFonts w:ascii="仿宋_GB2312" w:hAnsi="宋体" w:eastAsia="仿宋_GB2312" w:cs="宋体"/>
                <w:kern w:val="0"/>
                <w:sz w:val="20"/>
                <w:szCs w:val="20"/>
              </w:rPr>
            </w:pPr>
          </w:p>
        </w:tc>
        <w:tc>
          <w:tcPr>
            <w:tcW w:w="617" w:type="dxa"/>
            <w:tcBorders>
              <w:top w:val="single" w:color="auto"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ign w:val="center"/>
          </w:tcPr>
          <w:p>
            <w:pPr>
              <w:jc w:val="center"/>
              <w:rPr>
                <w:rFonts w:ascii="仿宋_GB2312" w:hAnsi="宋体" w:eastAsia="仿宋_GB2312" w:cs="宋体"/>
                <w:kern w:val="0"/>
                <w:sz w:val="20"/>
                <w:szCs w:val="20"/>
              </w:rPr>
            </w:pPr>
          </w:p>
        </w:tc>
        <w:tc>
          <w:tcPr>
            <w:tcW w:w="851" w:type="dxa"/>
            <w:tcBorders>
              <w:top w:val="single" w:color="auto" w:sz="4" w:space="0"/>
            </w:tcBorders>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ign w:val="center"/>
          </w:tcPr>
          <w:p>
            <w:pPr>
              <w:widowControl/>
              <w:jc w:val="left"/>
              <w:rPr>
                <w:rFonts w:ascii="仿宋_GB2312" w:hAnsi="宋体" w:eastAsia="仿宋_GB2312" w:cs="宋体"/>
                <w:kern w:val="0"/>
                <w:sz w:val="20"/>
                <w:szCs w:val="20"/>
              </w:rPr>
            </w:pPr>
          </w:p>
        </w:tc>
        <w:tc>
          <w:tcPr>
            <w:tcW w:w="617" w:type="dxa"/>
            <w:tcBorders>
              <w:top w:val="single" w:color="auto"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ign w:val="center"/>
          </w:tcPr>
          <w:p>
            <w:pPr>
              <w:widowControl/>
              <w:jc w:val="left"/>
              <w:rPr>
                <w:rFonts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ign w:val="center"/>
          </w:tcPr>
          <w:p>
            <w:pPr>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ign w:val="center"/>
          </w:tcPr>
          <w:p>
            <w:pPr>
              <w:autoSpaceDN w:val="0"/>
              <w:jc w:val="left"/>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textDirection w:val="tbRlV"/>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工作</w:t>
            </w:r>
          </w:p>
          <w:p>
            <w:pPr>
              <w:rPr>
                <w:rFonts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ign w:val="center"/>
          </w:tcPr>
          <w:p>
            <w:pPr>
              <w:autoSpaceDN w:val="0"/>
              <w:jc w:val="left"/>
              <w:textAlignment w:val="center"/>
              <w:rPr>
                <w:rFonts w:ascii="仿宋_GB2312" w:hAnsi="宋体" w:eastAsia="仿宋_GB2312" w:cs="宋体"/>
                <w:kern w:val="0"/>
                <w:sz w:val="20"/>
                <w:szCs w:val="20"/>
              </w:rPr>
            </w:pPr>
          </w:p>
        </w:tc>
        <w:tc>
          <w:tcPr>
            <w:tcW w:w="617" w:type="dxa"/>
            <w:noWrap/>
            <w:vAlign w:val="center"/>
          </w:tcPr>
          <w:p>
            <w:pPr>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此三项指标可根据部门实际并结合2021年度部门整体支出绩效目标设立情况有选择的进行评价。</w:t>
            </w:r>
          </w:p>
        </w:tc>
        <w:tc>
          <w:tcPr>
            <w:tcW w:w="617" w:type="dxa"/>
            <w:vMerge w:val="restart"/>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ign w:val="center"/>
          </w:tcPr>
          <w:p>
            <w:pPr>
              <w:widowControl/>
              <w:rPr>
                <w:rFonts w:ascii="仿宋_GB2312" w:hAnsi="宋体" w:eastAsia="仿宋_GB2312" w:cs="宋体"/>
                <w:kern w:val="0"/>
                <w:sz w:val="20"/>
                <w:szCs w:val="20"/>
              </w:rPr>
            </w:pPr>
          </w:p>
        </w:tc>
        <w:tc>
          <w:tcPr>
            <w:tcW w:w="6590" w:type="dxa"/>
            <w:gridSpan w:val="2"/>
            <w:vMerge w:val="continue"/>
            <w:noWrap/>
            <w:vAlign w:val="center"/>
          </w:tcPr>
          <w:p>
            <w:pPr>
              <w:widowControl/>
              <w:jc w:val="left"/>
              <w:rPr>
                <w:rFonts w:ascii="仿宋_GB2312" w:hAnsi="宋体" w:eastAsia="仿宋_GB2312" w:cs="宋体"/>
                <w:kern w:val="0"/>
                <w:sz w:val="20"/>
                <w:szCs w:val="20"/>
              </w:rPr>
            </w:pPr>
          </w:p>
        </w:tc>
        <w:tc>
          <w:tcPr>
            <w:tcW w:w="617" w:type="dxa"/>
            <w:vMerge w:val="continue"/>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ign w:val="center"/>
          </w:tcPr>
          <w:p>
            <w:pPr>
              <w:widowControl/>
              <w:rPr>
                <w:rFonts w:ascii="仿宋_GB2312" w:hAnsi="宋体" w:eastAsia="仿宋_GB2312" w:cs="宋体"/>
                <w:kern w:val="0"/>
                <w:sz w:val="20"/>
                <w:szCs w:val="20"/>
              </w:rPr>
            </w:pPr>
          </w:p>
        </w:tc>
        <w:tc>
          <w:tcPr>
            <w:tcW w:w="6590" w:type="dxa"/>
            <w:gridSpan w:val="2"/>
            <w:vMerge w:val="continue"/>
            <w:noWrap/>
            <w:vAlign w:val="center"/>
          </w:tcPr>
          <w:p>
            <w:pPr>
              <w:widowControl/>
              <w:jc w:val="left"/>
              <w:rPr>
                <w:rFonts w:ascii="仿宋_GB2312" w:hAnsi="宋体" w:eastAsia="仿宋_GB2312" w:cs="宋体"/>
                <w:kern w:val="0"/>
                <w:sz w:val="20"/>
                <w:szCs w:val="20"/>
              </w:rPr>
            </w:pPr>
          </w:p>
        </w:tc>
        <w:tc>
          <w:tcPr>
            <w:tcW w:w="617" w:type="dxa"/>
            <w:vMerge w:val="continue"/>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92</w:t>
            </w:r>
          </w:p>
        </w:tc>
      </w:tr>
    </w:tbl>
    <w:p>
      <w:pPr>
        <w:pStyle w:val="2"/>
        <w:numPr>
          <w:ilvl w:val="0"/>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82F546"/>
    <w:multiLevelType w:val="singleLevel"/>
    <w:tmpl w:val="AA82F546"/>
    <w:lvl w:ilvl="0" w:tentative="0">
      <w:start w:val="1"/>
      <w:numFmt w:val="decimal"/>
      <w:suff w:val="nothing"/>
      <w:lvlText w:val="%1、"/>
      <w:lvlJc w:val="left"/>
    </w:lvl>
  </w:abstractNum>
  <w:abstractNum w:abstractNumId="1">
    <w:nsid w:val="3A0B0B33"/>
    <w:multiLevelType w:val="singleLevel"/>
    <w:tmpl w:val="3A0B0B33"/>
    <w:lvl w:ilvl="0" w:tentative="0">
      <w:start w:val="2"/>
      <w:numFmt w:val="chineseCounting"/>
      <w:suff w:val="nothing"/>
      <w:lvlText w:val="（%1）"/>
      <w:lvlJc w:val="left"/>
      <w:rPr>
        <w:rFonts w:hint="eastAsia"/>
      </w:rPr>
    </w:lvl>
  </w:abstractNum>
  <w:abstractNum w:abstractNumId="2">
    <w:nsid w:val="47A77A8D"/>
    <w:multiLevelType w:val="singleLevel"/>
    <w:tmpl w:val="47A77A8D"/>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M2ZmMTVmYTllNzRiYzA0YjM4OTkwOWUwMmQzMjgifQ=="/>
  </w:docVars>
  <w:rsids>
    <w:rsidRoot w:val="00000000"/>
    <w:rsid w:val="00554C33"/>
    <w:rsid w:val="006D6F3B"/>
    <w:rsid w:val="00D51644"/>
    <w:rsid w:val="01E943A0"/>
    <w:rsid w:val="025D08EA"/>
    <w:rsid w:val="02A74CAA"/>
    <w:rsid w:val="03AC38D7"/>
    <w:rsid w:val="0401638F"/>
    <w:rsid w:val="05213482"/>
    <w:rsid w:val="06381A01"/>
    <w:rsid w:val="09E17252"/>
    <w:rsid w:val="0CB87B60"/>
    <w:rsid w:val="0D5E3707"/>
    <w:rsid w:val="11E84674"/>
    <w:rsid w:val="126C42B4"/>
    <w:rsid w:val="13F06F65"/>
    <w:rsid w:val="17042185"/>
    <w:rsid w:val="17546308"/>
    <w:rsid w:val="17B648CC"/>
    <w:rsid w:val="17DD6E2C"/>
    <w:rsid w:val="1AED7481"/>
    <w:rsid w:val="1D9A1B96"/>
    <w:rsid w:val="1F010C8F"/>
    <w:rsid w:val="20F63895"/>
    <w:rsid w:val="23BE3486"/>
    <w:rsid w:val="25B43633"/>
    <w:rsid w:val="26166273"/>
    <w:rsid w:val="263761E7"/>
    <w:rsid w:val="29341AF5"/>
    <w:rsid w:val="2B032004"/>
    <w:rsid w:val="2C3A1B18"/>
    <w:rsid w:val="2C7529D1"/>
    <w:rsid w:val="2D6C05C8"/>
    <w:rsid w:val="2DB256DE"/>
    <w:rsid w:val="2E387A09"/>
    <w:rsid w:val="2F064022"/>
    <w:rsid w:val="2F434A73"/>
    <w:rsid w:val="3619015E"/>
    <w:rsid w:val="36334246"/>
    <w:rsid w:val="36E22B02"/>
    <w:rsid w:val="375C4F25"/>
    <w:rsid w:val="37A26170"/>
    <w:rsid w:val="38F247D2"/>
    <w:rsid w:val="3A365ACD"/>
    <w:rsid w:val="3B9303B2"/>
    <w:rsid w:val="3C8416D7"/>
    <w:rsid w:val="3D1D5E40"/>
    <w:rsid w:val="3E8065FB"/>
    <w:rsid w:val="3EA2250D"/>
    <w:rsid w:val="3FAB09ED"/>
    <w:rsid w:val="42B75037"/>
    <w:rsid w:val="43FF7B90"/>
    <w:rsid w:val="44AF5D78"/>
    <w:rsid w:val="45833892"/>
    <w:rsid w:val="45CB4E15"/>
    <w:rsid w:val="460A544F"/>
    <w:rsid w:val="47D12ED9"/>
    <w:rsid w:val="492E7EB7"/>
    <w:rsid w:val="49F7299F"/>
    <w:rsid w:val="4A4754D4"/>
    <w:rsid w:val="4ACA7AAB"/>
    <w:rsid w:val="4B991F60"/>
    <w:rsid w:val="4BA97CC9"/>
    <w:rsid w:val="4C455C43"/>
    <w:rsid w:val="4D113C42"/>
    <w:rsid w:val="4E58558A"/>
    <w:rsid w:val="4F1F0367"/>
    <w:rsid w:val="4F3501F1"/>
    <w:rsid w:val="4F7F18D7"/>
    <w:rsid w:val="4FB97D79"/>
    <w:rsid w:val="52C04276"/>
    <w:rsid w:val="53202F66"/>
    <w:rsid w:val="533A275A"/>
    <w:rsid w:val="54517DF8"/>
    <w:rsid w:val="551B7D70"/>
    <w:rsid w:val="55662023"/>
    <w:rsid w:val="55C776C9"/>
    <w:rsid w:val="575435C3"/>
    <w:rsid w:val="58CA4CA4"/>
    <w:rsid w:val="591C7D2C"/>
    <w:rsid w:val="59A70B1E"/>
    <w:rsid w:val="59E60318"/>
    <w:rsid w:val="5A8F08E8"/>
    <w:rsid w:val="5C4C0928"/>
    <w:rsid w:val="5C8E7193"/>
    <w:rsid w:val="5CBC5F90"/>
    <w:rsid w:val="5E6D1153"/>
    <w:rsid w:val="5E9959C3"/>
    <w:rsid w:val="5F83500A"/>
    <w:rsid w:val="5FFD5D5C"/>
    <w:rsid w:val="60745B56"/>
    <w:rsid w:val="611076B5"/>
    <w:rsid w:val="61371BA7"/>
    <w:rsid w:val="641F097E"/>
    <w:rsid w:val="65236940"/>
    <w:rsid w:val="65C43C25"/>
    <w:rsid w:val="664A41B0"/>
    <w:rsid w:val="66D16D4F"/>
    <w:rsid w:val="66FE6113"/>
    <w:rsid w:val="6B874FA2"/>
    <w:rsid w:val="6C3C4515"/>
    <w:rsid w:val="6C6B54E9"/>
    <w:rsid w:val="6C8B35B8"/>
    <w:rsid w:val="6CB322FE"/>
    <w:rsid w:val="6CF5198C"/>
    <w:rsid w:val="6EAF0EDC"/>
    <w:rsid w:val="6FD52562"/>
    <w:rsid w:val="70246EC1"/>
    <w:rsid w:val="70514092"/>
    <w:rsid w:val="70852420"/>
    <w:rsid w:val="71881FAB"/>
    <w:rsid w:val="725A006F"/>
    <w:rsid w:val="72DA6836"/>
    <w:rsid w:val="73125FD0"/>
    <w:rsid w:val="734F209E"/>
    <w:rsid w:val="76DC35F5"/>
    <w:rsid w:val="7832658D"/>
    <w:rsid w:val="785C568E"/>
    <w:rsid w:val="79074D5F"/>
    <w:rsid w:val="7A21330E"/>
    <w:rsid w:val="7A754286"/>
    <w:rsid w:val="7AF745AA"/>
    <w:rsid w:val="7B7D06A6"/>
    <w:rsid w:val="7CF23984"/>
    <w:rsid w:val="7D3D1E9B"/>
    <w:rsid w:val="7F066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Indent"/>
    <w:basedOn w:val="1"/>
    <w:semiHidden/>
    <w:qFormat/>
    <w:uiPriority w:val="99"/>
    <w:pPr>
      <w:spacing w:after="120"/>
      <w:ind w:left="420" w:leftChars="200"/>
    </w:p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autoRedefine/>
    <w:semiHidden/>
    <w:qFormat/>
    <w:uiPriority w:val="99"/>
    <w:pPr>
      <w:ind w:firstLine="420" w:firstLineChars="200"/>
    </w:pPr>
  </w:style>
  <w:style w:type="paragraph" w:customStyle="1" w:styleId="9">
    <w:name w:val="Default"/>
    <w:autoRedefine/>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1</TotalTime>
  <ScaleCrop>false</ScaleCrop>
  <LinksUpToDate>false</LinksUpToDate>
  <CharactersWithSpaces>2541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企业用户_314885341</cp:lastModifiedBy>
  <dcterms:modified xsi:type="dcterms:W3CDTF">2024-02-21T08:00:32Z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80C596F65C374DF9A47E3F5D27176F08_13</vt:lpwstr>
  </property>
</Properties>
</file>