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52"/>
          <w:szCs w:val="52"/>
          <w:lang w:val="en-US" w:eastAsia="zh-CN"/>
        </w:rPr>
      </w:pPr>
    </w:p>
    <w:p>
      <w:pPr>
        <w:jc w:val="center"/>
        <w:rPr>
          <w:rFonts w:hint="eastAsia" w:ascii="方正小标宋简体" w:hAnsi="方正小标宋简体" w:eastAsia="方正小标宋简体" w:cs="方正小标宋简体"/>
          <w:b/>
          <w:bCs/>
          <w:sz w:val="52"/>
          <w:szCs w:val="52"/>
          <w:lang w:val="en-US" w:eastAsia="zh-CN"/>
        </w:rPr>
      </w:pPr>
    </w:p>
    <w:p>
      <w:pPr>
        <w:jc w:val="center"/>
        <w:rPr>
          <w:rFonts w:hint="eastAsia" w:ascii="方正小标宋简体" w:hAnsi="方正小标宋简体" w:eastAsia="方正小标宋简体" w:cs="方正小标宋简体"/>
          <w:b/>
          <w:bCs/>
          <w:sz w:val="52"/>
          <w:szCs w:val="52"/>
          <w:lang w:val="en-US" w:eastAsia="zh-CN"/>
        </w:rPr>
      </w:pPr>
    </w:p>
    <w:p>
      <w:pPr>
        <w:jc w:val="center"/>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绩效评价报告</w:t>
      </w:r>
    </w:p>
    <w:p>
      <w:pPr>
        <w:widowControl/>
        <w:spacing w:line="360" w:lineRule="auto"/>
        <w:rPr>
          <w:rFonts w:hint="eastAsia" w:ascii="仿宋" w:hAnsi="仿宋" w:eastAsia="仿宋" w:cs="仿宋"/>
          <w:sz w:val="28"/>
          <w:szCs w:val="28"/>
        </w:rPr>
      </w:pPr>
    </w:p>
    <w:p>
      <w:pPr>
        <w:widowControl/>
        <w:spacing w:line="360" w:lineRule="auto"/>
        <w:ind w:firstLine="560" w:firstLineChars="200"/>
        <w:rPr>
          <w:rFonts w:hint="eastAsia" w:ascii="仿宋" w:hAnsi="仿宋" w:eastAsia="仿宋" w:cs="仿宋"/>
          <w:sz w:val="28"/>
          <w:szCs w:val="28"/>
        </w:rPr>
      </w:pPr>
    </w:p>
    <w:p>
      <w:pPr>
        <w:widowControl/>
        <w:spacing w:line="360" w:lineRule="auto"/>
        <w:ind w:firstLine="560" w:firstLineChars="200"/>
        <w:rPr>
          <w:rFonts w:hint="eastAsia" w:ascii="仿宋" w:hAnsi="仿宋" w:eastAsia="仿宋" w:cs="仿宋"/>
          <w:sz w:val="28"/>
          <w:szCs w:val="28"/>
        </w:rPr>
      </w:pPr>
    </w:p>
    <w:tbl>
      <w:tblPr>
        <w:tblStyle w:val="11"/>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5852" w:type="dxa"/>
            <w:tcBorders>
              <w:top w:val="nil"/>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北塔</w:t>
            </w:r>
            <w:r>
              <w:rPr>
                <w:rFonts w:hint="eastAsia" w:ascii="仿宋" w:hAnsi="仿宋" w:eastAsia="仿宋" w:cs="仿宋"/>
                <w:sz w:val="32"/>
                <w:szCs w:val="32"/>
                <w:u w:val="none"/>
                <w:vertAlign w:val="baseline"/>
                <w:lang w:eastAsia="zh-CN"/>
              </w:rPr>
              <w:t>区</w:t>
            </w:r>
            <w:r>
              <w:rPr>
                <w:rFonts w:hint="eastAsia" w:ascii="仿宋" w:hAnsi="仿宋" w:eastAsia="仿宋" w:cs="仿宋"/>
                <w:sz w:val="32"/>
                <w:szCs w:val="32"/>
                <w:u w:val="none"/>
                <w:vertAlign w:val="baseline"/>
                <w:lang w:val="en-US" w:eastAsia="zh-CN"/>
              </w:rPr>
              <w:t>2022</w:t>
            </w:r>
            <w:r>
              <w:rPr>
                <w:rFonts w:hint="eastAsia" w:ascii="仿宋" w:hAnsi="仿宋" w:eastAsia="仿宋" w:cs="仿宋"/>
                <w:sz w:val="32"/>
                <w:szCs w:val="32"/>
                <w:u w:val="none"/>
                <w:vertAlign w:val="baseline"/>
                <w:lang w:eastAsia="zh-CN"/>
              </w:rPr>
              <w:t>年度</w:t>
            </w:r>
            <w:r>
              <w:rPr>
                <w:rFonts w:hint="eastAsia" w:ascii="仿宋" w:hAnsi="仿宋" w:eastAsia="仿宋" w:cs="仿宋"/>
                <w:sz w:val="32"/>
                <w:szCs w:val="32"/>
                <w:u w:val="none"/>
                <w:vertAlign w:val="baseline"/>
                <w:lang w:val="en-US" w:eastAsia="zh-CN"/>
              </w:rPr>
              <w:t>邓家社区污水处理项目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项目单位：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tabs>
                <w:tab w:val="left" w:pos="1812"/>
              </w:tabs>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邵阳市北塔区田江街道办事处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委托单位：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jc w:val="center"/>
        <w:rPr>
          <w:rFonts w:eastAsia="仿宋_GB2312"/>
          <w:sz w:val="32"/>
          <w:szCs w:val="32"/>
          <w:u w:val="single"/>
        </w:rPr>
      </w:pPr>
    </w:p>
    <w:p>
      <w:pPr>
        <w:spacing w:before="156" w:beforeLines="50" w:after="156" w:afterLines="50" w:line="360" w:lineRule="auto"/>
        <w:ind w:firstLine="560" w:firstLineChars="200"/>
        <w:rPr>
          <w:rFonts w:hint="eastAsia" w:ascii="仿宋" w:hAnsi="仿宋" w:eastAsia="仿宋" w:cs="仿宋"/>
          <w:sz w:val="28"/>
          <w:szCs w:val="28"/>
          <w:u w:val="single"/>
        </w:rPr>
      </w:pPr>
    </w:p>
    <w:p>
      <w:pPr>
        <w:spacing w:before="156" w:beforeLines="50" w:after="156" w:afterLines="50" w:line="360" w:lineRule="auto"/>
        <w:ind w:left="1400" w:hanging="1400" w:hangingChars="500"/>
        <w:rPr>
          <w:rFonts w:hint="eastAsia" w:ascii="仿宋" w:hAnsi="仿宋" w:eastAsia="仿宋" w:cs="仿宋"/>
          <w:sz w:val="28"/>
          <w:szCs w:val="28"/>
        </w:rPr>
      </w:pPr>
    </w:p>
    <w:p>
      <w:pPr>
        <w:spacing w:before="156" w:beforeLines="50" w:after="156" w:afterLines="50" w:line="360" w:lineRule="auto"/>
        <w:rPr>
          <w:rFonts w:hint="eastAsia" w:ascii="仿宋" w:hAnsi="仿宋" w:eastAsia="仿宋" w:cs="仿宋"/>
          <w:sz w:val="28"/>
          <w:szCs w:val="28"/>
        </w:rPr>
      </w:pPr>
    </w:p>
    <w:p>
      <w:pPr>
        <w:ind w:firstLine="280" w:firstLineChars="100"/>
        <w:jc w:val="center"/>
      </w:pPr>
      <w:r>
        <w:rPr>
          <w:rFonts w:hint="eastAsia" w:ascii="仿宋" w:hAnsi="仿宋" w:eastAsia="仿宋" w:cs="仿宋"/>
          <w:sz w:val="28"/>
          <w:szCs w:val="28"/>
        </w:rPr>
        <w:t xml:space="preserve">  </w:t>
      </w:r>
      <w:r>
        <w:rPr>
          <w:rFonts w:hint="eastAsia" w:ascii="仿宋" w:hAnsi="仿宋" w:eastAsia="仿宋" w:cs="仿宋"/>
          <w:b/>
          <w:bCs/>
          <w:sz w:val="32"/>
          <w:szCs w:val="32"/>
        </w:rPr>
        <w:t>二○二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cs="仿宋"/>
          <w:b/>
          <w:bCs/>
          <w:color w:val="000000"/>
          <w:sz w:val="32"/>
          <w:szCs w:val="32"/>
          <w:lang w:val="en-US" w:eastAsia="zh-CN"/>
        </w:rPr>
        <w:t>十一</w:t>
      </w:r>
      <w:r>
        <w:rPr>
          <w:rFonts w:hint="eastAsia" w:ascii="仿宋" w:hAnsi="仿宋" w:eastAsia="仿宋" w:cs="仿宋"/>
          <w:b/>
          <w:bCs/>
          <w:color w:val="000000"/>
          <w:sz w:val="32"/>
          <w:szCs w:val="32"/>
        </w:rPr>
        <w:t>月</w:t>
      </w:r>
      <w:r>
        <w:rPr>
          <w:rFonts w:hint="eastAsia" w:cs="仿宋"/>
          <w:b/>
          <w:bCs/>
          <w:color w:val="000000"/>
          <w:sz w:val="32"/>
          <w:szCs w:val="32"/>
          <w:lang w:val="en-US" w:eastAsia="zh-CN"/>
        </w:rPr>
        <w:t>二十六</w:t>
      </w:r>
      <w:r>
        <w:rPr>
          <w:rFonts w:hint="eastAsia" w:ascii="仿宋" w:hAnsi="仿宋" w:eastAsia="仿宋" w:cs="仿宋"/>
          <w:b/>
          <w:bCs/>
          <w:color w:val="000000"/>
          <w:sz w:val="32"/>
          <w:szCs w:val="32"/>
        </w:rPr>
        <w:t>日</w:t>
      </w:r>
    </w:p>
    <w:p>
      <w:pPr>
        <w:spacing w:before="156" w:beforeLines="50" w:after="156" w:afterLines="50" w:line="360" w:lineRule="auto"/>
        <w:ind w:left="1400" w:hanging="1400" w:hangingChars="500"/>
        <w:jc w:val="cente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hint="eastAsia" w:ascii="仿宋" w:hAnsi="仿宋" w:eastAsia="仿宋" w:cs="仿宋"/>
          <w:color w:val="000000"/>
          <w:sz w:val="28"/>
          <w:szCs w:val="28"/>
          <w:shd w:val="clear" w:color="auto" w:fill="FFFFFF"/>
          <w:lang w:eastAsia="zh-CN"/>
        </w:rPr>
        <w:t>202</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]第</w:t>
      </w:r>
      <w:r>
        <w:rPr>
          <w:rFonts w:hint="eastAsia" w:ascii="仿宋" w:hAnsi="仿宋" w:eastAsia="仿宋" w:cs="仿宋"/>
          <w:color w:val="000000"/>
          <w:sz w:val="28"/>
          <w:szCs w:val="28"/>
          <w:shd w:val="clear" w:color="auto" w:fill="FFFFFF"/>
          <w:lang w:val="en-US" w:eastAsia="zh-CN"/>
        </w:rPr>
        <w:t>031</w:t>
      </w:r>
      <w:r>
        <w:rPr>
          <w:rFonts w:hint="eastAsia" w:ascii="仿宋" w:hAnsi="仿宋" w:eastAsia="仿宋" w:cs="仿宋"/>
          <w:color w:val="000000"/>
          <w:sz w:val="28"/>
          <w:szCs w:val="28"/>
          <w:shd w:val="clear" w:color="auto" w:fill="FFFFFF"/>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32"/>
          <w:szCs w:val="32"/>
          <w:lang w:eastAsia="zh-CN"/>
        </w:rPr>
      </w:pPr>
    </w:p>
    <w:p>
      <w:pPr>
        <w:spacing w:line="560" w:lineRule="exact"/>
        <w:jc w:val="center"/>
        <w:rPr>
          <w:rFonts w:hint="default" w:ascii="宋体" w:hAnsi="宋体" w:eastAsia="宋体" w:cs="Times New Roman"/>
          <w:b/>
          <w:bCs/>
          <w:sz w:val="36"/>
          <w:szCs w:val="36"/>
          <w:lang w:val="en-US"/>
        </w:rPr>
      </w:pPr>
      <w:r>
        <w:rPr>
          <w:rFonts w:hint="eastAsia" w:ascii="宋体" w:hAnsi="宋体" w:eastAsia="宋体" w:cs="Times New Roman"/>
          <w:b/>
          <w:bCs/>
          <w:sz w:val="36"/>
          <w:szCs w:val="36"/>
          <w:lang w:val="en-US" w:eastAsia="zh-CN"/>
        </w:rPr>
        <w:t>北塔</w:t>
      </w:r>
      <w:r>
        <w:rPr>
          <w:rFonts w:hint="eastAsia" w:ascii="宋体" w:hAnsi="宋体" w:eastAsia="宋体" w:cs="Times New Roman"/>
          <w:b/>
          <w:bCs/>
          <w:sz w:val="36"/>
          <w:szCs w:val="36"/>
          <w:lang w:eastAsia="zh-CN"/>
        </w:rPr>
        <w:t>区20</w:t>
      </w:r>
      <w:r>
        <w:rPr>
          <w:rFonts w:hint="eastAsia" w:ascii="宋体" w:hAnsi="宋体" w:eastAsia="宋体" w:cs="Times New Roman"/>
          <w:b/>
          <w:bCs/>
          <w:sz w:val="36"/>
          <w:szCs w:val="36"/>
          <w:lang w:val="en-US" w:eastAsia="zh-CN"/>
        </w:rPr>
        <w:t>22</w:t>
      </w:r>
      <w:r>
        <w:rPr>
          <w:rFonts w:hint="eastAsia" w:ascii="宋体" w:hAnsi="宋体" w:eastAsia="宋体" w:cs="Times New Roman"/>
          <w:b/>
          <w:bCs/>
          <w:sz w:val="36"/>
          <w:szCs w:val="36"/>
          <w:lang w:eastAsia="zh-CN"/>
        </w:rPr>
        <w:t>年度</w:t>
      </w:r>
      <w:r>
        <w:rPr>
          <w:rFonts w:hint="eastAsia" w:ascii="宋体" w:hAnsi="宋体" w:eastAsia="宋体" w:cs="Times New Roman"/>
          <w:b/>
          <w:bCs/>
          <w:sz w:val="36"/>
          <w:szCs w:val="36"/>
          <w:lang w:val="en-US" w:eastAsia="zh-CN"/>
        </w:rPr>
        <w:t>邓家社区污水处理项目</w:t>
      </w:r>
    </w:p>
    <w:p>
      <w:pPr>
        <w:spacing w:line="56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绩效评价报告</w:t>
      </w:r>
    </w:p>
    <w:p>
      <w:pPr>
        <w:spacing w:line="560" w:lineRule="exact"/>
        <w:jc w:val="center"/>
        <w:rPr>
          <w:rFonts w:hint="eastAsia" w:ascii="宋体" w:hAnsi="宋体" w:eastAsia="宋体" w:cs="Times New Roman"/>
          <w:b/>
          <w:bCs/>
          <w:sz w:val="36"/>
          <w:szCs w:val="36"/>
        </w:rPr>
      </w:pPr>
    </w:p>
    <w:p>
      <w:pPr>
        <w:spacing w:line="56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lang w:eastAsia="zh-CN"/>
        </w:rPr>
        <w:t>为全面掌握</w:t>
      </w:r>
      <w:r>
        <w:rPr>
          <w:rFonts w:hint="eastAsia" w:ascii="仿宋" w:hAnsi="仿宋" w:eastAsia="仿宋" w:cs="仿宋"/>
          <w:color w:val="000000"/>
          <w:sz w:val="28"/>
          <w:szCs w:val="28"/>
          <w:shd w:val="clear" w:color="auto" w:fill="FFFFFF"/>
          <w:lang w:val="en-US" w:eastAsia="zh-CN"/>
        </w:rPr>
        <w:t>北塔</w:t>
      </w:r>
      <w:r>
        <w:rPr>
          <w:rFonts w:hint="eastAsia" w:ascii="仿宋" w:hAnsi="仿宋" w:eastAsia="仿宋" w:cs="仿宋"/>
          <w:color w:val="000000"/>
          <w:sz w:val="28"/>
          <w:szCs w:val="28"/>
          <w:shd w:val="clear" w:color="auto" w:fill="FFFFFF"/>
          <w:lang w:eastAsia="zh-CN"/>
        </w:rPr>
        <w:t>区20</w:t>
      </w:r>
      <w:r>
        <w:rPr>
          <w:rFonts w:hint="eastAsia" w:ascii="仿宋" w:hAnsi="仿宋" w:eastAsia="仿宋" w:cs="仿宋"/>
          <w:color w:val="000000"/>
          <w:sz w:val="28"/>
          <w:szCs w:val="28"/>
          <w:shd w:val="clear" w:color="auto" w:fill="FFFFFF"/>
          <w:lang w:val="en-US" w:eastAsia="zh-CN"/>
        </w:rPr>
        <w:t>22</w:t>
      </w:r>
      <w:r>
        <w:rPr>
          <w:rFonts w:hint="eastAsia" w:ascii="仿宋" w:hAnsi="仿宋" w:eastAsia="仿宋" w:cs="仿宋"/>
          <w:color w:val="000000"/>
          <w:sz w:val="28"/>
          <w:szCs w:val="28"/>
          <w:shd w:val="clear" w:color="auto" w:fill="FFFFFF"/>
          <w:lang w:eastAsia="zh-CN"/>
        </w:rPr>
        <w:t>年度</w:t>
      </w:r>
      <w:r>
        <w:rPr>
          <w:rFonts w:hint="eastAsia" w:ascii="仿宋" w:hAnsi="仿宋" w:eastAsia="仿宋" w:cs="仿宋"/>
          <w:color w:val="000000"/>
          <w:sz w:val="28"/>
          <w:szCs w:val="28"/>
          <w:shd w:val="clear" w:color="auto" w:fill="FFFFFF"/>
          <w:lang w:val="en-US" w:eastAsia="zh-CN"/>
        </w:rPr>
        <w:t>邓家社区污水处理项目“一事一议”奖补资金使用情况及取得的效果，</w:t>
      </w:r>
      <w:r>
        <w:rPr>
          <w:rFonts w:hint="eastAsia" w:ascii="仿宋" w:hAnsi="仿宋" w:eastAsia="仿宋" w:cs="仿宋"/>
          <w:color w:val="000000"/>
          <w:sz w:val="28"/>
          <w:szCs w:val="28"/>
          <w:shd w:val="clear" w:color="auto" w:fill="FFFFFF"/>
          <w:lang w:eastAsia="zh-CN"/>
        </w:rPr>
        <w:t>进一步规范和加强专项资金管理，切实提高财政资金使用效益。根据</w:t>
      </w:r>
      <w:r>
        <w:rPr>
          <w:rFonts w:hint="eastAsia" w:ascii="仿宋" w:hAnsi="仿宋" w:eastAsia="仿宋" w:cs="仿宋"/>
          <w:color w:val="auto"/>
          <w:sz w:val="28"/>
          <w:szCs w:val="28"/>
          <w:highlight w:val="none"/>
        </w:rPr>
        <w:t>《中共中央国务院关于全面实施预算绩效管理的意见》（中发〔2018〕34号）、《财政部关于印发〈项目支出绩效评价管理办法〉的通知》（财预〔2020〕10号）和《中共湖南省委办公厅湖南省人民政府办公厅关于全面实施预算绩效管理的实施意见》（湘办发〔2019〕10号）等文件精神</w:t>
      </w:r>
      <w:r>
        <w:rPr>
          <w:rFonts w:hint="eastAsia" w:ascii="仿宋" w:hAnsi="仿宋" w:eastAsia="仿宋" w:cs="仿宋"/>
          <w:color w:val="000000"/>
          <w:sz w:val="28"/>
          <w:szCs w:val="28"/>
          <w:shd w:val="clear" w:color="auto" w:fill="FFFFFF"/>
          <w:lang w:eastAsia="zh-CN"/>
        </w:rPr>
        <w:t>的要求，受</w:t>
      </w:r>
      <w:r>
        <w:rPr>
          <w:rFonts w:hint="eastAsia" w:ascii="仿宋" w:hAnsi="仿宋" w:eastAsia="仿宋" w:cs="仿宋"/>
          <w:color w:val="000000"/>
          <w:sz w:val="28"/>
          <w:szCs w:val="28"/>
          <w:shd w:val="clear" w:color="auto" w:fill="FFFFFF"/>
          <w:lang w:val="en-US" w:eastAsia="zh-CN"/>
        </w:rPr>
        <w:t>邵阳市北塔区</w:t>
      </w:r>
      <w:r>
        <w:rPr>
          <w:rFonts w:hint="eastAsia" w:ascii="仿宋" w:hAnsi="仿宋" w:eastAsia="仿宋" w:cs="仿宋"/>
          <w:color w:val="000000"/>
          <w:sz w:val="28"/>
          <w:szCs w:val="28"/>
          <w:shd w:val="clear" w:color="auto" w:fill="FFFFFF"/>
          <w:lang w:eastAsia="zh-CN"/>
        </w:rPr>
        <w:t>财政局委托，湖南骏新联合会计师事务所</w:t>
      </w:r>
      <w:r>
        <w:rPr>
          <w:rFonts w:hint="eastAsia" w:ascii="仿宋" w:hAnsi="仿宋" w:eastAsia="仿宋" w:cs="仿宋"/>
          <w:color w:val="000000"/>
          <w:sz w:val="28"/>
          <w:szCs w:val="28"/>
          <w:shd w:val="clear" w:color="auto" w:fill="FFFFFF"/>
        </w:rPr>
        <w:t>（普通合伙）</w:t>
      </w:r>
      <w:r>
        <w:rPr>
          <w:rFonts w:hint="eastAsia" w:ascii="仿宋" w:hAnsi="仿宋" w:eastAsia="仿宋" w:cs="仿宋"/>
          <w:color w:val="000000"/>
          <w:sz w:val="28"/>
          <w:szCs w:val="28"/>
          <w:shd w:val="clear" w:color="auto" w:fill="FFFFFF"/>
          <w:lang w:eastAsia="zh-CN"/>
        </w:rPr>
        <w:t>组成</w:t>
      </w:r>
      <w:r>
        <w:rPr>
          <w:rFonts w:hint="eastAsia" w:ascii="仿宋" w:hAnsi="仿宋" w:eastAsia="仿宋" w:cs="仿宋"/>
          <w:color w:val="000000"/>
          <w:sz w:val="28"/>
          <w:szCs w:val="28"/>
          <w:shd w:val="clear" w:color="auto" w:fill="FFFFFF"/>
        </w:rPr>
        <w:t>绩效评价</w:t>
      </w:r>
      <w:r>
        <w:rPr>
          <w:rFonts w:hint="eastAsia" w:ascii="仿宋" w:hAnsi="仿宋" w:eastAsia="仿宋" w:cs="仿宋"/>
          <w:color w:val="000000"/>
          <w:sz w:val="28"/>
          <w:szCs w:val="28"/>
          <w:shd w:val="clear" w:color="auto" w:fill="FFFFFF"/>
          <w:lang w:eastAsia="zh-CN"/>
        </w:rPr>
        <w:t>小</w:t>
      </w:r>
      <w:r>
        <w:rPr>
          <w:rFonts w:hint="eastAsia" w:ascii="仿宋" w:hAnsi="仿宋" w:eastAsia="仿宋" w:cs="仿宋"/>
          <w:color w:val="000000"/>
          <w:sz w:val="28"/>
          <w:szCs w:val="28"/>
          <w:shd w:val="clear" w:color="auto" w:fill="FFFFFF"/>
        </w:rPr>
        <w:t>组，于</w:t>
      </w:r>
      <w:r>
        <w:rPr>
          <w:rFonts w:hint="eastAsia" w:ascii="仿宋" w:hAnsi="仿宋" w:eastAsia="仿宋" w:cs="仿宋"/>
          <w:color w:val="000000"/>
          <w:sz w:val="28"/>
          <w:szCs w:val="28"/>
          <w:shd w:val="clear" w:color="auto" w:fill="FFFFFF"/>
          <w:lang w:val="en-US" w:eastAsia="zh-CN"/>
        </w:rPr>
        <w:t>2023</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11</w:t>
      </w:r>
      <w:r>
        <w:rPr>
          <w:rFonts w:hint="eastAsia" w:ascii="仿宋" w:hAnsi="仿宋" w:eastAsia="仿宋" w:cs="仿宋"/>
          <w:color w:val="000000"/>
          <w:sz w:val="28"/>
          <w:szCs w:val="28"/>
          <w:shd w:val="clear" w:color="auto" w:fill="FFFFFF"/>
        </w:rPr>
        <w:t>月至</w:t>
      </w:r>
      <w:r>
        <w:rPr>
          <w:rFonts w:hint="eastAsia" w:ascii="仿宋" w:hAnsi="仿宋" w:eastAsia="仿宋" w:cs="仿宋"/>
          <w:color w:val="000000"/>
          <w:sz w:val="28"/>
          <w:szCs w:val="28"/>
          <w:shd w:val="clear" w:color="auto" w:fill="FFFFFF"/>
          <w:lang w:val="en-US" w:eastAsia="zh-CN"/>
        </w:rPr>
        <w:t>2023年12</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eastAsia="zh-CN"/>
        </w:rPr>
        <w:t>期间，</w:t>
      </w:r>
      <w:r>
        <w:rPr>
          <w:rFonts w:hint="eastAsia" w:ascii="仿宋" w:hAnsi="仿宋" w:eastAsia="仿宋" w:cs="仿宋"/>
          <w:color w:val="000000"/>
          <w:sz w:val="28"/>
          <w:szCs w:val="28"/>
          <w:shd w:val="clear" w:color="auto" w:fill="FFFFFF"/>
        </w:rPr>
        <w:t>对</w:t>
      </w:r>
      <w:r>
        <w:rPr>
          <w:rFonts w:hint="eastAsia" w:ascii="仿宋" w:hAnsi="仿宋" w:eastAsia="仿宋" w:cs="仿宋"/>
          <w:color w:val="000000"/>
          <w:sz w:val="28"/>
          <w:szCs w:val="28"/>
          <w:shd w:val="clear" w:color="auto" w:fill="FFFFFF"/>
          <w:lang w:val="en-US" w:eastAsia="zh-CN"/>
        </w:rPr>
        <w:t>北塔</w:t>
      </w:r>
      <w:r>
        <w:rPr>
          <w:rFonts w:hint="eastAsia" w:ascii="仿宋" w:hAnsi="仿宋" w:eastAsia="仿宋" w:cs="仿宋"/>
          <w:color w:val="000000"/>
          <w:sz w:val="28"/>
          <w:szCs w:val="28"/>
          <w:shd w:val="clear" w:color="auto" w:fill="FFFFFF"/>
          <w:lang w:eastAsia="zh-CN"/>
        </w:rPr>
        <w:t>区20</w:t>
      </w:r>
      <w:r>
        <w:rPr>
          <w:rFonts w:hint="eastAsia" w:ascii="仿宋" w:hAnsi="仿宋" w:eastAsia="仿宋" w:cs="仿宋"/>
          <w:color w:val="000000"/>
          <w:sz w:val="28"/>
          <w:szCs w:val="28"/>
          <w:shd w:val="clear" w:color="auto" w:fill="FFFFFF"/>
          <w:lang w:val="en-US" w:eastAsia="zh-CN"/>
        </w:rPr>
        <w:t>22</w:t>
      </w:r>
      <w:r>
        <w:rPr>
          <w:rFonts w:hint="eastAsia" w:ascii="仿宋" w:hAnsi="仿宋" w:eastAsia="仿宋" w:cs="仿宋"/>
          <w:color w:val="000000"/>
          <w:sz w:val="28"/>
          <w:szCs w:val="28"/>
          <w:shd w:val="clear" w:color="auto" w:fill="FFFFFF"/>
          <w:lang w:eastAsia="zh-CN"/>
        </w:rPr>
        <w:t>年度</w:t>
      </w:r>
      <w:r>
        <w:rPr>
          <w:rFonts w:hint="eastAsia" w:ascii="仿宋" w:hAnsi="仿宋" w:eastAsia="仿宋" w:cs="仿宋"/>
          <w:color w:val="000000"/>
          <w:sz w:val="28"/>
          <w:szCs w:val="28"/>
          <w:shd w:val="clear" w:color="auto" w:fill="FFFFFF"/>
          <w:lang w:val="en-US" w:eastAsia="zh-CN"/>
        </w:rPr>
        <w:t>邓家社区污水处理项目</w:t>
      </w:r>
      <w:r>
        <w:rPr>
          <w:rFonts w:hint="eastAsia" w:ascii="仿宋" w:hAnsi="仿宋" w:eastAsia="仿宋" w:cs="仿宋"/>
          <w:color w:val="000000"/>
          <w:sz w:val="28"/>
          <w:szCs w:val="28"/>
          <w:shd w:val="clear" w:color="auto" w:fill="FFFFFF"/>
          <w:lang w:eastAsia="zh-CN"/>
        </w:rPr>
        <w:t>实施了绩效评价，</w:t>
      </w:r>
      <w:r>
        <w:rPr>
          <w:rFonts w:hint="eastAsia" w:ascii="仿宋" w:hAnsi="仿宋" w:eastAsia="仿宋" w:cs="仿宋"/>
          <w:color w:val="000000"/>
          <w:sz w:val="28"/>
          <w:szCs w:val="28"/>
          <w:shd w:val="clear" w:color="auto" w:fill="FFFFFF"/>
        </w:rPr>
        <w:t>现将</w:t>
      </w:r>
      <w:r>
        <w:rPr>
          <w:rFonts w:hint="eastAsia" w:ascii="仿宋" w:hAnsi="仿宋" w:eastAsia="仿宋" w:cs="仿宋"/>
          <w:color w:val="000000"/>
          <w:sz w:val="28"/>
          <w:szCs w:val="28"/>
          <w:shd w:val="clear" w:color="auto" w:fill="FFFFFF"/>
          <w:lang w:eastAsia="zh-CN"/>
        </w:rPr>
        <w:t>具体</w:t>
      </w:r>
      <w:r>
        <w:rPr>
          <w:rFonts w:hint="eastAsia" w:ascii="仿宋" w:hAnsi="仿宋" w:eastAsia="仿宋" w:cs="仿宋"/>
          <w:color w:val="000000"/>
          <w:sz w:val="28"/>
          <w:szCs w:val="28"/>
          <w:shd w:val="clear" w:color="auto" w:fill="FFFFFF"/>
        </w:rPr>
        <w:t>情况报告如下</w:t>
      </w:r>
      <w:r>
        <w:rPr>
          <w:rFonts w:hint="eastAsia" w:ascii="仿宋" w:hAnsi="仿宋" w:eastAsia="仿宋" w:cs="仿宋"/>
          <w:color w:val="000000"/>
          <w:sz w:val="28"/>
          <w:szCs w:val="28"/>
          <w:shd w:val="clear" w:color="auto" w:fill="FFFFFF"/>
          <w:lang w:eastAsia="zh-CN"/>
        </w:rPr>
        <w:t>：</w:t>
      </w:r>
    </w:p>
    <w:p>
      <w:pPr>
        <w:pStyle w:val="2"/>
        <w:bidi w:val="0"/>
        <w:jc w:val="center"/>
        <w:rPr>
          <w:rFonts w:hint="eastAsia"/>
          <w:lang w:val="en-US" w:eastAsia="zh-CN"/>
        </w:rPr>
      </w:pPr>
      <w:r>
        <w:rPr>
          <w:rFonts w:hint="eastAsia"/>
          <w:lang w:val="en-US" w:eastAsia="zh-CN"/>
        </w:rPr>
        <w:t>摘要</w:t>
      </w:r>
    </w:p>
    <w:p>
      <w:pPr>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农村污水处理，是水利环境治理的重要组成部分，为振兴乡村发展，解决邓家社区一组污水排放问题，邵阳市北塔区田江街道邓家社区经四议两公开原则一致同意修建污水处理池，由于邓家社区集体经济困难，向邵阳市北塔区申请“一事一议”财政奖补资金来完成此次污水处理池的建设项目，本次评价的预算金额为10万元。</w:t>
      </w:r>
    </w:p>
    <w:p>
      <w:pPr>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工程地点为邵阳市北塔区田江街道邓家社区一组谢家院子（共有居民30余户，140余人），工程内容包括污水管网的安装、污水池的建设、砌明沟及安装盖板，根据工程量测算本合同内容承包总造价为¥100,000.00元邵阳市北塔区田江街道邓家社区居民委员会于2023年07月16日与邵阳市北塔区邓家村建筑劳务服务有限公司签署工程合同。</w:t>
      </w:r>
    </w:p>
    <w:p>
      <w:pPr>
        <w:ind w:firstLine="560" w:firstLineChars="200"/>
        <w:rPr>
          <w:rFonts w:hint="eastAsia" w:ascii="仿宋" w:hAnsi="仿宋" w:eastAsia="仿宋" w:cs="仿宋"/>
          <w:color w:val="auto"/>
          <w:lang w:val="en-US" w:eastAsia="zh-CN"/>
        </w:rPr>
      </w:pPr>
    </w:p>
    <w:p>
      <w:pPr>
        <w:ind w:firstLine="560" w:firstLineChars="200"/>
        <w:rPr>
          <w:rFonts w:hint="eastAsia" w:ascii="仿宋" w:hAnsi="仿宋" w:eastAsia="仿宋" w:cs="仿宋"/>
          <w:color w:val="auto"/>
          <w:lang w:val="en-US" w:eastAsia="zh-CN"/>
        </w:rPr>
      </w:pPr>
    </w:p>
    <w:p>
      <w:pPr>
        <w:ind w:firstLine="560" w:firstLineChars="200"/>
        <w:rPr>
          <w:rFonts w:hint="eastAsia" w:ascii="仿宋" w:hAnsi="仿宋" w:eastAsia="仿宋" w:cs="仿宋"/>
          <w:color w:val="auto"/>
          <w:lang w:val="en-US" w:eastAsia="zh-CN"/>
        </w:rPr>
      </w:pPr>
    </w:p>
    <w:p>
      <w:pPr>
        <w:ind w:firstLine="560" w:firstLineChars="200"/>
        <w:rPr>
          <w:rFonts w:hint="eastAsia" w:ascii="仿宋" w:hAnsi="仿宋" w:eastAsia="仿宋" w:cs="仿宋"/>
          <w:color w:val="auto"/>
          <w:lang w:val="en-US" w:eastAsia="zh-CN"/>
        </w:rPr>
      </w:pPr>
    </w:p>
    <w:p>
      <w:pPr>
        <w:ind w:firstLine="560" w:firstLineChars="200"/>
        <w:rPr>
          <w:rFonts w:hint="eastAsia" w:ascii="仿宋" w:hAnsi="仿宋" w:eastAsia="仿宋" w:cs="仿宋"/>
          <w:color w:val="auto"/>
          <w:lang w:val="en-US" w:eastAsia="zh-CN"/>
        </w:rPr>
      </w:pPr>
    </w:p>
    <w:p>
      <w:pPr>
        <w:ind w:firstLine="560" w:firstLineChars="200"/>
        <w:rPr>
          <w:rFonts w:hint="eastAsia" w:ascii="仿宋" w:hAnsi="仿宋" w:eastAsia="仿宋" w:cs="仿宋"/>
          <w:color w:val="auto"/>
          <w:lang w:val="en-US" w:eastAsia="zh-CN"/>
        </w:rPr>
      </w:pPr>
    </w:p>
    <w:p>
      <w:pPr>
        <w:ind w:firstLine="560" w:firstLineChars="200"/>
        <w:rPr>
          <w:rFonts w:hint="eastAsia" w:ascii="仿宋" w:hAnsi="仿宋" w:eastAsia="仿宋" w:cs="仿宋"/>
          <w:color w:val="auto"/>
          <w:lang w:val="en-US" w:eastAsia="zh-CN"/>
        </w:rPr>
      </w:pPr>
    </w:p>
    <w:p>
      <w:pPr>
        <w:pStyle w:val="2"/>
        <w:bidi w:val="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前言</w:t>
      </w:r>
    </w:p>
    <w:p>
      <w:pPr>
        <w:pageBreakBefore w:val="0"/>
        <w:kinsoku/>
        <w:wordWrap/>
        <w:topLinePunct w:val="0"/>
        <w:bidi w:val="0"/>
        <w:spacing w:line="540" w:lineRule="exact"/>
        <w:ind w:left="0" w:firstLine="560" w:firstLineChars="200"/>
        <w:textAlignment w:val="auto"/>
        <w:rPr>
          <w:rFonts w:hint="eastAsia" w:ascii="仿宋" w:hAnsi="仿宋" w:eastAsia="仿宋" w:cs="仿宋"/>
          <w:color w:val="auto"/>
          <w:lang w:val="en-US" w:eastAsia="zh-CN"/>
        </w:rPr>
      </w:pPr>
      <w:r>
        <w:rPr>
          <w:rFonts w:hint="eastAsia" w:ascii="仿宋" w:hAnsi="仿宋" w:eastAsia="仿宋" w:cs="仿宋"/>
          <w:color w:val="auto"/>
          <w:kern w:val="0"/>
          <w:sz w:val="28"/>
          <w:szCs w:val="28"/>
        </w:rPr>
        <w:t>为加强财政支出管理，提高财政资金使用效益，充分发挥财政资金的支持作用</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根据《财政部关于印发〈农村综合改革转移支付管理办法〉的通知》（财农[2021]36号）邵阳市北塔区财政局对田江街道邓家社区2022年污水处理项目展开绩效评价。湖南骏新联合会计师事务所受邵阳市北塔区财政局委托，对本项目进行具体评价工作，形成评价报告。</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项目基本情况</w:t>
      </w:r>
    </w:p>
    <w:p>
      <w:pPr>
        <w:pStyle w:val="3"/>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项目概况</w:t>
      </w:r>
    </w:p>
    <w:p>
      <w:pPr>
        <w:pStyle w:val="4"/>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1、立项背景及目的</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农村生活污水主要来源为居民日常生活排放的卫生间冲洗水、淋浴水、厨房污水以及日常清洗废水等，污水中污染物以有机物为主，含纤维素、淀粉、糖类、脂肪、蛋白质等，还含有氮、磷等无机盐类。农村生活污水未经处理直接排入周边</w:t>
      </w:r>
      <w:r>
        <w:rPr>
          <w:rFonts w:hint="eastAsia" w:ascii="仿宋" w:hAnsi="仿宋" w:eastAsia="仿宋" w:cs="仿宋"/>
          <w:color w:val="auto"/>
          <w:kern w:val="0"/>
          <w:sz w:val="28"/>
          <w:szCs w:val="28"/>
          <w:lang w:val="en-US" w:eastAsia="zh-CN"/>
        </w:rPr>
        <w:t>水塘</w:t>
      </w:r>
      <w:r>
        <w:rPr>
          <w:rFonts w:hint="eastAsia" w:ascii="仿宋" w:hAnsi="仿宋" w:eastAsia="仿宋" w:cs="仿宋"/>
          <w:color w:val="auto"/>
          <w:kern w:val="0"/>
          <w:sz w:val="28"/>
          <w:szCs w:val="28"/>
        </w:rPr>
        <w:t>，严重污染了农村生态环境</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居民多次向社区反映邓家社区一组污水排放问题，经支委提议、居两委商议、党员大会审议、居民代表大会决议一致通过，在邓家社区一组修建污水处理池一座。</w:t>
      </w:r>
    </w:p>
    <w:p>
      <w:pPr>
        <w:pStyle w:val="4"/>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2、资金来源及使用情况</w:t>
      </w:r>
    </w:p>
    <w:p>
      <w:pPr>
        <w:pStyle w:val="5"/>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（1）资金政策</w:t>
      </w:r>
    </w:p>
    <w:p>
      <w:pPr>
        <w:pageBreakBefore w:val="0"/>
        <w:kinsoku/>
        <w:wordWrap/>
        <w:topLinePunct w:val="0"/>
        <w:bidi w:val="0"/>
        <w:spacing w:line="540" w:lineRule="exact"/>
        <w:ind w:left="0" w:firstLine="56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根据《关于下达2023年中央农村综合改革转移支付公益事业奖补资金的通知》（邵北财农综改[2023]1号）和《2023年中央农村综合改革转移支付公益事业奖补资金62万》（邵财农指[2023]16号）， 邵阳市北塔区财政局将2023年中央农村综合改革转移支付公益事业奖补资金62万下达给各有关镇（街道）村，具体项目共7个（用于公益事业财政奖补），其中邓家社区污水处理项目10万元。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firstLine="562" w:firstLineChars="200"/>
        <w:textAlignment w:val="auto"/>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（2）概算总投资与资金构成</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各镇</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街道</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村</w:t>
      </w:r>
      <w:r>
        <w:rPr>
          <w:rFonts w:hint="eastAsia" w:ascii="仿宋" w:hAnsi="仿宋" w:eastAsia="仿宋" w:cs="仿宋"/>
          <w:color w:val="auto"/>
          <w:kern w:val="0"/>
          <w:sz w:val="28"/>
          <w:szCs w:val="28"/>
        </w:rPr>
        <w:t>。</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vertAlign w:val="baseline"/>
        </w:rPr>
      </w:pPr>
      <w:r>
        <w:rPr>
          <w:rFonts w:hint="eastAsia" w:ascii="仿宋" w:hAnsi="仿宋" w:eastAsia="仿宋" w:cs="仿宋"/>
          <w:color w:val="auto"/>
          <w:kern w:val="0"/>
          <w:sz w:val="28"/>
          <w:szCs w:val="28"/>
        </w:rPr>
        <w:t>本项目概算总投资为</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万元，各工程初设批复概算、资金来源及概算构成情况如下：</w:t>
      </w:r>
    </w:p>
    <w:tbl>
      <w:tblPr>
        <w:tblStyle w:val="11"/>
        <w:tblW w:w="9000"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822"/>
        <w:gridCol w:w="1434"/>
        <w:gridCol w:w="1400"/>
        <w:gridCol w:w="1666"/>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序号</w:t>
            </w:r>
          </w:p>
        </w:tc>
        <w:tc>
          <w:tcPr>
            <w:tcW w:w="282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项目名称</w:t>
            </w:r>
          </w:p>
        </w:tc>
        <w:tc>
          <w:tcPr>
            <w:tcW w:w="1434"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工程数量</w:t>
            </w:r>
          </w:p>
        </w:tc>
        <w:tc>
          <w:tcPr>
            <w:tcW w:w="140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单价（元）</w:t>
            </w:r>
          </w:p>
        </w:tc>
        <w:tc>
          <w:tcPr>
            <w:tcW w:w="16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金额（万元）</w:t>
            </w:r>
          </w:p>
        </w:tc>
        <w:tc>
          <w:tcPr>
            <w:tcW w:w="81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1</w:t>
            </w:r>
          </w:p>
        </w:tc>
        <w:tc>
          <w:tcPr>
            <w:tcW w:w="282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机械</w:t>
            </w:r>
          </w:p>
        </w:tc>
        <w:tc>
          <w:tcPr>
            <w:tcW w:w="1434"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30小时</w:t>
            </w:r>
          </w:p>
        </w:tc>
        <w:tc>
          <w:tcPr>
            <w:tcW w:w="140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140</w:t>
            </w:r>
          </w:p>
        </w:tc>
        <w:tc>
          <w:tcPr>
            <w:tcW w:w="16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0.42</w:t>
            </w:r>
          </w:p>
        </w:tc>
        <w:tc>
          <w:tcPr>
            <w:tcW w:w="81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2</w:t>
            </w:r>
          </w:p>
        </w:tc>
        <w:tc>
          <w:tcPr>
            <w:tcW w:w="282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人工挖沟</w:t>
            </w:r>
          </w:p>
        </w:tc>
        <w:tc>
          <w:tcPr>
            <w:tcW w:w="1434"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30个</w:t>
            </w:r>
          </w:p>
        </w:tc>
        <w:tc>
          <w:tcPr>
            <w:tcW w:w="140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260</w:t>
            </w:r>
          </w:p>
        </w:tc>
        <w:tc>
          <w:tcPr>
            <w:tcW w:w="16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0.78</w:t>
            </w:r>
          </w:p>
        </w:tc>
        <w:tc>
          <w:tcPr>
            <w:tcW w:w="81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3</w:t>
            </w:r>
          </w:p>
        </w:tc>
        <w:tc>
          <w:tcPr>
            <w:tcW w:w="282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污水管道</w:t>
            </w:r>
          </w:p>
        </w:tc>
        <w:tc>
          <w:tcPr>
            <w:tcW w:w="1434"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60米</w:t>
            </w:r>
          </w:p>
        </w:tc>
        <w:tc>
          <w:tcPr>
            <w:tcW w:w="140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400</w:t>
            </w:r>
          </w:p>
        </w:tc>
        <w:tc>
          <w:tcPr>
            <w:tcW w:w="16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2.4</w:t>
            </w:r>
          </w:p>
        </w:tc>
        <w:tc>
          <w:tcPr>
            <w:tcW w:w="81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4</w:t>
            </w:r>
          </w:p>
        </w:tc>
        <w:tc>
          <w:tcPr>
            <w:tcW w:w="282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砌沉淀池</w:t>
            </w:r>
          </w:p>
        </w:tc>
        <w:tc>
          <w:tcPr>
            <w:tcW w:w="1434"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5个</w:t>
            </w:r>
          </w:p>
        </w:tc>
        <w:tc>
          <w:tcPr>
            <w:tcW w:w="140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2500</w:t>
            </w:r>
          </w:p>
        </w:tc>
        <w:tc>
          <w:tcPr>
            <w:tcW w:w="16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1.25</w:t>
            </w:r>
          </w:p>
        </w:tc>
        <w:tc>
          <w:tcPr>
            <w:tcW w:w="81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5</w:t>
            </w:r>
          </w:p>
        </w:tc>
        <w:tc>
          <w:tcPr>
            <w:tcW w:w="282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砌沉淀池3米*2.5米</w:t>
            </w:r>
          </w:p>
        </w:tc>
        <w:tc>
          <w:tcPr>
            <w:tcW w:w="1434"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1个</w:t>
            </w:r>
          </w:p>
        </w:tc>
        <w:tc>
          <w:tcPr>
            <w:tcW w:w="140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3500</w:t>
            </w:r>
          </w:p>
        </w:tc>
        <w:tc>
          <w:tcPr>
            <w:tcW w:w="16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0.35</w:t>
            </w:r>
          </w:p>
        </w:tc>
        <w:tc>
          <w:tcPr>
            <w:tcW w:w="81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6</w:t>
            </w:r>
          </w:p>
        </w:tc>
        <w:tc>
          <w:tcPr>
            <w:tcW w:w="282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砌明沟及安装盖板</w:t>
            </w:r>
          </w:p>
        </w:tc>
        <w:tc>
          <w:tcPr>
            <w:tcW w:w="1434"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160米</w:t>
            </w:r>
          </w:p>
        </w:tc>
        <w:tc>
          <w:tcPr>
            <w:tcW w:w="140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300</w:t>
            </w:r>
          </w:p>
        </w:tc>
        <w:tc>
          <w:tcPr>
            <w:tcW w:w="16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4.8</w:t>
            </w:r>
          </w:p>
        </w:tc>
        <w:tc>
          <w:tcPr>
            <w:tcW w:w="81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c>
          <w:tcPr>
            <w:tcW w:w="282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c>
          <w:tcPr>
            <w:tcW w:w="1434"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c>
          <w:tcPr>
            <w:tcW w:w="140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c>
          <w:tcPr>
            <w:tcW w:w="1666"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10</w:t>
            </w:r>
          </w:p>
        </w:tc>
        <w:tc>
          <w:tcPr>
            <w:tcW w:w="812"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auto"/>
                <w:kern w:val="0"/>
                <w:sz w:val="28"/>
                <w:szCs w:val="28"/>
                <w:vertAlign w:val="baseline"/>
              </w:rPr>
            </w:pPr>
          </w:p>
        </w:tc>
      </w:tr>
    </w:tbl>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40" w:lineRule="exact"/>
        <w:ind w:left="0" w:firstLine="562" w:firstLineChars="200"/>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项目预算批复与资金使用情况</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①项目预算批复</w:t>
      </w:r>
    </w:p>
    <w:p>
      <w:pPr>
        <w:pageBreakBefore w:val="0"/>
        <w:widowControl/>
        <w:numPr>
          <w:ilvl w:val="0"/>
          <w:numId w:val="0"/>
        </w:numPr>
        <w:shd w:val="clear" w:color="auto" w:fill="FFFFFF"/>
        <w:kinsoku/>
        <w:wordWrap/>
        <w:topLinePunct w:val="0"/>
        <w:bidi w:val="0"/>
        <w:spacing w:line="540" w:lineRule="exact"/>
        <w:ind w:left="0" w:firstLine="560" w:firstLineChars="200"/>
        <w:textAlignment w:val="auto"/>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本项目于2023年6月经湖南省邵阳市北塔区田江街道邓家社区居民委员会、邵阳市北塔区田江街道办事处、邵阳市北塔区农村综合改革领导小组办公室审批通过后实施。</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②资金使用情况</w:t>
      </w:r>
    </w:p>
    <w:p>
      <w:pPr>
        <w:pageBreakBefore w:val="0"/>
        <w:widowControl/>
        <w:numPr>
          <w:ilvl w:val="0"/>
          <w:numId w:val="0"/>
        </w:numPr>
        <w:shd w:val="clear" w:color="auto" w:fill="FFFFFF"/>
        <w:kinsoku/>
        <w:wordWrap/>
        <w:topLinePunct w:val="0"/>
        <w:bidi w:val="0"/>
        <w:spacing w:line="540" w:lineRule="exact"/>
        <w:ind w:left="0" w:firstLine="560" w:firstLineChars="200"/>
        <w:textAlignment w:val="auto"/>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根据各镇（街道）村申报的农村综合改革转移支付公益事业奖补项目，北塔区田江街道邓家社区编制预算后向当地居民委员会、街道办事处、农村综合领导小组办公室申报预算，审批通过后上报区财政局，将本项目列入北塔区2023年中央农村综合改革转移支付资金预算中，经区财政局审核后批复预算10万元。资金来源均为区财政资金。</w:t>
      </w:r>
    </w:p>
    <w:p>
      <w:pPr>
        <w:pStyle w:val="4"/>
        <w:keepNext/>
        <w:keepLines/>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textAlignment w:val="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项目实施情况</w:t>
      </w:r>
    </w:p>
    <w:p>
      <w:pPr>
        <w:pStyle w:val="5"/>
        <w:keepNext/>
        <w:keepLines/>
        <w:pageBreakBefore w:val="0"/>
        <w:widowControl w:val="0"/>
        <w:numPr>
          <w:ilvl w:val="0"/>
          <w:numId w:val="4"/>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污水处理方式</w:t>
      </w:r>
      <w:r>
        <w:rPr>
          <w:rFonts w:hint="eastAsia" w:ascii="仿宋" w:hAnsi="仿宋" w:eastAsia="仿宋" w:cs="仿宋"/>
          <w:color w:val="auto"/>
          <w:lang w:val="en-US" w:eastAsia="zh-CN"/>
        </w:rPr>
        <w:t>及工程实施地点</w:t>
      </w:r>
    </w:p>
    <w:p>
      <w:pPr>
        <w:pageBreakBefore w:val="0"/>
        <w:kinsoku/>
        <w:wordWrap/>
        <w:topLinePunct w:val="0"/>
        <w:bidi w:val="0"/>
        <w:spacing w:line="540" w:lineRule="exact"/>
        <w:ind w:left="0" w:firstLine="56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根据邓家社区一组的污水排放情况，采用安装管网、修建污水池、砌明沟、安装盖板的方式。</w:t>
      </w:r>
    </w:p>
    <w:p>
      <w:pPr>
        <w:pageBreakBefore w:val="0"/>
        <w:kinsoku/>
        <w:wordWrap/>
        <w:topLinePunct w:val="0"/>
        <w:bidi w:val="0"/>
        <w:spacing w:line="540" w:lineRule="exact"/>
        <w:ind w:left="0" w:firstLine="560" w:firstLineChars="200"/>
        <w:textAlignment w:val="auto"/>
        <w:rPr>
          <w:rFonts w:hint="eastAsia" w:ascii="仿宋" w:hAnsi="仿宋" w:eastAsia="仿宋" w:cs="仿宋"/>
        </w:rPr>
      </w:pPr>
      <w:r>
        <w:rPr>
          <w:rFonts w:hint="eastAsia" w:ascii="仿宋" w:hAnsi="仿宋" w:eastAsia="仿宋" w:cs="仿宋"/>
          <w:color w:val="auto"/>
          <w:lang w:val="en-US" w:eastAsia="zh-CN"/>
        </w:rPr>
        <w:t>本项目工程实施的地点为：田江街道邓家社区一组谢家院子。</w:t>
      </w:r>
    </w:p>
    <w:p>
      <w:pPr>
        <w:pStyle w:val="5"/>
        <w:keepNext/>
        <w:keepLines/>
        <w:pageBreakBefore w:val="0"/>
        <w:widowControl w:val="0"/>
        <w:numPr>
          <w:ilvl w:val="0"/>
          <w:numId w:val="4"/>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工程设施建设完成情况</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根据污水处理方式，工程主要通过</w:t>
      </w:r>
      <w:r>
        <w:rPr>
          <w:rFonts w:hint="eastAsia" w:ascii="仿宋" w:hAnsi="仿宋" w:eastAsia="仿宋" w:cs="仿宋"/>
          <w:color w:val="333333"/>
          <w:kern w:val="0"/>
          <w:sz w:val="28"/>
          <w:szCs w:val="28"/>
          <w:lang w:val="en-US" w:eastAsia="zh-CN"/>
        </w:rPr>
        <w:t>安装管网</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修建沉淀池</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砌明沟</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安装盖板</w:t>
      </w:r>
      <w:r>
        <w:rPr>
          <w:rFonts w:hint="eastAsia" w:ascii="仿宋" w:hAnsi="仿宋" w:eastAsia="仿宋" w:cs="仿宋"/>
          <w:color w:val="333333"/>
          <w:kern w:val="0"/>
          <w:sz w:val="28"/>
          <w:szCs w:val="28"/>
        </w:rPr>
        <w:t>设施的建设，将</w:t>
      </w:r>
      <w:r>
        <w:rPr>
          <w:rFonts w:hint="eastAsia" w:ascii="仿宋" w:hAnsi="仿宋" w:eastAsia="仿宋" w:cs="仿宋"/>
          <w:color w:val="333333"/>
          <w:kern w:val="0"/>
          <w:sz w:val="28"/>
          <w:szCs w:val="28"/>
          <w:lang w:val="en-US" w:eastAsia="zh-CN"/>
        </w:rPr>
        <w:t>当地</w:t>
      </w:r>
      <w:r>
        <w:rPr>
          <w:rFonts w:hint="eastAsia" w:ascii="仿宋" w:hAnsi="仿宋" w:eastAsia="仿宋" w:cs="仿宋"/>
          <w:color w:val="333333"/>
          <w:kern w:val="0"/>
          <w:sz w:val="28"/>
          <w:szCs w:val="28"/>
        </w:rPr>
        <w:t>居民的生活污水接管后进行处理。各街镇法人单位根据政府采购要求委托第三方设计、勘察单位，结合工程范围，初步设计报告的论证审批确定各个工程计划完成的设施量。根据初设批复文件，本项目主要计划建设设施内容包括管道工程</w:t>
      </w:r>
      <w:r>
        <w:rPr>
          <w:rFonts w:hint="eastAsia" w:ascii="仿宋" w:hAnsi="仿宋" w:eastAsia="仿宋" w:cs="仿宋"/>
          <w:color w:val="000000"/>
          <w:kern w:val="0"/>
          <w:sz w:val="28"/>
          <w:szCs w:val="28"/>
          <w:lang w:val="en-US" w:eastAsia="zh-CN"/>
        </w:rPr>
        <w:t>60</w:t>
      </w:r>
      <w:r>
        <w:rPr>
          <w:rFonts w:hint="eastAsia" w:ascii="仿宋" w:hAnsi="仿宋" w:eastAsia="仿宋" w:cs="仿宋"/>
          <w:color w:val="333333"/>
          <w:kern w:val="0"/>
          <w:sz w:val="28"/>
          <w:szCs w:val="28"/>
        </w:rPr>
        <w:t>米、新建</w:t>
      </w:r>
      <w:r>
        <w:rPr>
          <w:rFonts w:hint="eastAsia" w:ascii="仿宋" w:hAnsi="仿宋" w:eastAsia="仿宋" w:cs="仿宋"/>
          <w:color w:val="333333"/>
          <w:kern w:val="0"/>
          <w:sz w:val="28"/>
          <w:szCs w:val="28"/>
          <w:lang w:val="en-US" w:eastAsia="zh-CN"/>
        </w:rPr>
        <w:t>沉淀池5个</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3米*2.5米沉淀池1个</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砌明沟及盖板160米</w:t>
      </w:r>
      <w:r>
        <w:rPr>
          <w:rFonts w:hint="eastAsia" w:ascii="仿宋" w:hAnsi="仿宋" w:eastAsia="仿宋" w:cs="仿宋"/>
          <w:color w:val="333333"/>
          <w:kern w:val="0"/>
          <w:sz w:val="28"/>
          <w:szCs w:val="28"/>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工程设施</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计划完成量</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实际完成量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污水管道</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60米</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沉淀池</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5个</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rPr>
            </w:pPr>
            <w:r>
              <w:rPr>
                <w:rFonts w:hint="eastAsia" w:ascii="仿宋" w:hAnsi="仿宋" w:eastAsia="仿宋" w:cs="仿宋"/>
                <w:color w:val="333333"/>
                <w:kern w:val="0"/>
                <w:sz w:val="28"/>
                <w:szCs w:val="28"/>
                <w:vertAlign w:val="baseli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3米*2.5米沉淀池</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1个</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rPr>
            </w:pPr>
            <w:r>
              <w:rPr>
                <w:rFonts w:hint="eastAsia" w:ascii="仿宋" w:hAnsi="仿宋" w:eastAsia="仿宋" w:cs="仿宋"/>
                <w:color w:val="333333"/>
                <w:kern w:val="0"/>
                <w:sz w:val="28"/>
                <w:szCs w:val="28"/>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明沟及盖板</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lang w:val="en-US" w:eastAsia="zh-CN"/>
              </w:rPr>
            </w:pPr>
            <w:r>
              <w:rPr>
                <w:rFonts w:hint="eastAsia" w:ascii="仿宋" w:hAnsi="仿宋" w:eastAsia="仿宋" w:cs="仿宋"/>
                <w:color w:val="333333"/>
                <w:kern w:val="0"/>
                <w:sz w:val="28"/>
                <w:szCs w:val="28"/>
                <w:vertAlign w:val="baseline"/>
                <w:lang w:val="en-US" w:eastAsia="zh-CN"/>
              </w:rPr>
              <w:t>160米</w:t>
            </w:r>
          </w:p>
        </w:tc>
        <w:tc>
          <w:tcPr>
            <w:tcW w:w="2841" w:type="dxa"/>
            <w:vAlign w:val="center"/>
          </w:tcPr>
          <w:p>
            <w:pPr>
              <w:pageBreakBefore w:val="0"/>
              <w:widowControl/>
              <w:kinsoku/>
              <w:wordWrap/>
              <w:topLinePunct w:val="0"/>
              <w:bidi w:val="0"/>
              <w:spacing w:line="540" w:lineRule="exact"/>
              <w:ind w:left="0"/>
              <w:jc w:val="center"/>
              <w:textAlignment w:val="auto"/>
              <w:rPr>
                <w:rFonts w:hint="eastAsia" w:ascii="仿宋" w:hAnsi="仿宋" w:eastAsia="仿宋" w:cs="仿宋"/>
                <w:color w:val="333333"/>
                <w:kern w:val="0"/>
                <w:sz w:val="28"/>
                <w:szCs w:val="28"/>
                <w:vertAlign w:val="baseline"/>
              </w:rPr>
            </w:pPr>
            <w:r>
              <w:rPr>
                <w:rFonts w:hint="eastAsia" w:ascii="仿宋" w:hAnsi="仿宋" w:eastAsia="仿宋" w:cs="仿宋"/>
                <w:color w:val="333333"/>
                <w:kern w:val="0"/>
                <w:sz w:val="28"/>
                <w:szCs w:val="28"/>
                <w:vertAlign w:val="baseline"/>
                <w:lang w:val="en-US" w:eastAsia="zh-CN"/>
              </w:rPr>
              <w:t>160米</w:t>
            </w:r>
          </w:p>
        </w:tc>
      </w:tr>
    </w:tbl>
    <w:p>
      <w:pPr>
        <w:pStyle w:val="3"/>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（二）绩效目标</w:t>
      </w:r>
    </w:p>
    <w:p>
      <w:pPr>
        <w:pStyle w:val="4"/>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项目总目标</w:t>
      </w:r>
    </w:p>
    <w:p>
      <w:pPr>
        <w:pageBreakBefore w:val="0"/>
        <w:kinsoku/>
        <w:wordWrap/>
        <w:topLinePunct w:val="0"/>
        <w:bidi w:val="0"/>
        <w:spacing w:line="540" w:lineRule="exact"/>
        <w:ind w:left="0" w:firstLine="560" w:firstLineChars="200"/>
        <w:textAlignment w:val="auto"/>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rPr>
        <w:t>通过污水处理工程的建设，强化污染源头控制与治理，实现污水有序排放，改善人居生态环境，加强居民生活质量，提升中</w:t>
      </w:r>
      <w:r>
        <w:rPr>
          <w:rFonts w:hint="eastAsia" w:ascii="仿宋" w:hAnsi="仿宋" w:eastAsia="仿宋" w:cs="仿宋"/>
          <w:color w:val="333333"/>
          <w:kern w:val="0"/>
          <w:sz w:val="28"/>
          <w:szCs w:val="28"/>
          <w:lang w:val="en-US" w:eastAsia="zh-CN"/>
        </w:rPr>
        <w:t>水塘水质环境。</w:t>
      </w:r>
    </w:p>
    <w:p>
      <w:pPr>
        <w:keepNext w:val="0"/>
        <w:keepLines w:val="0"/>
        <w:pageBreakBefore w:val="0"/>
        <w:widowControl w:val="0"/>
        <w:kinsoku/>
        <w:wordWrap/>
        <w:overflowPunct w:val="0"/>
        <w:topLinePunct w:val="0"/>
        <w:autoSpaceDE/>
        <w:autoSpaceDN/>
        <w:bidi w:val="0"/>
        <w:adjustRightInd/>
        <w:snapToGrid/>
        <w:spacing w:line="540" w:lineRule="exact"/>
        <w:ind w:left="0" w:firstLine="562" w:firstLineChars="200"/>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2、</w:t>
      </w:r>
      <w:r>
        <w:rPr>
          <w:rFonts w:hint="eastAsia" w:ascii="仿宋" w:hAnsi="仿宋" w:eastAsia="仿宋" w:cs="仿宋"/>
          <w:b/>
          <w:bCs/>
          <w:color w:val="auto"/>
        </w:rPr>
        <w:t>阶段性目标</w:t>
      </w:r>
    </w:p>
    <w:p>
      <w:pPr>
        <w:keepNext w:val="0"/>
        <w:keepLines w:val="0"/>
        <w:pageBreakBefore w:val="0"/>
        <w:widowControl w:val="0"/>
        <w:shd w:val="clear" w:color="auto" w:fill="FFFFFF"/>
        <w:kinsoku/>
        <w:wordWrap/>
        <w:overflowPunct w:val="0"/>
        <w:topLinePunct w:val="0"/>
        <w:autoSpaceDE/>
        <w:autoSpaceDN/>
        <w:bidi w:val="0"/>
        <w:adjustRightInd/>
        <w:snapToGrid/>
        <w:spacing w:line="540" w:lineRule="exact"/>
        <w:ind w:left="0" w:firstLine="560"/>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项目组查阅了项目相关资料，与项目单位相关负责人进一步沟通本项目的实施内容及目的，重新梳理调整了本项目的绩效目标，具体情况如下：</w:t>
      </w:r>
    </w:p>
    <w:p>
      <w:pPr>
        <w:pStyle w:val="5"/>
        <w:pageBreakBefore w:val="0"/>
        <w:numPr>
          <w:ilvl w:val="0"/>
          <w:numId w:val="5"/>
        </w:numPr>
        <w:kinsoku/>
        <w:wordWrap/>
        <w:topLinePunct w:val="0"/>
        <w:bidi w:val="0"/>
        <w:spacing w:before="0" w:beforeLines="0" w:after="0" w:afterLines="0" w:line="540" w:lineRule="exact"/>
        <w:ind w:left="0"/>
        <w:textAlignment w:val="auto"/>
        <w:rPr>
          <w:rFonts w:hint="eastAsia" w:ascii="仿宋" w:hAnsi="仿宋" w:eastAsia="仿宋" w:cs="仿宋"/>
          <w:color w:val="auto"/>
        </w:rPr>
      </w:pPr>
      <w:r>
        <w:rPr>
          <w:rFonts w:hint="eastAsia" w:ascii="仿宋" w:hAnsi="仿宋" w:eastAsia="仿宋" w:cs="仿宋"/>
          <w:color w:val="auto"/>
        </w:rPr>
        <w:t>产出目标</w:t>
      </w:r>
    </w:p>
    <w:p>
      <w:pPr>
        <w:pageBreakBefore w:val="0"/>
        <w:numPr>
          <w:ilvl w:val="0"/>
          <w:numId w:val="0"/>
        </w:numPr>
        <w:kinsoku/>
        <w:wordWrap/>
        <w:topLinePunct w:val="0"/>
        <w:bidi w:val="0"/>
        <w:spacing w:line="540" w:lineRule="exact"/>
        <w:ind w:left="0"/>
        <w:textAlignment w:val="auto"/>
        <w:rPr>
          <w:rFonts w:hint="eastAsia" w:ascii="仿宋" w:hAnsi="仿宋" w:eastAsia="仿宋" w:cs="仿宋"/>
          <w:b/>
          <w:bCs/>
          <w:lang w:val="en-US" w:eastAsia="zh-CN"/>
        </w:rPr>
      </w:pPr>
      <w:r>
        <w:rPr>
          <w:rFonts w:hint="eastAsia" w:ascii="仿宋" w:hAnsi="仿宋" w:eastAsia="仿宋" w:cs="仿宋"/>
          <w:b/>
          <w:bCs/>
          <w:lang w:val="en-US" w:eastAsia="zh-CN"/>
        </w:rPr>
        <w:t>数量</w:t>
      </w:r>
    </w:p>
    <w:p>
      <w:pPr>
        <w:pageBreakBefore w:val="0"/>
        <w:numPr>
          <w:ilvl w:val="0"/>
          <w:numId w:val="6"/>
        </w:numPr>
        <w:kinsoku/>
        <w:wordWrap/>
        <w:topLinePunct w:val="0"/>
        <w:bidi w:val="0"/>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管网≥60米，污水池≥6座</w:t>
      </w:r>
    </w:p>
    <w:p>
      <w:pPr>
        <w:pageBreakBefore w:val="0"/>
        <w:numPr>
          <w:ilvl w:val="0"/>
          <w:numId w:val="6"/>
        </w:numPr>
        <w:kinsoku/>
        <w:wordWrap/>
        <w:topLinePunct w:val="0"/>
        <w:bidi w:val="0"/>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明沟≥160米</w:t>
      </w:r>
    </w:p>
    <w:p>
      <w:pPr>
        <w:pStyle w:val="14"/>
        <w:pageBreakBefore w:val="0"/>
        <w:kinsoku/>
        <w:wordWrap/>
        <w:topLinePunct w:val="0"/>
        <w:bidi w:val="0"/>
        <w:spacing w:line="540" w:lineRule="exact"/>
        <w:ind w:left="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质量</w:t>
      </w:r>
    </w:p>
    <w:p>
      <w:pPr>
        <w:pStyle w:val="14"/>
        <w:pageBreakBefore w:val="0"/>
        <w:numPr>
          <w:ilvl w:val="0"/>
          <w:numId w:val="7"/>
        </w:numPr>
        <w:kinsoku/>
        <w:wordWrap/>
        <w:topLinePunct w:val="0"/>
        <w:bidi w:val="0"/>
        <w:spacing w:line="540" w:lineRule="exact"/>
        <w:ind w:left="0" w:leftChars="0" w:hanging="42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工程验收合格</w:t>
      </w:r>
    </w:p>
    <w:p>
      <w:pPr>
        <w:pStyle w:val="14"/>
        <w:pageBreakBefore w:val="0"/>
        <w:numPr>
          <w:ilvl w:val="0"/>
          <w:numId w:val="7"/>
        </w:numPr>
        <w:kinsoku/>
        <w:wordWrap/>
        <w:topLinePunct w:val="0"/>
        <w:bidi w:val="0"/>
        <w:spacing w:line="540" w:lineRule="exact"/>
        <w:ind w:left="0" w:leftChars="0" w:hanging="42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工程交工及时</w:t>
      </w:r>
    </w:p>
    <w:p>
      <w:pPr>
        <w:pageBreakBefore w:val="0"/>
        <w:kinsoku/>
        <w:wordWrap/>
        <w:topLinePunct w:val="0"/>
        <w:bidi w:val="0"/>
        <w:spacing w:line="540" w:lineRule="exact"/>
        <w:ind w:left="0"/>
        <w:textAlignment w:val="auto"/>
        <w:rPr>
          <w:rFonts w:hint="eastAsia" w:ascii="仿宋" w:hAnsi="仿宋" w:eastAsia="仿宋" w:cs="仿宋"/>
          <w:b/>
          <w:bCs/>
          <w:lang w:val="en-US" w:eastAsia="zh-CN"/>
        </w:rPr>
      </w:pPr>
      <w:r>
        <w:rPr>
          <w:rFonts w:hint="eastAsia" w:ascii="仿宋" w:hAnsi="仿宋" w:eastAsia="仿宋" w:cs="仿宋"/>
          <w:b/>
          <w:bCs/>
          <w:lang w:val="en-US" w:eastAsia="zh-CN"/>
        </w:rPr>
        <w:t>成本</w:t>
      </w:r>
    </w:p>
    <w:p>
      <w:pPr>
        <w:pStyle w:val="14"/>
        <w:pageBreakBefore w:val="0"/>
        <w:numPr>
          <w:ilvl w:val="0"/>
          <w:numId w:val="8"/>
        </w:numPr>
        <w:kinsoku/>
        <w:wordWrap/>
        <w:topLinePunct w:val="0"/>
        <w:bidi w:val="0"/>
        <w:spacing w:line="540" w:lineRule="exact"/>
        <w:ind w:left="0" w:leftChars="0" w:hanging="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管网400元/米</w:t>
      </w:r>
    </w:p>
    <w:p>
      <w:pPr>
        <w:pStyle w:val="14"/>
        <w:pageBreakBefore w:val="0"/>
        <w:numPr>
          <w:ilvl w:val="0"/>
          <w:numId w:val="8"/>
        </w:numPr>
        <w:kinsoku/>
        <w:wordWrap/>
        <w:topLinePunct w:val="0"/>
        <w:bidi w:val="0"/>
        <w:spacing w:line="540" w:lineRule="exact"/>
        <w:ind w:left="0" w:leftChars="0" w:hanging="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污水池2666/座</w:t>
      </w:r>
    </w:p>
    <w:p>
      <w:pPr>
        <w:pStyle w:val="14"/>
        <w:pageBreakBefore w:val="0"/>
        <w:numPr>
          <w:ilvl w:val="0"/>
          <w:numId w:val="8"/>
        </w:numPr>
        <w:kinsoku/>
        <w:wordWrap/>
        <w:topLinePunct w:val="0"/>
        <w:bidi w:val="0"/>
        <w:spacing w:line="540" w:lineRule="exact"/>
        <w:ind w:left="0" w:leftChars="0" w:hanging="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明沟300/米</w:t>
      </w:r>
    </w:p>
    <w:p>
      <w:pPr>
        <w:pStyle w:val="5"/>
        <w:pageBreakBefore w:val="0"/>
        <w:kinsoku/>
        <w:wordWrap/>
        <w:topLinePunct w:val="0"/>
        <w:bidi w:val="0"/>
        <w:spacing w:before="0" w:beforeLines="0" w:after="0" w:afterLines="0" w:line="540" w:lineRule="exact"/>
        <w:ind w:left="0"/>
        <w:textAlignment w:val="auto"/>
        <w:rPr>
          <w:rFonts w:hint="eastAsia" w:ascii="仿宋" w:hAnsi="仿宋" w:eastAsia="仿宋" w:cs="仿宋"/>
          <w:color w:val="auto"/>
        </w:rPr>
      </w:pPr>
      <w:r>
        <w:rPr>
          <w:rFonts w:hint="eastAsia" w:ascii="仿宋" w:hAnsi="仿宋" w:eastAsia="仿宋" w:cs="仿宋"/>
          <w:color w:val="auto"/>
        </w:rPr>
        <w:t>（2）效果目标</w:t>
      </w:r>
    </w:p>
    <w:p>
      <w:pPr>
        <w:pageBreakBefore w:val="0"/>
        <w:kinsoku/>
        <w:wordWrap/>
        <w:topLinePunct w:val="0"/>
        <w:bidi w:val="0"/>
        <w:spacing w:line="540" w:lineRule="exact"/>
        <w:ind w:left="0"/>
        <w:textAlignment w:val="auto"/>
        <w:rPr>
          <w:rFonts w:hint="eastAsia" w:ascii="仿宋" w:hAnsi="仿宋" w:eastAsia="仿宋" w:cs="仿宋"/>
          <w:b/>
          <w:bCs/>
          <w:lang w:val="en-US" w:eastAsia="zh-CN"/>
        </w:rPr>
      </w:pPr>
      <w:r>
        <w:rPr>
          <w:rFonts w:hint="eastAsia" w:ascii="仿宋" w:hAnsi="仿宋" w:eastAsia="仿宋" w:cs="仿宋"/>
          <w:b/>
          <w:bCs/>
          <w:lang w:val="en-US" w:eastAsia="zh-CN"/>
        </w:rPr>
        <w:t>社会效益</w:t>
      </w:r>
    </w:p>
    <w:p>
      <w:pPr>
        <w:pageBreakBefore w:val="0"/>
        <w:numPr>
          <w:ilvl w:val="0"/>
          <w:numId w:val="9"/>
        </w:numPr>
        <w:kinsoku/>
        <w:wordWrap/>
        <w:topLinePunct w:val="0"/>
        <w:bidi w:val="0"/>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提高居民居住环境≥200人</w:t>
      </w:r>
    </w:p>
    <w:p>
      <w:pPr>
        <w:pStyle w:val="14"/>
        <w:pageBreakBefore w:val="0"/>
        <w:kinsoku/>
        <w:wordWrap/>
        <w:topLinePunct w:val="0"/>
        <w:bidi w:val="0"/>
        <w:spacing w:line="540" w:lineRule="exact"/>
        <w:ind w:left="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生态效益</w:t>
      </w:r>
    </w:p>
    <w:p>
      <w:pPr>
        <w:pStyle w:val="14"/>
        <w:pageBreakBefore w:val="0"/>
        <w:numPr>
          <w:ilvl w:val="0"/>
          <w:numId w:val="10"/>
        </w:numPr>
        <w:kinsoku/>
        <w:wordWrap/>
        <w:topLinePunct w:val="0"/>
        <w:bidi w:val="0"/>
        <w:spacing w:line="540" w:lineRule="exact"/>
        <w:ind w:left="0" w:leftChars="0" w:hanging="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污水处理收集≥30户</w:t>
      </w:r>
    </w:p>
    <w:p>
      <w:pPr>
        <w:pStyle w:val="5"/>
        <w:pageBreakBefore w:val="0"/>
        <w:kinsoku/>
        <w:wordWrap/>
        <w:topLinePunct w:val="0"/>
        <w:bidi w:val="0"/>
        <w:spacing w:before="0" w:beforeLines="0" w:after="0" w:afterLines="0" w:line="540" w:lineRule="exact"/>
        <w:ind w:left="0"/>
        <w:textAlignment w:val="auto"/>
        <w:rPr>
          <w:rFonts w:hint="eastAsia" w:ascii="仿宋" w:hAnsi="仿宋" w:eastAsia="仿宋" w:cs="仿宋"/>
          <w:color w:val="auto"/>
        </w:rPr>
      </w:pPr>
      <w:r>
        <w:rPr>
          <w:rFonts w:hint="eastAsia" w:ascii="仿宋" w:hAnsi="仿宋" w:eastAsia="仿宋" w:cs="仿宋"/>
          <w:color w:val="auto"/>
        </w:rPr>
        <w:t>（3）影响力</w:t>
      </w:r>
    </w:p>
    <w:p>
      <w:pPr>
        <w:keepNext w:val="0"/>
        <w:keepLines w:val="0"/>
        <w:pageBreakBefore w:val="0"/>
        <w:widowControl w:val="0"/>
        <w:numPr>
          <w:ilvl w:val="0"/>
          <w:numId w:val="11"/>
        </w:numPr>
        <w:kinsoku/>
        <w:wordWrap/>
        <w:overflowPunct w:val="0"/>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受益居民人口满意程度≥98%</w:t>
      </w:r>
    </w:p>
    <w:p>
      <w:pPr>
        <w:pStyle w:val="2"/>
        <w:keepNext w:val="0"/>
        <w:keepLines w:val="0"/>
        <w:pageBreakBefore w:val="0"/>
        <w:widowControl w:val="0"/>
        <w:kinsoku/>
        <w:wordWrap/>
        <w:overflowPunct w:val="0"/>
        <w:topLinePunct w:val="0"/>
        <w:autoSpaceDE/>
        <w:autoSpaceDN/>
        <w:bidi w:val="0"/>
        <w:adjustRightInd/>
        <w:snapToGrid/>
        <w:spacing w:before="0" w:beforeLines="0" w:after="0" w:afterLines="0" w:line="54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二、绩效评价工作情况</w:t>
      </w:r>
    </w:p>
    <w:p>
      <w:pPr>
        <w:pStyle w:val="3"/>
        <w:keepNext w:val="0"/>
        <w:keepLines w:val="0"/>
        <w:pageBreakBefore w:val="0"/>
        <w:widowControl w:val="0"/>
        <w:kinsoku/>
        <w:wordWrap/>
        <w:overflowPunct w:val="0"/>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（一）绩效评价目的</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通过考察2022年邓家社区生活污水处理工程项目中资金使用情况、财务管理状况以及为加强管理所制定的相关制度、采取的措施等，结合区镇两级管理模式，对污水处理两种模式的资金与成本、管理与效果进行分析，以结果为导向重点关注项目的产出与效果，资金的使用效率和效果，是否实现了预期绩效目标。同时，通过绩效评价总结项目在决策、管理、执行等方面的经验，查找其存在的不足，为北塔区“一事一议”财政奖补项目在以后年度的开展，提供可行性参考建议。</w:t>
      </w:r>
    </w:p>
    <w:p>
      <w:pPr>
        <w:pStyle w:val="3"/>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二</w:t>
      </w:r>
      <w:r>
        <w:rPr>
          <w:rFonts w:hint="eastAsia" w:ascii="仿宋" w:hAnsi="仿宋" w:eastAsia="仿宋" w:cs="仿宋"/>
          <w:color w:val="auto"/>
        </w:rPr>
        <w:t>）绩效评价原则、评价方法</w:t>
      </w:r>
    </w:p>
    <w:p>
      <w:pPr>
        <w:pStyle w:val="4"/>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绩效评价原则</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本次绩效评价遵循以下基本原则：</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（1）科学规范。绩效评价注重财政支出的经济性、效率性和有效性，严格执行规定的程序，采用定量与定性分析相结合的方法。</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（2）公正公开。绩效评价客观、公正，标准统一、资料可靠，依法公开并接受监督。</w:t>
      </w:r>
    </w:p>
    <w:p>
      <w:pPr>
        <w:pageBreakBefore w:val="0"/>
        <w:widowControl/>
        <w:shd w:val="clear" w:color="auto" w:fill="FFFFFF"/>
        <w:kinsoku/>
        <w:wordWrap/>
        <w:topLinePunct w:val="0"/>
        <w:bidi w:val="0"/>
        <w:spacing w:line="540" w:lineRule="exact"/>
        <w:ind w:left="0" w:firstLine="562"/>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（3）绩效相关。绩效评价针对具体支出及其产出绩效进行，评价结果清晰反映支出和产出绩效之间的紧密对应关系。</w:t>
      </w:r>
    </w:p>
    <w:p>
      <w:pPr>
        <w:pStyle w:val="4"/>
        <w:pageBreakBefore w:val="0"/>
        <w:kinsoku/>
        <w:wordWrap/>
        <w:topLinePunct w:val="0"/>
        <w:bidi w:val="0"/>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绩效评价方法</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本次绩效评价采用的方法是指标评价、数据采集、社会调查</w:t>
      </w:r>
      <w:r>
        <w:rPr>
          <w:rFonts w:hint="eastAsia" w:ascii="仿宋" w:hAnsi="仿宋" w:eastAsia="仿宋" w:cs="仿宋"/>
          <w:color w:val="auto"/>
          <w:kern w:val="0"/>
          <w:sz w:val="28"/>
          <w:szCs w:val="28"/>
          <w:lang w:eastAsia="zh-CN"/>
        </w:rPr>
        <w:t>。</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项目绩效评价指标体系按照逻辑分析法设计，包括项目决策、项目管理、项目绩效三类指标，主要围绕资金使用、项目管理、资源配置等方面，客观分析项目的产出和效果，进而提出完善意见。整个评价框架构成体现从投入、过程到产出、效果和影响的绩效逻辑路径。指标体系为评分所用，需要基础表、问卷调查和访谈的支持。为完成绩效指标的分析评价工作，由项目组依据指标体系设计了基础表、调查问卷和访谈提纲。</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基础表发放给项目单位协助填报并对数据的真实性负责，项目组对数据进行核实确认、汇总分析。为确保评价工作的客观性和科学性，在数据复核过程中发现的项目单位填报的数据与相关资料有差异的，项目组将做进一步深入调查。同时，</w:t>
      </w:r>
      <w:r>
        <w:rPr>
          <w:rFonts w:hint="eastAsia" w:ascii="仿宋" w:hAnsi="仿宋" w:eastAsia="仿宋" w:cs="仿宋"/>
          <w:color w:val="auto"/>
          <w:kern w:val="0"/>
          <w:sz w:val="28"/>
          <w:szCs w:val="28"/>
          <w:lang w:val="en-US" w:eastAsia="zh-CN"/>
        </w:rPr>
        <w:t>审计组</w:t>
      </w:r>
      <w:r>
        <w:rPr>
          <w:rFonts w:hint="eastAsia" w:ascii="仿宋" w:hAnsi="仿宋" w:eastAsia="仿宋" w:cs="仿宋"/>
          <w:color w:val="auto"/>
          <w:kern w:val="0"/>
          <w:sz w:val="28"/>
          <w:szCs w:val="28"/>
        </w:rPr>
        <w:t>对工程项目法人单位、施工单位及工程区域内的村委会进行访谈。</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在评价过程中还将根据实际需要，应用</w:t>
      </w:r>
      <w:r>
        <w:rPr>
          <w:rFonts w:hint="eastAsia" w:ascii="仿宋" w:hAnsi="仿宋" w:eastAsia="仿宋" w:cs="仿宋"/>
          <w:sz w:val="28"/>
          <w:szCs w:val="28"/>
        </w:rPr>
        <w:t>访谈、问卷调查、现场勘察</w:t>
      </w:r>
      <w:r>
        <w:rPr>
          <w:rFonts w:hint="eastAsia" w:ascii="仿宋" w:hAnsi="仿宋" w:eastAsia="仿宋" w:cs="仿宋"/>
          <w:color w:val="auto"/>
          <w:kern w:val="0"/>
          <w:sz w:val="28"/>
          <w:szCs w:val="28"/>
        </w:rPr>
        <w:t>等获取的相应数据</w:t>
      </w:r>
      <w:r>
        <w:rPr>
          <w:rFonts w:hint="eastAsia" w:ascii="仿宋" w:hAnsi="仿宋" w:eastAsia="仿宋" w:cs="仿宋"/>
          <w:color w:val="auto"/>
          <w:kern w:val="0"/>
          <w:sz w:val="28"/>
          <w:szCs w:val="28"/>
          <w:lang w:eastAsia="zh-CN"/>
        </w:rPr>
        <w:t>。</w:t>
      </w:r>
    </w:p>
    <w:p>
      <w:pPr>
        <w:pStyle w:val="3"/>
        <w:pageBreakBefore w:val="0"/>
        <w:kinsoku/>
        <w:wordWrap/>
        <w:topLinePunct w:val="0"/>
        <w:bidi w:val="0"/>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三</w:t>
      </w:r>
      <w:r>
        <w:rPr>
          <w:rFonts w:hint="eastAsia" w:ascii="仿宋" w:hAnsi="仿宋" w:eastAsia="仿宋" w:cs="仿宋"/>
          <w:color w:val="auto"/>
        </w:rPr>
        <w:t>）绩效评价实施过程</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项目组严格按照工作方案中确定的评价思路，通过研读相关文件资料、填写基础数据表格、问卷调查、访谈等方法收集相关数据。具体实施过程如下：</w:t>
      </w:r>
    </w:p>
    <w:p>
      <w:pPr>
        <w:pStyle w:val="4"/>
        <w:pageBreakBefore w:val="0"/>
        <w:kinsoku/>
        <w:wordWrap/>
        <w:topLinePunct w:val="0"/>
        <w:bidi w:val="0"/>
        <w:spacing w:before="0" w:beforeLines="0" w:after="0" w:afterLines="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数据填报和采集</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w:t>
      </w:r>
      <w:r>
        <w:rPr>
          <w:rFonts w:hint="eastAsia" w:ascii="仿宋" w:hAnsi="仿宋" w:eastAsia="仿宋" w:cs="仿宋"/>
          <w:color w:val="auto"/>
          <w:kern w:val="0"/>
          <w:sz w:val="28"/>
          <w:szCs w:val="28"/>
          <w:lang w:val="en-US" w:eastAsia="zh-CN"/>
        </w:rPr>
        <w:t>23</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11</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审计</w:t>
      </w:r>
      <w:r>
        <w:rPr>
          <w:rFonts w:hint="eastAsia" w:ascii="仿宋" w:hAnsi="仿宋" w:eastAsia="仿宋" w:cs="仿宋"/>
          <w:color w:val="auto"/>
          <w:kern w:val="0"/>
          <w:sz w:val="28"/>
          <w:szCs w:val="28"/>
        </w:rPr>
        <w:t>组就所需采集的数据与各</w:t>
      </w:r>
      <w:r>
        <w:rPr>
          <w:rFonts w:hint="eastAsia" w:ascii="仿宋" w:hAnsi="仿宋" w:eastAsia="仿宋" w:cs="仿宋"/>
          <w:color w:val="auto"/>
          <w:kern w:val="0"/>
          <w:sz w:val="28"/>
          <w:szCs w:val="28"/>
          <w:lang w:val="en-US" w:eastAsia="zh-CN"/>
        </w:rPr>
        <w:t>村</w:t>
      </w:r>
      <w:r>
        <w:rPr>
          <w:rFonts w:hint="eastAsia" w:ascii="仿宋" w:hAnsi="仿宋" w:eastAsia="仿宋" w:cs="仿宋"/>
          <w:color w:val="auto"/>
          <w:kern w:val="0"/>
          <w:sz w:val="28"/>
          <w:szCs w:val="28"/>
        </w:rPr>
        <w:t>镇法人单位进行沟通，并收集项目资金使用情况、目标完成情况、项目管理制度与执行情况及项目能力建设情况等相关资料，所有数据经核查后汇总，形成基础数据表。</w:t>
      </w:r>
    </w:p>
    <w:p>
      <w:pPr>
        <w:pStyle w:val="4"/>
        <w:pageBreakBefore w:val="0"/>
        <w:kinsoku/>
        <w:wordWrap/>
        <w:topLinePunct w:val="0"/>
        <w:bidi w:val="0"/>
        <w:spacing w:before="0" w:beforeLines="0" w:after="0" w:afterLines="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社会调查</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根据工作方案中确定的调查对象、调查内容和抽样方式，20</w:t>
      </w:r>
      <w:r>
        <w:rPr>
          <w:rFonts w:hint="eastAsia" w:ascii="仿宋" w:hAnsi="仿宋" w:eastAsia="仿宋" w:cs="仿宋"/>
          <w:color w:val="auto"/>
          <w:kern w:val="0"/>
          <w:sz w:val="28"/>
          <w:szCs w:val="28"/>
          <w:lang w:val="en-US" w:eastAsia="zh-CN"/>
        </w:rPr>
        <w:t>23</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11</w:t>
      </w:r>
      <w:r>
        <w:rPr>
          <w:rFonts w:hint="eastAsia" w:ascii="仿宋" w:hAnsi="仿宋" w:eastAsia="仿宋" w:cs="仿宋"/>
          <w:color w:val="auto"/>
          <w:kern w:val="0"/>
          <w:sz w:val="28"/>
          <w:szCs w:val="28"/>
        </w:rPr>
        <w:t>月，项目组以问卷调查的形式对工程范围内的村民开展满意度调查，共发放问卷</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份，实际有效回收</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份，有效回收率</w:t>
      </w:r>
      <w:r>
        <w:rPr>
          <w:rFonts w:hint="eastAsia" w:ascii="仿宋" w:hAnsi="仿宋" w:eastAsia="仿宋" w:cs="仿宋"/>
          <w:color w:val="auto"/>
          <w:kern w:val="0"/>
          <w:sz w:val="28"/>
          <w:szCs w:val="28"/>
          <w:lang w:val="en-US" w:eastAsia="zh-CN"/>
        </w:rPr>
        <w:t>100</w:t>
      </w:r>
      <w:r>
        <w:rPr>
          <w:rFonts w:hint="eastAsia" w:ascii="仿宋" w:hAnsi="仿宋" w:eastAsia="仿宋" w:cs="仿宋"/>
          <w:color w:val="auto"/>
          <w:kern w:val="0"/>
          <w:sz w:val="28"/>
          <w:szCs w:val="28"/>
        </w:rPr>
        <w:t>%。根据问卷调查结果，项目组撰写了社会调查问卷汇总分析报告。</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2023</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11</w:t>
      </w:r>
      <w:r>
        <w:rPr>
          <w:rFonts w:hint="eastAsia" w:ascii="仿宋" w:hAnsi="仿宋" w:eastAsia="仿宋" w:cs="仿宋"/>
          <w:color w:val="auto"/>
          <w:kern w:val="0"/>
          <w:sz w:val="28"/>
          <w:szCs w:val="28"/>
        </w:rPr>
        <w:t>月，项目组采用半开放型访谈的形式对</w:t>
      </w:r>
      <w:r>
        <w:rPr>
          <w:rFonts w:hint="eastAsia" w:ascii="仿宋" w:hAnsi="仿宋" w:eastAsia="仿宋" w:cs="仿宋"/>
          <w:color w:val="auto"/>
          <w:kern w:val="0"/>
          <w:sz w:val="28"/>
          <w:szCs w:val="28"/>
          <w:lang w:val="en-US" w:eastAsia="zh-CN"/>
        </w:rPr>
        <w:t>社区</w:t>
      </w:r>
      <w:r>
        <w:rPr>
          <w:rFonts w:hint="eastAsia" w:ascii="仿宋" w:hAnsi="仿宋" w:eastAsia="仿宋" w:cs="仿宋"/>
          <w:color w:val="auto"/>
          <w:kern w:val="0"/>
          <w:sz w:val="28"/>
          <w:szCs w:val="28"/>
        </w:rPr>
        <w:t>法人单位、村委会进行了访谈，了解了项目组织、实施管理、后期投入使用的具体情况</w:t>
      </w:r>
      <w:r>
        <w:rPr>
          <w:rFonts w:hint="eastAsia" w:ascii="仿宋" w:hAnsi="仿宋" w:eastAsia="仿宋" w:cs="仿宋"/>
          <w:color w:val="auto"/>
          <w:kern w:val="0"/>
          <w:sz w:val="28"/>
          <w:szCs w:val="28"/>
          <w:lang w:eastAsia="zh-CN"/>
        </w:rPr>
        <w:t>。</w:t>
      </w:r>
    </w:p>
    <w:p>
      <w:pPr>
        <w:pStyle w:val="4"/>
        <w:pageBreakBefore w:val="0"/>
        <w:kinsoku/>
        <w:wordWrap/>
        <w:topLinePunct w:val="0"/>
        <w:bidi w:val="0"/>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数据分析及撰写报告</w:t>
      </w:r>
    </w:p>
    <w:p>
      <w:pPr>
        <w:pageBreakBefore w:val="0"/>
        <w:widowControl/>
        <w:shd w:val="clear" w:color="auto" w:fill="FFFFFF"/>
        <w:kinsoku/>
        <w:wordWrap/>
        <w:topLinePunct w:val="0"/>
        <w:bidi w:val="0"/>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2023</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11</w:t>
      </w:r>
      <w:r>
        <w:rPr>
          <w:rFonts w:hint="eastAsia" w:ascii="仿宋" w:hAnsi="仿宋" w:eastAsia="仿宋" w:cs="仿宋"/>
          <w:color w:val="auto"/>
          <w:kern w:val="0"/>
          <w:sz w:val="28"/>
          <w:szCs w:val="28"/>
        </w:rPr>
        <w:t>月，项目组根据绩效评价的原理和</w:t>
      </w:r>
      <w:r>
        <w:rPr>
          <w:rFonts w:hint="eastAsia" w:ascii="仿宋" w:hAnsi="仿宋" w:eastAsia="仿宋" w:cs="仿宋"/>
          <w:color w:val="auto"/>
          <w:kern w:val="0"/>
          <w:sz w:val="28"/>
          <w:szCs w:val="28"/>
          <w:lang w:val="en-US" w:eastAsia="zh-CN"/>
        </w:rPr>
        <w:t>北塔区</w:t>
      </w:r>
      <w:r>
        <w:rPr>
          <w:rFonts w:hint="eastAsia" w:ascii="仿宋" w:hAnsi="仿宋" w:eastAsia="仿宋" w:cs="仿宋"/>
          <w:color w:val="auto"/>
          <w:kern w:val="0"/>
          <w:sz w:val="28"/>
          <w:szCs w:val="28"/>
        </w:rPr>
        <w:t>财政局的要求，对采集的数据进行甄别、分析；同时，提炼结论、撰写报告，并与</w:t>
      </w:r>
      <w:r>
        <w:rPr>
          <w:rFonts w:hint="eastAsia" w:ascii="仿宋" w:hAnsi="仿宋" w:eastAsia="仿宋" w:cs="仿宋"/>
          <w:color w:val="auto"/>
          <w:kern w:val="0"/>
          <w:sz w:val="28"/>
          <w:szCs w:val="28"/>
          <w:lang w:val="en-US" w:eastAsia="zh-CN"/>
        </w:rPr>
        <w:t>田江街道办事处</w:t>
      </w:r>
      <w:r>
        <w:rPr>
          <w:rFonts w:hint="eastAsia" w:ascii="仿宋" w:hAnsi="仿宋" w:eastAsia="仿宋" w:cs="仿宋"/>
          <w:color w:val="auto"/>
          <w:kern w:val="0"/>
          <w:sz w:val="28"/>
          <w:szCs w:val="28"/>
        </w:rPr>
        <w:t>保持充分的沟通，确保每个观点均有理有据后，形成最终的绩效评价报告。</w:t>
      </w:r>
    </w:p>
    <w:p>
      <w:pPr>
        <w:pStyle w:val="3"/>
        <w:pageBreakBefore w:val="0"/>
        <w:kinsoku/>
        <w:wordWrap/>
        <w:topLinePunct w:val="0"/>
        <w:bidi w:val="0"/>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四</w:t>
      </w:r>
      <w:r>
        <w:rPr>
          <w:rFonts w:hint="eastAsia" w:ascii="仿宋" w:hAnsi="仿宋" w:eastAsia="仿宋" w:cs="仿宋"/>
          <w:color w:val="auto"/>
        </w:rPr>
        <w:t>）绩效评价的局限性</w:t>
      </w:r>
    </w:p>
    <w:p>
      <w:pPr>
        <w:keepNext w:val="0"/>
        <w:keepLines w:val="0"/>
        <w:pageBreakBefore w:val="0"/>
        <w:widowControl w:val="0"/>
        <w:shd w:val="clear" w:color="auto" w:fill="FFFFFF"/>
        <w:kinsoku/>
        <w:wordWrap/>
        <w:overflowPunct w:val="0"/>
        <w:topLinePunct w:val="0"/>
        <w:autoSpaceDE/>
        <w:autoSpaceDN/>
        <w:bidi w:val="0"/>
        <w:adjustRightInd/>
        <w:snapToGrid/>
        <w:spacing w:line="540" w:lineRule="exact"/>
        <w:ind w:left="0" w:firstLine="56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本次成本分析中，因施工单位</w:t>
      </w:r>
      <w:r>
        <w:rPr>
          <w:rFonts w:hint="eastAsia" w:ascii="仿宋" w:hAnsi="仿宋" w:eastAsia="仿宋" w:cs="仿宋"/>
          <w:color w:val="auto"/>
          <w:kern w:val="0"/>
          <w:sz w:val="28"/>
          <w:szCs w:val="28"/>
          <w:lang w:val="en-US" w:eastAsia="zh-CN"/>
        </w:rPr>
        <w:t>未</w:t>
      </w:r>
      <w:r>
        <w:rPr>
          <w:rFonts w:hint="eastAsia" w:ascii="仿宋" w:hAnsi="仿宋" w:eastAsia="仿宋" w:cs="仿宋"/>
          <w:color w:val="auto"/>
          <w:kern w:val="0"/>
          <w:sz w:val="28"/>
          <w:szCs w:val="28"/>
        </w:rPr>
        <w:t>提供人工、材料及机械费用的原始凭据，因此</w:t>
      </w:r>
      <w:r>
        <w:rPr>
          <w:rFonts w:hint="eastAsia" w:ascii="仿宋" w:hAnsi="仿宋" w:eastAsia="仿宋" w:cs="仿宋"/>
          <w:color w:val="auto"/>
          <w:kern w:val="0"/>
          <w:sz w:val="28"/>
          <w:szCs w:val="28"/>
          <w:lang w:val="en-US" w:eastAsia="zh-CN"/>
        </w:rPr>
        <w:t>审计组</w:t>
      </w:r>
      <w:r>
        <w:rPr>
          <w:rFonts w:hint="eastAsia" w:ascii="仿宋" w:hAnsi="仿宋" w:eastAsia="仿宋" w:cs="仿宋"/>
          <w:color w:val="auto"/>
          <w:kern w:val="0"/>
          <w:sz w:val="28"/>
          <w:szCs w:val="28"/>
        </w:rPr>
        <w:t>主要依据</w:t>
      </w:r>
      <w:r>
        <w:rPr>
          <w:rFonts w:hint="eastAsia" w:ascii="仿宋" w:hAnsi="仿宋" w:eastAsia="仿宋" w:cs="仿宋"/>
          <w:color w:val="auto"/>
          <w:kern w:val="0"/>
          <w:sz w:val="28"/>
          <w:szCs w:val="28"/>
          <w:lang w:val="en-US" w:eastAsia="zh-CN"/>
        </w:rPr>
        <w:t>项目决算表</w:t>
      </w:r>
      <w:r>
        <w:rPr>
          <w:rFonts w:hint="eastAsia" w:ascii="仿宋" w:hAnsi="仿宋" w:eastAsia="仿宋" w:cs="仿宋"/>
          <w:color w:val="auto"/>
          <w:kern w:val="0"/>
          <w:sz w:val="28"/>
          <w:szCs w:val="28"/>
        </w:rPr>
        <w:t>中工程明细与人材机汇总明细数据进行成本分析。</w:t>
      </w:r>
    </w:p>
    <w:p>
      <w:pPr>
        <w:keepNext w:val="0"/>
        <w:keepLines w:val="0"/>
        <w:pageBreakBefore w:val="0"/>
        <w:widowControl w:val="0"/>
        <w:shd w:val="clear" w:color="auto" w:fill="FFFFFF"/>
        <w:kinsoku/>
        <w:wordWrap/>
        <w:overflowPunct w:val="0"/>
        <w:topLinePunct w:val="0"/>
        <w:autoSpaceDE/>
        <w:autoSpaceDN/>
        <w:bidi w:val="0"/>
        <w:adjustRightInd/>
        <w:snapToGrid/>
        <w:spacing w:line="540" w:lineRule="exact"/>
        <w:ind w:left="0" w:firstLine="560"/>
        <w:textAlignment w:val="auto"/>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三、评价结论和绩效分析</w:t>
      </w:r>
    </w:p>
    <w:p>
      <w:pPr>
        <w:pStyle w:val="3"/>
        <w:keepNext w:val="0"/>
        <w:keepLines w:val="0"/>
        <w:pageBreakBefore w:val="0"/>
        <w:widowControl w:val="0"/>
        <w:kinsoku/>
        <w:wordWrap/>
        <w:overflowPunct w:val="0"/>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（一）评价结论</w:t>
      </w:r>
    </w:p>
    <w:p>
      <w:pPr>
        <w:pStyle w:val="4"/>
        <w:pageBreakBefore w:val="0"/>
        <w:widowControl w:val="0"/>
        <w:kinsoku/>
        <w:wordWrap/>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评价结果</w:t>
      </w:r>
    </w:p>
    <w:p>
      <w:pPr>
        <w:pageBreakBefore w:val="0"/>
        <w:kinsoku/>
        <w:wordWrap/>
        <w:topLinePunct w:val="0"/>
        <w:bidi w:val="0"/>
        <w:spacing w:line="54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rPr>
        <w:t>通过数据采集、问卷调查及访谈，对</w:t>
      </w:r>
      <w:r>
        <w:rPr>
          <w:rFonts w:hint="eastAsia" w:ascii="仿宋" w:hAnsi="仿宋" w:eastAsia="仿宋" w:cs="仿宋"/>
          <w:color w:val="auto"/>
          <w:kern w:val="0"/>
          <w:sz w:val="28"/>
          <w:szCs w:val="28"/>
          <w:lang w:val="en-US" w:eastAsia="zh-CN"/>
        </w:rPr>
        <w:t>北塔</w:t>
      </w:r>
      <w:r>
        <w:rPr>
          <w:rFonts w:hint="eastAsia" w:ascii="仿宋" w:hAnsi="仿宋" w:eastAsia="仿宋" w:cs="仿宋"/>
          <w:color w:val="auto"/>
          <w:kern w:val="0"/>
          <w:sz w:val="28"/>
          <w:szCs w:val="28"/>
        </w:rPr>
        <w:t>区</w:t>
      </w:r>
      <w:r>
        <w:rPr>
          <w:rFonts w:hint="eastAsia" w:ascii="仿宋" w:hAnsi="仿宋" w:eastAsia="仿宋" w:cs="仿宋"/>
          <w:color w:val="auto"/>
          <w:kern w:val="0"/>
          <w:sz w:val="28"/>
          <w:szCs w:val="28"/>
          <w:lang w:val="en-US" w:eastAsia="zh-CN"/>
        </w:rPr>
        <w:t>田江街道邓家社区</w:t>
      </w:r>
      <w:r>
        <w:rPr>
          <w:rFonts w:hint="eastAsia" w:ascii="仿宋" w:hAnsi="仿宋" w:eastAsia="仿宋" w:cs="仿宋"/>
          <w:color w:val="auto"/>
          <w:kern w:val="0"/>
          <w:sz w:val="28"/>
          <w:szCs w:val="28"/>
        </w:rPr>
        <w:t>污水处理项目绩效进行客观评价，最终评分结果为</w:t>
      </w:r>
      <w:r>
        <w:rPr>
          <w:rFonts w:hint="eastAsia" w:ascii="仿宋" w:hAnsi="仿宋" w:eastAsia="仿宋" w:cs="仿宋"/>
          <w:color w:val="auto"/>
          <w:kern w:val="0"/>
          <w:sz w:val="28"/>
          <w:szCs w:val="28"/>
          <w:lang w:val="en-US" w:eastAsia="zh-CN"/>
        </w:rPr>
        <w:t>88</w:t>
      </w:r>
      <w:r>
        <w:rPr>
          <w:rFonts w:hint="eastAsia" w:ascii="仿宋" w:hAnsi="仿宋" w:eastAsia="仿宋" w:cs="仿宋"/>
          <w:color w:val="auto"/>
          <w:kern w:val="0"/>
          <w:sz w:val="28"/>
          <w:szCs w:val="28"/>
        </w:rPr>
        <w:t>分，绩效评级为“</w:t>
      </w:r>
      <w:r>
        <w:rPr>
          <w:rFonts w:hint="eastAsia" w:ascii="仿宋" w:hAnsi="仿宋" w:eastAsia="仿宋" w:cs="仿宋"/>
          <w:color w:val="auto"/>
          <w:kern w:val="0"/>
          <w:sz w:val="28"/>
          <w:szCs w:val="28"/>
          <w:lang w:val="en-US" w:eastAsia="zh-CN"/>
        </w:rPr>
        <w:t>良</w:t>
      </w:r>
      <w:r>
        <w:rPr>
          <w:rFonts w:hint="eastAsia" w:ascii="仿宋" w:hAnsi="仿宋" w:eastAsia="仿宋" w:cs="仿宋"/>
          <w:color w:val="auto"/>
          <w:kern w:val="0"/>
          <w:sz w:val="28"/>
          <w:szCs w:val="28"/>
        </w:rPr>
        <w:t>”。</w:t>
      </w:r>
      <w:r>
        <w:rPr>
          <w:rFonts w:hint="eastAsia" w:ascii="仿宋" w:hAnsi="仿宋" w:eastAsia="仿宋" w:cs="仿宋"/>
          <w:color w:val="auto"/>
          <w:sz w:val="28"/>
          <w:szCs w:val="28"/>
          <w:highlight w:val="none"/>
          <w:lang w:val="en-US" w:eastAsia="zh-CN"/>
        </w:rPr>
        <w:t xml:space="preserve"> 2022年邓家社区污水处理项目“一事一议”奖补资金评价指标体系分为共性指标和个性指标，共性指标包括决策和过程，设定分值为50分，其中决策指标设定20分，过程指标设定30分。个性指标设定分值为50分，其中产出指标20分，效益指标30分。具体评分情况如下：</w:t>
      </w:r>
    </w:p>
    <w:p>
      <w:pPr>
        <w:keepNext w:val="0"/>
        <w:keepLines w:val="0"/>
        <w:pageBreakBefore w:val="0"/>
        <w:tabs>
          <w:tab w:val="left" w:pos="1560"/>
        </w:tabs>
        <w:kinsoku/>
        <w:wordWrap/>
        <w:overflowPunct/>
        <w:topLinePunct w:val="0"/>
        <w:autoSpaceDE/>
        <w:autoSpaceDN/>
        <w:bidi w:val="0"/>
        <w:adjustRightInd/>
        <w:snapToGrid/>
        <w:spacing w:line="540" w:lineRule="exact"/>
        <w:ind w:left="0" w:firstLine="562" w:firstLineChars="200"/>
        <w:jc w:val="left"/>
        <w:textAlignment w:val="auto"/>
        <w:outlineLvl w:val="0"/>
        <w:rPr>
          <w:rFonts w:hint="eastAsia" w:ascii="仿宋" w:hAnsi="仿宋" w:eastAsia="仿宋" w:cs="仿宋"/>
          <w:b/>
          <w:bCs/>
          <w:color w:val="auto"/>
          <w:sz w:val="28"/>
          <w:szCs w:val="28"/>
          <w:highlight w:val="none"/>
          <w:lang w:val="en-US" w:eastAsia="zh-CN"/>
        </w:rPr>
      </w:pPr>
      <w:bookmarkStart w:id="0" w:name="_Toc2186"/>
      <w:bookmarkStart w:id="1" w:name="_Toc32016"/>
      <w:bookmarkStart w:id="2" w:name="_Toc14642"/>
      <w:bookmarkStart w:id="3" w:name="_Toc20677"/>
      <w:bookmarkStart w:id="4" w:name="_Toc1052"/>
      <w:bookmarkStart w:id="5" w:name="_Toc12255"/>
      <w:bookmarkStart w:id="6" w:name="_Toc6223"/>
      <w:bookmarkStart w:id="7" w:name="_Toc21414"/>
      <w:bookmarkStart w:id="8" w:name="_Toc27519"/>
      <w:bookmarkStart w:id="9" w:name="_Toc3360"/>
      <w:r>
        <w:rPr>
          <w:rFonts w:hint="eastAsia" w:ascii="仿宋" w:hAnsi="仿宋" w:eastAsia="仿宋" w:cs="仿宋"/>
          <w:b/>
          <w:bCs/>
          <w:color w:val="auto"/>
          <w:sz w:val="28"/>
          <w:szCs w:val="28"/>
          <w:highlight w:val="none"/>
          <w:lang w:val="en-US" w:eastAsia="zh-CN"/>
        </w:rPr>
        <w:t>①共性指标-决策和过程评价</w:t>
      </w:r>
      <w:bookmarkEnd w:id="0"/>
      <w:bookmarkEnd w:id="1"/>
      <w:bookmarkEnd w:id="2"/>
      <w:bookmarkEnd w:id="3"/>
      <w:bookmarkEnd w:id="4"/>
      <w:bookmarkEnd w:id="5"/>
      <w:bookmarkEnd w:id="6"/>
      <w:bookmarkEnd w:id="7"/>
      <w:bookmarkEnd w:id="8"/>
      <w:bookmarkEnd w:id="9"/>
    </w:p>
    <w:p>
      <w:pPr>
        <w:keepNext w:val="0"/>
        <w:keepLines w:val="0"/>
        <w:pageBreakBefore w:val="0"/>
        <w:tabs>
          <w:tab w:val="left" w:pos="1560"/>
        </w:tabs>
        <w:kinsoku/>
        <w:wordWrap/>
        <w:overflowPunct/>
        <w:topLinePunct w:val="0"/>
        <w:autoSpaceDE/>
        <w:autoSpaceDN/>
        <w:bidi w:val="0"/>
        <w:adjustRightInd/>
        <w:snapToGrid/>
        <w:spacing w:line="540" w:lineRule="exact"/>
        <w:ind w:left="0" w:firstLine="640" w:firstLineChars="0"/>
        <w:jc w:val="left"/>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共性指标50分，实际得分38分，扣12分，其中决策评价扣3分，过程评价扣9分，具体扣分情况如下：</w:t>
      </w:r>
    </w:p>
    <w:p>
      <w:pPr>
        <w:keepNext w:val="0"/>
        <w:keepLines w:val="0"/>
        <w:pageBreakBefore w:val="0"/>
        <w:tabs>
          <w:tab w:val="left" w:pos="1560"/>
        </w:tabs>
        <w:kinsoku/>
        <w:wordWrap/>
        <w:overflowPunct/>
        <w:topLinePunct w:val="0"/>
        <w:autoSpaceDE/>
        <w:autoSpaceDN/>
        <w:bidi w:val="0"/>
        <w:adjustRightInd/>
        <w:snapToGrid/>
        <w:spacing w:line="540" w:lineRule="exact"/>
        <w:ind w:left="0" w:firstLine="640" w:firstLineChars="0"/>
        <w:jc w:val="left"/>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项目决策总分20分，实际得分17分，扣3分。扣分明细为：项目立项资料不充分，扣1分；部分绩效目标说明不清晰，扣2分。  </w:t>
      </w:r>
    </w:p>
    <w:p>
      <w:pPr>
        <w:pageBreakBefore w:val="0"/>
        <w:kinsoku/>
        <w:wordWrap/>
        <w:topLinePunct w:val="0"/>
        <w:bidi w:val="0"/>
        <w:spacing w:line="540" w:lineRule="exact"/>
        <w:ind w:left="0"/>
        <w:textAlignment w:val="auto"/>
        <w:rPr>
          <w:rFonts w:hint="eastAsia" w:ascii="仿宋" w:hAnsi="仿宋" w:eastAsia="仿宋" w:cs="仿宋"/>
          <w:lang w:val="en-US" w:eastAsia="zh-CN"/>
        </w:rPr>
      </w:pPr>
      <w:r>
        <w:rPr>
          <w:rFonts w:hint="eastAsia" w:ascii="仿宋" w:hAnsi="仿宋" w:eastAsia="仿宋" w:cs="仿宋"/>
          <w:lang w:val="en-US" w:eastAsia="zh-CN"/>
        </w:rPr>
        <w:t>项目过程总分30分，实际得分21分，扣9分。扣分明细为：缺少业务管理资料和财务管理资料，扣5分；缺少招投标资料和公示佐证资料，扣2分；缺少项目监理资料，扣1分；部分说明不完整，扣1分。</w:t>
      </w:r>
    </w:p>
    <w:p>
      <w:pPr>
        <w:keepNext w:val="0"/>
        <w:keepLines w:val="0"/>
        <w:pageBreakBefore w:val="0"/>
        <w:tabs>
          <w:tab w:val="left" w:pos="1560"/>
        </w:tabs>
        <w:kinsoku/>
        <w:wordWrap/>
        <w:overflowPunct/>
        <w:topLinePunct w:val="0"/>
        <w:autoSpaceDE/>
        <w:autoSpaceDN/>
        <w:bidi w:val="0"/>
        <w:adjustRightInd/>
        <w:snapToGrid/>
        <w:spacing w:line="540" w:lineRule="exact"/>
        <w:ind w:left="0" w:firstLine="562" w:firstLineChars="200"/>
        <w:jc w:val="left"/>
        <w:textAlignment w:val="auto"/>
        <w:outlineLvl w:val="0"/>
        <w:rPr>
          <w:rFonts w:hint="eastAsia" w:ascii="仿宋" w:hAnsi="仿宋" w:eastAsia="仿宋" w:cs="仿宋"/>
          <w:b/>
          <w:bCs/>
          <w:color w:val="auto"/>
          <w:sz w:val="28"/>
          <w:szCs w:val="28"/>
          <w:highlight w:val="none"/>
          <w:lang w:val="en-US" w:eastAsia="zh-CN"/>
        </w:rPr>
      </w:pPr>
      <w:bookmarkStart w:id="10" w:name="_Toc2100"/>
      <w:bookmarkStart w:id="11" w:name="_Toc11926"/>
      <w:bookmarkStart w:id="12" w:name="_Toc12502"/>
      <w:bookmarkStart w:id="13" w:name="_Toc5548"/>
      <w:bookmarkStart w:id="14" w:name="_Toc6160"/>
      <w:bookmarkStart w:id="15" w:name="_Toc13736"/>
      <w:bookmarkStart w:id="16" w:name="_Toc23457"/>
      <w:bookmarkStart w:id="17" w:name="_Toc25454"/>
      <w:bookmarkStart w:id="18" w:name="_Toc16771"/>
      <w:bookmarkStart w:id="19" w:name="_Toc22394"/>
      <w:r>
        <w:rPr>
          <w:rFonts w:hint="eastAsia" w:ascii="仿宋" w:hAnsi="仿宋" w:eastAsia="仿宋" w:cs="仿宋"/>
          <w:b/>
          <w:bCs/>
          <w:color w:val="auto"/>
          <w:sz w:val="28"/>
          <w:szCs w:val="28"/>
          <w:highlight w:val="none"/>
          <w:lang w:val="en-US" w:eastAsia="zh-CN"/>
        </w:rPr>
        <w:t>②个性指标-预算支出产出和效益评价</w:t>
      </w:r>
      <w:bookmarkEnd w:id="10"/>
      <w:bookmarkEnd w:id="11"/>
      <w:bookmarkEnd w:id="12"/>
      <w:bookmarkEnd w:id="13"/>
      <w:bookmarkEnd w:id="14"/>
      <w:bookmarkEnd w:id="15"/>
      <w:bookmarkEnd w:id="16"/>
      <w:bookmarkEnd w:id="17"/>
      <w:bookmarkEnd w:id="18"/>
      <w:bookmarkEnd w:id="19"/>
    </w:p>
    <w:p>
      <w:pPr>
        <w:keepNext w:val="0"/>
        <w:keepLines w:val="0"/>
        <w:pageBreakBefore w:val="0"/>
        <w:tabs>
          <w:tab w:val="left" w:pos="1560"/>
        </w:tabs>
        <w:kinsoku/>
        <w:wordWrap/>
        <w:overflowPunct/>
        <w:topLinePunct w:val="0"/>
        <w:autoSpaceDE/>
        <w:autoSpaceDN/>
        <w:bidi w:val="0"/>
        <w:adjustRightInd/>
        <w:snapToGrid/>
        <w:spacing w:line="540" w:lineRule="exact"/>
        <w:ind w:left="0" w:firstLine="0" w:firstLineChars="0"/>
        <w:jc w:val="left"/>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个性指标设定分值为50分，其中产出指标20分，包括数量、质量、成本和时效指标；效益指标30分，包括社会效益、生态效益、可持续影响及服务对象满意度。个性指标评分情况如下：</w:t>
      </w:r>
    </w:p>
    <w:p>
      <w:pPr>
        <w:keepNext w:val="0"/>
        <w:keepLines w:val="0"/>
        <w:pageBreakBefore w:val="0"/>
        <w:tabs>
          <w:tab w:val="left" w:pos="1560"/>
        </w:tabs>
        <w:kinsoku/>
        <w:wordWrap/>
        <w:overflowPunct/>
        <w:topLinePunct w:val="0"/>
        <w:autoSpaceDE/>
        <w:autoSpaceDN/>
        <w:bidi w:val="0"/>
        <w:adjustRightInd/>
        <w:snapToGrid/>
        <w:spacing w:line="540" w:lineRule="exact"/>
        <w:ind w:left="0" w:firstLine="560" w:firstLineChars="200"/>
        <w:jc w:val="left"/>
        <w:textAlignment w:val="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lang w:val="en-US" w:eastAsia="zh-CN"/>
        </w:rPr>
        <w:t>个性指标总分50分，实际得分50分，无扣分情况。</w:t>
      </w:r>
    </w:p>
    <w:p>
      <w:pPr>
        <w:pStyle w:val="13"/>
        <w:pageBreakBefore w:val="0"/>
        <w:kinsoku/>
        <w:wordWrap/>
        <w:topLinePunct w:val="0"/>
        <w:bidi w:val="0"/>
        <w:spacing w:line="540" w:lineRule="exact"/>
        <w:ind w:left="0"/>
        <w:textAlignment w:val="auto"/>
        <w:rPr>
          <w:rFonts w:hint="eastAsia" w:ascii="仿宋" w:hAnsi="仿宋" w:eastAsia="仿宋" w:cs="仿宋"/>
          <w:lang w:val="en-US" w:eastAsia="zh-CN"/>
        </w:rPr>
      </w:pPr>
    </w:p>
    <w:p>
      <w:pPr>
        <w:pageBreakBefore w:val="0"/>
        <w:kinsoku/>
        <w:wordWrap/>
        <w:topLinePunct w:val="0"/>
        <w:bidi w:val="0"/>
        <w:spacing w:line="540" w:lineRule="exact"/>
        <w:ind w:left="0" w:firstLine="560" w:firstLineChars="200"/>
        <w:jc w:val="both"/>
        <w:textAlignment w:val="auto"/>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附件1：田江街道邓家社区污水处理项目绩效评价指标表</w:t>
      </w:r>
    </w:p>
    <w:p>
      <w:pPr>
        <w:pageBreakBefore w:val="0"/>
        <w:kinsoku/>
        <w:wordWrap/>
        <w:topLinePunct w:val="0"/>
        <w:bidi w:val="0"/>
        <w:spacing w:line="540" w:lineRule="exact"/>
        <w:ind w:left="0" w:firstLine="640" w:firstLineChars="200"/>
        <w:textAlignment w:val="auto"/>
        <w:rPr>
          <w:rFonts w:hint="eastAsia" w:ascii="仿宋" w:hAnsi="仿宋" w:eastAsia="仿宋" w:cs="仿宋"/>
          <w:spacing w:val="0"/>
          <w:kern w:val="2"/>
          <w:sz w:val="32"/>
          <w:szCs w:val="32"/>
          <w:lang w:val="en-US" w:eastAsia="zh-CN" w:bidi="ar-SA"/>
        </w:rPr>
      </w:pPr>
    </w:p>
    <w:p>
      <w:pPr>
        <w:spacing w:line="600" w:lineRule="exact"/>
        <w:jc w:val="center"/>
        <w:rPr>
          <w:rFonts w:hint="eastAsia" w:ascii="仿宋" w:hAnsi="仿宋" w:eastAsia="仿宋" w:cs="仿宋"/>
          <w:b/>
          <w:bCs/>
          <w:spacing w:val="-20"/>
          <w:sz w:val="28"/>
          <w:szCs w:val="28"/>
        </w:rPr>
      </w:pPr>
    </w:p>
    <w:p>
      <w:pPr>
        <w:spacing w:line="600" w:lineRule="exact"/>
        <w:jc w:val="right"/>
        <w:rPr>
          <w:rFonts w:hint="eastAsia" w:ascii="仿宋" w:hAnsi="仿宋" w:eastAsia="仿宋" w:cs="仿宋"/>
          <w:b/>
          <w:bCs/>
          <w:sz w:val="28"/>
          <w:szCs w:val="28"/>
        </w:rPr>
      </w:pPr>
      <w:r>
        <w:rPr>
          <w:rFonts w:hint="eastAsia" w:ascii="仿宋" w:hAnsi="仿宋" w:eastAsia="仿宋" w:cs="仿宋"/>
          <w:b/>
          <w:bCs/>
          <w:spacing w:val="-20"/>
          <w:sz w:val="28"/>
          <w:szCs w:val="28"/>
        </w:rPr>
        <w:t>湖南</w:t>
      </w:r>
      <w:r>
        <w:rPr>
          <w:rFonts w:hint="eastAsia" w:ascii="仿宋" w:hAnsi="仿宋" w:eastAsia="仿宋" w:cs="仿宋"/>
          <w:b/>
          <w:bCs/>
          <w:spacing w:val="-20"/>
          <w:sz w:val="28"/>
          <w:szCs w:val="28"/>
          <w:lang w:val="en-US" w:eastAsia="zh-CN"/>
        </w:rPr>
        <w:t>骏新联合会计师事务所</w:t>
      </w:r>
      <w:r>
        <w:rPr>
          <w:rFonts w:hint="eastAsia" w:ascii="仿宋" w:hAnsi="仿宋" w:eastAsia="仿宋" w:cs="仿宋"/>
          <w:b/>
          <w:bCs/>
          <w:spacing w:val="-20"/>
          <w:sz w:val="28"/>
          <w:szCs w:val="28"/>
        </w:rPr>
        <w:t>（普通合伙）</w:t>
      </w:r>
    </w:p>
    <w:p>
      <w:pPr>
        <w:spacing w:line="60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二○二</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年十一月</w:t>
      </w:r>
      <w:r>
        <w:rPr>
          <w:rFonts w:hint="eastAsia" w:ascii="仿宋" w:hAnsi="仿宋" w:eastAsia="仿宋" w:cs="仿宋"/>
          <w:b/>
          <w:bCs/>
          <w:sz w:val="28"/>
          <w:szCs w:val="28"/>
          <w:lang w:val="en-US" w:eastAsia="zh-CN"/>
        </w:rPr>
        <w:t>二十六</w:t>
      </w:r>
      <w:r>
        <w:rPr>
          <w:rFonts w:hint="eastAsia" w:ascii="仿宋" w:hAnsi="仿宋" w:eastAsia="仿宋" w:cs="仿宋"/>
          <w:b/>
          <w:bCs/>
          <w:sz w:val="28"/>
          <w:szCs w:val="28"/>
        </w:rPr>
        <w:t>日</w:t>
      </w:r>
    </w:p>
    <w:p>
      <w:pPr>
        <w:pStyle w:val="13"/>
        <w:jc w:val="right"/>
        <w:rPr>
          <w:rFonts w:hint="eastAsia" w:ascii="仿宋" w:hAnsi="仿宋" w:eastAsia="仿宋" w:cs="仿宋"/>
          <w:b w:val="0"/>
          <w:bCs w:val="0"/>
        </w:rPr>
        <w:sectPr>
          <w:footerReference r:id="rId3" w:type="default"/>
          <w:pgSz w:w="11906" w:h="16838"/>
          <w:pgMar w:top="1440" w:right="1800" w:bottom="1440" w:left="1800" w:header="851" w:footer="992" w:gutter="0"/>
          <w:pgNumType w:fmt="decimal" w:start="1"/>
          <w:cols w:space="425" w:num="1"/>
          <w:docGrid w:type="lines" w:linePitch="312" w:charSpace="0"/>
        </w:sectPr>
      </w:pPr>
    </w:p>
    <w:p>
      <w:pPr>
        <w:numPr>
          <w:ilvl w:val="0"/>
          <w:numId w:val="0"/>
        </w:numPr>
        <w:rPr>
          <w:rFonts w:hint="eastAsia" w:ascii="黑体" w:hAnsi="黑体" w:eastAsia="黑体" w:cs="黑体"/>
          <w:bCs/>
          <w:sz w:val="36"/>
          <w:szCs w:val="36"/>
          <w:lang w:val="en-US" w:eastAsia="zh-CN"/>
        </w:rPr>
      </w:pPr>
      <w:r>
        <w:rPr>
          <w:rFonts w:hint="eastAsia" w:ascii="仿宋" w:hAnsi="仿宋" w:eastAsia="仿宋" w:cs="仿宋"/>
          <w:spacing w:val="0"/>
          <w:kern w:val="2"/>
          <w:sz w:val="28"/>
          <w:szCs w:val="28"/>
          <w:lang w:val="en-US" w:eastAsia="zh-CN" w:bidi="ar-SA"/>
        </w:rPr>
        <w:t>附件1：</w:t>
      </w:r>
    </w:p>
    <w:p>
      <w:pPr>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田江街道邓家社区污水处理项目</w:t>
      </w:r>
      <w:r>
        <w:rPr>
          <w:rFonts w:hint="eastAsia" w:ascii="黑体" w:hAnsi="黑体" w:eastAsia="黑体" w:cs="黑体"/>
          <w:bCs/>
          <w:sz w:val="36"/>
          <w:szCs w:val="36"/>
        </w:rPr>
        <w:t>绩效评价指标表</w:t>
      </w:r>
    </w:p>
    <w:tbl>
      <w:tblPr>
        <w:tblStyle w:val="10"/>
        <w:tblW w:w="15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441"/>
        <w:gridCol w:w="1639"/>
        <w:gridCol w:w="3480"/>
        <w:gridCol w:w="680"/>
        <w:gridCol w:w="5594"/>
        <w:gridCol w:w="68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一级指标</w:t>
            </w:r>
          </w:p>
        </w:tc>
        <w:tc>
          <w:tcPr>
            <w:tcW w:w="1441"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二级指标</w:t>
            </w: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三级指标</w:t>
            </w:r>
          </w:p>
        </w:tc>
        <w:tc>
          <w:tcPr>
            <w:tcW w:w="34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指标解释</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分数</w:t>
            </w:r>
          </w:p>
        </w:tc>
        <w:tc>
          <w:tcPr>
            <w:tcW w:w="5594"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评价标准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得分</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80"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决策</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（20分）</w:t>
            </w: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项目立项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（8分）</w:t>
            </w:r>
          </w:p>
        </w:tc>
        <w:tc>
          <w:tcPr>
            <w:tcW w:w="1639" w:type="dxa"/>
            <w:shd w:val="clear" w:color="auto" w:fill="auto"/>
            <w:vAlign w:val="center"/>
          </w:tcPr>
          <w:p>
            <w:pPr>
              <w:pStyle w:val="15"/>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项目立项充分性</w:t>
            </w:r>
          </w:p>
        </w:tc>
        <w:tc>
          <w:tcPr>
            <w:tcW w:w="3480"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项目立项是否符合法律法规、相关政策、发展规划以及部门职责</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①立项符合国家相关法律法规、国民经济发展规划和相关政策，得1分，否则不得分；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②立项符合行业发展规划和政策要求，得1分，否则不得分；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③立项与部门职责范围相符，属于部门履职所需，得1分，否则不得分。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缺少立项批复文件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5"/>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立项程序规范性</w:t>
            </w:r>
          </w:p>
        </w:tc>
        <w:tc>
          <w:tcPr>
            <w:tcW w:w="3480"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项目支出申请、设立过程是否符合相关要求</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①预算支出按照规定的程序申请设立，得2分，否则不得分；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②审批文件、材料符合相关要求，得1分，否则不得分；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③事前已经过必要的可行性研究、专家论证、风险评估、绩效评估、集体决策，得2分，否则不得分。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5</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绩效目标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（6分）</w:t>
            </w:r>
          </w:p>
        </w:tc>
        <w:tc>
          <w:tcPr>
            <w:tcW w:w="1639" w:type="dxa"/>
            <w:shd w:val="clear" w:color="auto" w:fill="auto"/>
            <w:vAlign w:val="center"/>
          </w:tcPr>
          <w:p>
            <w:pPr>
              <w:pStyle w:val="15"/>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绩效目标合理性</w:t>
            </w:r>
          </w:p>
        </w:tc>
        <w:tc>
          <w:tcPr>
            <w:tcW w:w="3480"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项目支出所设定的绩效目标是否依据充分，是否符合客观实际</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①预算支出有绩效目标，得1分，否则不得分；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②预算支出绩效目标与实际工作内容具有相关性，得1分，否则不得分。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5"/>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绩效指标明确性</w:t>
            </w:r>
          </w:p>
        </w:tc>
        <w:tc>
          <w:tcPr>
            <w:tcW w:w="3480"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依据绩效目标设定的绩效指标是否清晰、细化、可衡量等</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5594"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①将预算支出绩效目标细化分解为具体的绩效指标，得2分，否则不得分；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②通过清晰、可衡量的指标值体现，得2分，否则不得分。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实际值说明不清晰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资金投入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（6分）</w:t>
            </w: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预算编制科学性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预算编制是否经过科学论证、有明确标准，资金额度与年度目标是否相适应</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①预算编制是否经过科学论证，是得1分，否则不得分；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sz w:val="21"/>
                <w:szCs w:val="21"/>
              </w:rPr>
              <w:t>②</w:t>
            </w:r>
            <w:r>
              <w:rPr>
                <w:rFonts w:hint="eastAsia" w:asciiTheme="minorEastAsia" w:hAnsiTheme="minorEastAsia" w:eastAsiaTheme="minorEastAsia" w:cstheme="minorEastAsia"/>
                <w:color w:val="000000"/>
                <w:kern w:val="0"/>
                <w:sz w:val="21"/>
                <w:szCs w:val="21"/>
              </w:rPr>
              <w:t>预算额度测算依据是否充分，是否按照标准编制，是得1分，否则不得分；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资金分配合理性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预算资金分配补助单位或地方实际是否相适应</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①预算资金分配依据是否充分，是得2分，否则不得分；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sz w:val="21"/>
                <w:szCs w:val="21"/>
              </w:rPr>
              <w:t>②</w:t>
            </w:r>
            <w:r>
              <w:rPr>
                <w:rFonts w:hint="eastAsia" w:asciiTheme="minorEastAsia" w:hAnsiTheme="minorEastAsia" w:eastAsiaTheme="minorEastAsia" w:cstheme="minorEastAsia"/>
                <w:color w:val="000000"/>
                <w:kern w:val="0"/>
                <w:sz w:val="21"/>
                <w:szCs w:val="21"/>
              </w:rPr>
              <w:t>资金分配结果是否在公示，是得2分，否则不得分；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Merge w:val="restart"/>
            <w:shd w:val="clear" w:color="auto" w:fill="auto"/>
            <w:vAlign w:val="center"/>
          </w:tcPr>
          <w:p>
            <w:pPr>
              <w:widowControl/>
              <w:adjustRightInd w:val="0"/>
              <w:snapToGrid w:val="0"/>
              <w:ind w:firstLine="210" w:firstLineChars="1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过程</w:t>
            </w:r>
          </w:p>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br w:type="page"/>
            </w:r>
            <w:r>
              <w:rPr>
                <w:rFonts w:hint="eastAsia" w:asciiTheme="minorEastAsia" w:hAnsiTheme="minorEastAsia" w:eastAsiaTheme="minorEastAsia" w:cstheme="minorEastAsia"/>
                <w:color w:val="000000"/>
                <w:kern w:val="0"/>
                <w:sz w:val="21"/>
                <w:szCs w:val="21"/>
              </w:rPr>
              <w:t>(30分）</w:t>
            </w: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资金管理</w:t>
            </w:r>
            <w:r>
              <w:rPr>
                <w:rFonts w:hint="eastAsia" w:asciiTheme="minorEastAsia" w:hAnsiTheme="minorEastAsia" w:eastAsiaTheme="minorEastAsia" w:cstheme="minorEastAsia"/>
                <w:color w:val="000000"/>
                <w:kern w:val="0"/>
                <w:sz w:val="21"/>
                <w:szCs w:val="21"/>
              </w:rPr>
              <w:br w:type="page"/>
            </w:r>
          </w:p>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（15分）</w:t>
            </w:r>
          </w:p>
          <w:p>
            <w:pPr>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资金到位率</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用以反映和考核资金落实情况对预算支出实施的总体保障程度=（实际到位数/预算数）×100%</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资金到位率90%以上，得3分；资金到位率80%以上，得2分；资金到位率70%以上，得1分；低于70%不得分。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预算执行率</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用以反映项目预算执行的进度预算执行率=（实际支出数/预算数）×100%</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预算执行率100%，得6分；预算执行率90%以上，得4分；预算执行率85%以上，得3分；预算执行率80%以上，得2分；预算执行率75%以上，得1分，低于75%不得分。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预算执行率为100%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资金使用合规性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是否存在资金挤占、挪用情况，重复申报、虚报冒领的情况</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①未进行专项核算，扣2分；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②存在截留、挤占、挪用、虚列支出等情况，扣2分；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③存在重复申报、虚报冒领的情况，扣2分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组织实施</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（15分）</w:t>
            </w: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管理制度健全性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实施单位的财务和业务管理制度是否健全</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①制定相应的财务管理制度，得1分；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②制定相应的业务管理制度，得1分；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③制定的管理制度得到有效执行，得3分。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缺少管理制度资料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5"/>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制度执行有效性</w:t>
            </w:r>
          </w:p>
        </w:tc>
        <w:tc>
          <w:tcPr>
            <w:tcW w:w="3480"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预算支出实施是否符合相关业务管理规定</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①项目支出等资料齐全并及时归档，得1分；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②项目实施所需相关条件等落实到位，得0.5分；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③项目实施内容与申报一致，得0.5分。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工程招投标</w:t>
            </w:r>
          </w:p>
        </w:tc>
        <w:tc>
          <w:tcPr>
            <w:tcW w:w="3480"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①工程建设招投标手续是否齐全；②合同签订是否规范，合同是否按照招标文件签订；③是否按要求进行公示。</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①工程建设招投标手续是否齐全；1分②合同签订是否规范，合同是否按照招标文件签订；0.5分③是否按要求进行公示0.5分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缺少招投标资料和公示佐证资料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项目质量</w:t>
            </w:r>
          </w:p>
        </w:tc>
        <w:tc>
          <w:tcPr>
            <w:tcW w:w="3480"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是否已制定或具有相应的项目质量要求或标准；②是否采取了相应的项目质量检查、验收等必需的控制措施或手段；③是否实行项目监理制度，监理资料是否齐全；④工程施工中涉及变更是否按规定履行相关程序；</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是否已制定或具有相应的项目质量要求或标准；0.5分②是否采取了相应的项目质量检查、验收等必需的控制措施或手段；1分③是否实行项目监理制度，监理资料是否齐全；1分④工程施工中涉及变更是否按规定履行相关程序；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缺少项目监理资料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5"/>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绩效自评情况</w:t>
            </w:r>
          </w:p>
        </w:tc>
        <w:tc>
          <w:tcPr>
            <w:tcW w:w="3480"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实施单位是否按绩效管理的要求开展项目绩效自评</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pStyle w:val="15"/>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①按要求开展绩效自评工作，得0.5分，否则不得分；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②绩效自评报告报送及时，得0.5分，否则不得分；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③绩效自评报告的综合评审等级，优得1分，良得0.5分，中得0.3分，差不得分；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④绩效自评报告是否完整，数据是否全面、真实、准确，绩效指标是否细化量化和科学合理，绩效自评反映的问题是否具体，意见是否可行，是得1分，否则不得分。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部分说明不完整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1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（20分）</w:t>
            </w: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产出数量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绩效目标</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实际完成率</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项目实施的实际产出数量与计划产出数量的比率，用以反映和考核项目产出数量目标的实现程度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实际完成率=（实际产出数量/计划产出数量）×100%。</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实际产出数量：一定时期（本年度或项目期）内项目实际产出的产品或提供的服务数量。</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计划产出数量：项目绩效目标确定的在一定时期（本年度或项目期）内计划产出的产品或提供的服务数量。</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实际完成率*权重分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产出质量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质量达标率</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项目完成的质量达标产出数与实际产出数的比率，用以反映和考核项目产出的质量状况</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质量达标率=（质量达标产出数量/计划完成产出数量）×100%。质量达标产出数：一定时期（本年度或项目期）内实际达到既定质量标准的产品或服务数量。</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既定质量标准是指项目实施单位设立绩效目标时依据计划标准、行业标准、历史标准或其他标准而设定的绩效指标值。</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质量达标率*权重分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产出时效</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完成及时率</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按计划时限完成的项目个数与项目总数的比率，用以反映项目完成的及时程度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完成及时率=计划时限内实际完成的项目数量/计划时限内应完成的项目数量×100%。</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完成及时率*权重分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产出成本</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成本节约率</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完成预算支出计划工作目标的实际节约成本与计划成本的比率，用以反映和考核预算支出的成本节约程度。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成本节约率（A）=[（计划成本-实际成本）/计划成本]×100%。（项目完成前提下，A大于等于0得满分，小于-5%的扣1分，小于-10%的扣2分，小于-15%的扣3分，小于-20%的扣4分，小于-20%以上或项目未完成得0分）</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实际成本：预算支出实施单位如期、保质、保量完成既定工作目标实际所耗费的支出。</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计划成本：预算支出实施单位为完成工作目标计划安排的支出，一般以预算支出预算为参考。</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[(150000-100000)/150000]*100%=33.33%，得分：5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效益</w:t>
            </w:r>
            <w:r>
              <w:rPr>
                <w:rFonts w:hint="eastAsia" w:asciiTheme="minorEastAsia" w:hAnsiTheme="minorEastAsia" w:eastAsiaTheme="minorEastAsia" w:cstheme="minorEastAsia"/>
                <w:color w:val="000000"/>
                <w:kern w:val="0"/>
                <w:sz w:val="21"/>
                <w:szCs w:val="21"/>
              </w:rPr>
              <w:br w:type="page"/>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（30分）</w:t>
            </w:r>
          </w:p>
        </w:tc>
        <w:tc>
          <w:tcPr>
            <w:tcW w:w="144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实施效益</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（20分）</w:t>
            </w:r>
          </w:p>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社会效益</w:t>
            </w:r>
          </w:p>
        </w:tc>
        <w:tc>
          <w:tcPr>
            <w:tcW w:w="3480" w:type="dxa"/>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反映建设项目投入使用所带来的直接、建设社会影响。</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对社会发展的影响，影响明显计5-4分，较明显计3-2分，有影响不明显计酌情给分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经济效益</w:t>
            </w:r>
          </w:p>
        </w:tc>
        <w:tc>
          <w:tcPr>
            <w:tcW w:w="3480" w:type="dxa"/>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反映建设项目投入使用所带来的直接、建设社会影响。</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对经济发展的影响，影响明显计5-4分，较明显计3-2分，有影响不明显计酌情给分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生态效益</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项目实施所带来的生态效益。</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产生的生态效益，影响明显计5-4分，较明显计3-2分，有影响不明显计酌情给分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可持续影响</w:t>
            </w:r>
          </w:p>
        </w:tc>
        <w:tc>
          <w:tcPr>
            <w:tcW w:w="3480" w:type="dxa"/>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项目实施的可持续性影响</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项目具有可持续性影响，影响明显计5-4分，较明显计3-2分，有影响不明显计酌情给分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目标群体</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满意度</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实施政策</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满意程度</w:t>
            </w:r>
          </w:p>
        </w:tc>
        <w:tc>
          <w:tcPr>
            <w:tcW w:w="34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项目资源有效利用，社会公众或服务对象对项目实施效果的满意程度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①满意度95%及以上，计10分；每下降一个百分点，扣一分，扣完为止</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w:t>
            </w:r>
          </w:p>
        </w:tc>
        <w:tc>
          <w:tcPr>
            <w:tcW w:w="82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总计</w:t>
            </w:r>
          </w:p>
        </w:tc>
        <w:tc>
          <w:tcPr>
            <w:tcW w:w="144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1639"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34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6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100</w:t>
            </w:r>
          </w:p>
        </w:tc>
        <w:tc>
          <w:tcPr>
            <w:tcW w:w="5594"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6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88</w:t>
            </w:r>
          </w:p>
        </w:tc>
        <w:tc>
          <w:tcPr>
            <w:tcW w:w="820"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1"/>
                <w:szCs w:val="21"/>
              </w:rPr>
            </w:pPr>
          </w:p>
        </w:tc>
      </w:tr>
    </w:tbl>
    <w:p>
      <w:pPr>
        <w:widowControl/>
        <w:shd w:val="clear" w:color="auto" w:fill="FFFFFF"/>
        <w:spacing w:line="420" w:lineRule="atLeast"/>
        <w:rPr>
          <w:rFonts w:hint="eastAsia" w:ascii="仿宋" w:hAnsi="仿宋" w:eastAsia="仿宋" w:cs="仿宋"/>
          <w:color w:val="333333"/>
          <w:kern w:val="0"/>
          <w:sz w:val="28"/>
          <w:szCs w:val="28"/>
        </w:rPr>
        <w:sectPr>
          <w:pgSz w:w="16838" w:h="11906" w:orient="landscape"/>
          <w:pgMar w:top="1800" w:right="1440" w:bottom="1800" w:left="1440" w:header="851" w:footer="992" w:gutter="0"/>
          <w:pgNumType w:fmt="decimal"/>
          <w:cols w:space="425" w:num="1"/>
          <w:docGrid w:type="lines" w:linePitch="312" w:charSpace="0"/>
        </w:sectPr>
      </w:pPr>
    </w:p>
    <w:p>
      <w:pPr>
        <w:pStyle w:val="14"/>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bookmarkStart w:id="20" w:name="_GoBack"/>
      <w:bookmarkEnd w:id="20"/>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left" w:pos="1256"/>
        </w:tabs>
        <w:bidi w:val="0"/>
        <w:jc w:val="left"/>
        <w:rPr>
          <w:rFonts w:hint="eastAsia" w:ascii="仿宋" w:hAnsi="仿宋" w:eastAsia="仿宋" w:cs="仿宋"/>
          <w:color w:val="auto"/>
          <w:sz w:val="28"/>
          <w:szCs w:val="28"/>
          <w:lang w:val="en-US" w:eastAsia="zh-CN"/>
        </w:rPr>
      </w:pPr>
      <w:r>
        <w:rPr>
          <w:rFonts w:hint="eastAsia"/>
          <w:lang w:eastAsia="zh-CN"/>
        </w:rPr>
        <w:tab/>
      </w:r>
    </w:p>
    <w:sectPr>
      <w:head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E97E27-2EB5-4675-B4D2-15DF9180B5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B3EA1D5-EE1C-497C-B2B6-04B3039ECB0C}"/>
  </w:font>
  <w:font w:name="仿宋">
    <w:panose1 w:val="02010609060101010101"/>
    <w:charset w:val="86"/>
    <w:family w:val="auto"/>
    <w:pitch w:val="default"/>
    <w:sig w:usb0="800002BF" w:usb1="38CF7CFA" w:usb2="00000016" w:usb3="00000000" w:csb0="00040001" w:csb1="00000000"/>
    <w:embedRegular r:id="rId3" w:fontKey="{DC2CFFAE-FBF9-49F1-AF22-B3F372784873}"/>
  </w:font>
  <w:font w:name="仿宋_GB2312">
    <w:panose1 w:val="02010609030101010101"/>
    <w:charset w:val="86"/>
    <w:family w:val="modern"/>
    <w:pitch w:val="default"/>
    <w:sig w:usb0="00000001" w:usb1="080E0000" w:usb2="00000000" w:usb3="00000000" w:csb0="00040000" w:csb1="00000000"/>
    <w:embedRegular r:id="rId4" w:fontKey="{1A558CEE-D037-4F63-AE7E-2CC2E480A1B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7E85D"/>
    <w:multiLevelType w:val="singleLevel"/>
    <w:tmpl w:val="8537E85D"/>
    <w:lvl w:ilvl="0" w:tentative="0">
      <w:start w:val="1"/>
      <w:numFmt w:val="chineseCounting"/>
      <w:suff w:val="nothing"/>
      <w:lvlText w:val="（%1）"/>
      <w:lvlJc w:val="left"/>
      <w:rPr>
        <w:rFonts w:hint="eastAsia"/>
      </w:rPr>
    </w:lvl>
  </w:abstractNum>
  <w:abstractNum w:abstractNumId="1">
    <w:nsid w:val="90548ACC"/>
    <w:multiLevelType w:val="singleLevel"/>
    <w:tmpl w:val="90548ACC"/>
    <w:lvl w:ilvl="0" w:tentative="0">
      <w:start w:val="1"/>
      <w:numFmt w:val="bullet"/>
      <w:lvlText w:val=""/>
      <w:lvlJc w:val="left"/>
      <w:pPr>
        <w:ind w:left="420" w:hanging="420"/>
      </w:pPr>
      <w:rPr>
        <w:rFonts w:hint="default" w:ascii="Wingdings" w:hAnsi="Wingdings"/>
      </w:rPr>
    </w:lvl>
  </w:abstractNum>
  <w:abstractNum w:abstractNumId="2">
    <w:nsid w:val="9600BA61"/>
    <w:multiLevelType w:val="singleLevel"/>
    <w:tmpl w:val="9600BA61"/>
    <w:lvl w:ilvl="0" w:tentative="0">
      <w:start w:val="1"/>
      <w:numFmt w:val="decimal"/>
      <w:suff w:val="nothing"/>
      <w:lvlText w:val="（%1）"/>
      <w:lvlJc w:val="left"/>
    </w:lvl>
  </w:abstractNum>
  <w:abstractNum w:abstractNumId="3">
    <w:nsid w:val="BC238BE7"/>
    <w:multiLevelType w:val="singleLevel"/>
    <w:tmpl w:val="BC238BE7"/>
    <w:lvl w:ilvl="0" w:tentative="0">
      <w:start w:val="1"/>
      <w:numFmt w:val="chineseCounting"/>
      <w:suff w:val="nothing"/>
      <w:lvlText w:val="%1、"/>
      <w:lvlJc w:val="left"/>
      <w:rPr>
        <w:rFonts w:hint="eastAsia"/>
      </w:rPr>
    </w:lvl>
  </w:abstractNum>
  <w:abstractNum w:abstractNumId="4">
    <w:nsid w:val="BEA7FA7A"/>
    <w:multiLevelType w:val="singleLevel"/>
    <w:tmpl w:val="BEA7FA7A"/>
    <w:lvl w:ilvl="0" w:tentative="0">
      <w:start w:val="3"/>
      <w:numFmt w:val="decimal"/>
      <w:suff w:val="nothing"/>
      <w:lvlText w:val="（%1）"/>
      <w:lvlJc w:val="left"/>
    </w:lvl>
  </w:abstractNum>
  <w:abstractNum w:abstractNumId="5">
    <w:nsid w:val="D31538DA"/>
    <w:multiLevelType w:val="singleLevel"/>
    <w:tmpl w:val="D31538DA"/>
    <w:lvl w:ilvl="0" w:tentative="0">
      <w:start w:val="1"/>
      <w:numFmt w:val="bullet"/>
      <w:lvlText w:val=""/>
      <w:lvlJc w:val="left"/>
      <w:pPr>
        <w:ind w:left="420" w:hanging="420"/>
      </w:pPr>
      <w:rPr>
        <w:rFonts w:hint="default" w:ascii="Wingdings" w:hAnsi="Wingdings"/>
      </w:rPr>
    </w:lvl>
  </w:abstractNum>
  <w:abstractNum w:abstractNumId="6">
    <w:nsid w:val="E5517148"/>
    <w:multiLevelType w:val="singleLevel"/>
    <w:tmpl w:val="E5517148"/>
    <w:lvl w:ilvl="0" w:tentative="0">
      <w:start w:val="1"/>
      <w:numFmt w:val="bullet"/>
      <w:lvlText w:val=""/>
      <w:lvlJc w:val="left"/>
      <w:pPr>
        <w:ind w:left="420" w:hanging="420"/>
      </w:pPr>
      <w:rPr>
        <w:rFonts w:hint="default" w:ascii="Wingdings" w:hAnsi="Wingdings"/>
      </w:rPr>
    </w:lvl>
  </w:abstractNum>
  <w:abstractNum w:abstractNumId="7">
    <w:nsid w:val="E70BB997"/>
    <w:multiLevelType w:val="singleLevel"/>
    <w:tmpl w:val="E70BB997"/>
    <w:lvl w:ilvl="0" w:tentative="0">
      <w:start w:val="1"/>
      <w:numFmt w:val="bullet"/>
      <w:lvlText w:val=""/>
      <w:lvlJc w:val="left"/>
      <w:pPr>
        <w:ind w:left="420" w:hanging="420"/>
      </w:pPr>
      <w:rPr>
        <w:rFonts w:hint="default" w:ascii="Wingdings" w:hAnsi="Wingdings"/>
      </w:rPr>
    </w:lvl>
  </w:abstractNum>
  <w:abstractNum w:abstractNumId="8">
    <w:nsid w:val="07495564"/>
    <w:multiLevelType w:val="singleLevel"/>
    <w:tmpl w:val="07495564"/>
    <w:lvl w:ilvl="0" w:tentative="0">
      <w:start w:val="1"/>
      <w:numFmt w:val="bullet"/>
      <w:lvlText w:val=""/>
      <w:lvlJc w:val="left"/>
      <w:pPr>
        <w:ind w:left="420" w:hanging="420"/>
      </w:pPr>
      <w:rPr>
        <w:rFonts w:hint="default" w:ascii="Wingdings" w:hAnsi="Wingdings"/>
      </w:rPr>
    </w:lvl>
  </w:abstractNum>
  <w:abstractNum w:abstractNumId="9">
    <w:nsid w:val="15ECEAE8"/>
    <w:multiLevelType w:val="singleLevel"/>
    <w:tmpl w:val="15ECEAE8"/>
    <w:lvl w:ilvl="0" w:tentative="0">
      <w:start w:val="1"/>
      <w:numFmt w:val="decimal"/>
      <w:suff w:val="nothing"/>
      <w:lvlText w:val="（%1）"/>
      <w:lvlJc w:val="left"/>
    </w:lvl>
  </w:abstractNum>
  <w:abstractNum w:abstractNumId="10">
    <w:nsid w:val="557E8D5B"/>
    <w:multiLevelType w:val="singleLevel"/>
    <w:tmpl w:val="557E8D5B"/>
    <w:lvl w:ilvl="0" w:tentative="0">
      <w:start w:val="1"/>
      <w:numFmt w:val="bullet"/>
      <w:lvlText w:val=""/>
      <w:lvlJc w:val="left"/>
      <w:pPr>
        <w:ind w:left="420" w:hanging="420"/>
      </w:pPr>
      <w:rPr>
        <w:rFonts w:hint="default" w:ascii="Wingdings" w:hAnsi="Wingdings"/>
      </w:rPr>
    </w:lvl>
  </w:abstractNum>
  <w:num w:numId="1">
    <w:abstractNumId w:val="3"/>
  </w:num>
  <w:num w:numId="2">
    <w:abstractNumId w:val="0"/>
  </w:num>
  <w:num w:numId="3">
    <w:abstractNumId w:val="4"/>
  </w:num>
  <w:num w:numId="4">
    <w:abstractNumId w:val="9"/>
  </w:num>
  <w:num w:numId="5">
    <w:abstractNumId w:val="2"/>
  </w:num>
  <w:num w:numId="6">
    <w:abstractNumId w:val="8"/>
  </w:num>
  <w:num w:numId="7">
    <w:abstractNumId w:val="1"/>
  </w:num>
  <w:num w:numId="8">
    <w:abstractNumId w:val="6"/>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jFmM2NjM2Q2MTUyZWM4ZGM2MGRkMzkwNWQ0YWYifQ=="/>
  </w:docVars>
  <w:rsids>
    <w:rsidRoot w:val="4D073F09"/>
    <w:rsid w:val="020C5572"/>
    <w:rsid w:val="05B93774"/>
    <w:rsid w:val="06B472CD"/>
    <w:rsid w:val="0C1734E6"/>
    <w:rsid w:val="0C47209B"/>
    <w:rsid w:val="147B443B"/>
    <w:rsid w:val="14B17D6B"/>
    <w:rsid w:val="16474C38"/>
    <w:rsid w:val="1DD937C8"/>
    <w:rsid w:val="213D1BBA"/>
    <w:rsid w:val="281E1AF0"/>
    <w:rsid w:val="285F68BA"/>
    <w:rsid w:val="2BA5650B"/>
    <w:rsid w:val="36A819A4"/>
    <w:rsid w:val="384653A1"/>
    <w:rsid w:val="3D985B98"/>
    <w:rsid w:val="3F571190"/>
    <w:rsid w:val="46DD5122"/>
    <w:rsid w:val="4812704D"/>
    <w:rsid w:val="4A3605A8"/>
    <w:rsid w:val="4A3A3582"/>
    <w:rsid w:val="4BC34A84"/>
    <w:rsid w:val="4D073F09"/>
    <w:rsid w:val="516E3EFF"/>
    <w:rsid w:val="521A29B3"/>
    <w:rsid w:val="54F37E42"/>
    <w:rsid w:val="58B019B2"/>
    <w:rsid w:val="63807109"/>
    <w:rsid w:val="6C6A6034"/>
    <w:rsid w:val="6CEB6629"/>
    <w:rsid w:val="70F46A41"/>
    <w:rsid w:val="77CE6EF1"/>
    <w:rsid w:val="7BAF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Theme="majorEastAsia"/>
      <w:b/>
      <w:sz w:val="28"/>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28"/>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Theme="minorEastAsia"/>
      <w:b/>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autoRedefine/>
    <w:qFormat/>
    <w:uiPriority w:val="0"/>
    <w:pPr>
      <w:ind w:firstLine="664"/>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1I"/>
    <w:basedOn w:val="1"/>
    <w:autoRedefine/>
    <w:qFormat/>
    <w:uiPriority w:val="99"/>
    <w:pPr>
      <w:snapToGrid w:val="0"/>
      <w:spacing w:line="360" w:lineRule="auto"/>
      <w:ind w:firstLine="420" w:firstLineChars="100"/>
    </w:pPr>
    <w:rPr>
      <w:sz w:val="28"/>
      <w:szCs w:val="20"/>
    </w:rPr>
  </w:style>
  <w:style w:type="paragraph" w:customStyle="1" w:styleId="14">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15">
    <w:name w:val="p0"/>
    <w:basedOn w:val="1"/>
    <w:qFormat/>
    <w:uiPriority w:val="0"/>
    <w:pPr>
      <w:widowControl/>
    </w:pPr>
    <w:rPr>
      <w:rFonts w:hint="default"/>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2023-11-26T23:52:00Z</dcterms:created>
  <dc:creator>文浩将你的军</dc:creator>
  <cp:lastModifiedBy>lxy</cp:lastModifiedBy>
  <dcterms:modified xsi:type="dcterms:W3CDTF">2023-12-18T07:22:45Z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73843947EE7D410BBD834E0303AD634D_13</vt:lpwstr>
  </property>
</Properties>
</file>