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bookmarkStart w:id="1" w:name="_GoBack"/>
      <w:bookmarkEnd w:id="1"/>
      <w:r>
        <w:rPr>
          <w:rFonts w:hint="eastAsia" w:ascii="宋体" w:hAnsi="宋体" w:eastAsia="宋体" w:cs="宋体"/>
          <w:color w:val="444444"/>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kern w:val="0"/>
          <w:sz w:val="28"/>
          <w:szCs w:val="28"/>
          <w:shd w:val="clear" w:fill="FFFFFF"/>
        </w:rPr>
        <w:t>第五部分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kern w:val="0"/>
          <w:sz w:val="28"/>
          <w:szCs w:val="28"/>
          <w:shd w:val="clear" w:fill="FFFFFF"/>
        </w:rPr>
        <w:t>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rPr>
          <w:rFonts w:hint="eastAsia" w:eastAsia="宋体"/>
          <w:lang w:eastAsia="zh-CN"/>
        </w:rPr>
      </w:pPr>
      <w:r>
        <w:rPr>
          <w:rFonts w:hint="default" w:ascii="Times New Roman" w:hAnsi="Times New Roman" w:eastAsia="微软雅黑" w:cs="Times New Roman"/>
          <w:b/>
          <w:bCs/>
          <w:color w:val="444444"/>
          <w:sz w:val="28"/>
          <w:szCs w:val="28"/>
          <w:shd w:val="clear" w:fill="FFFFFF"/>
        </w:rPr>
        <w:t>2021</w:t>
      </w:r>
      <w:r>
        <w:rPr>
          <w:rFonts w:hint="eastAsia" w:ascii="宋体" w:hAnsi="宋体" w:eastAsia="宋体" w:cs="宋体"/>
          <w:b/>
          <w:bCs/>
          <w:color w:val="444444"/>
          <w:sz w:val="28"/>
          <w:szCs w:val="28"/>
          <w:shd w:val="clear" w:fill="FFFFFF"/>
        </w:rPr>
        <w:t>年度部门整体支出绩效评价报告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一、部门概况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（一）基本情况。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1．主要职能。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2.机构情况。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3.人员情况。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二、部门整体支出管理及使用情况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（一）基本支出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基本支出系保障我局机构正常运转、完成日常工作任务而发生的人员支出和公用支出，包括用于在职和离退休人员基本工资、津贴补贴等人员经费以及办公费、印刷费、水电费、办公设备购置等日常公用经费。2021年我局基本支出</w:t>
      </w:r>
      <w:r>
        <w:rPr>
          <w:rFonts w:hint="eastAsia" w:ascii="宋体" w:hAnsi="宋体" w:eastAsia="宋体" w:cs="宋体"/>
          <w:color w:val="444444"/>
          <w:kern w:val="0"/>
          <w:sz w:val="28"/>
          <w:szCs w:val="28"/>
          <w:shd w:val="clear" w:fill="FFFFFF"/>
          <w:lang w:val="en-US" w:eastAsia="zh-CN"/>
        </w:rPr>
        <w:t>612.3</w:t>
      </w:r>
      <w:r>
        <w:rPr>
          <w:rFonts w:hint="eastAsia" w:ascii="宋体" w:hAnsi="宋体" w:eastAsia="宋体" w:cs="宋体"/>
          <w:color w:val="444444"/>
          <w:kern w:val="0"/>
          <w:sz w:val="28"/>
          <w:szCs w:val="28"/>
          <w:shd w:val="clear" w:fill="FFFFFF"/>
        </w:rPr>
        <w:t>万元，比上年同口径增加</w:t>
      </w:r>
      <w:r>
        <w:rPr>
          <w:rFonts w:hint="eastAsia" w:ascii="宋体" w:hAnsi="宋体" w:eastAsia="宋体" w:cs="宋体"/>
          <w:color w:val="444444"/>
          <w:kern w:val="0"/>
          <w:sz w:val="28"/>
          <w:szCs w:val="28"/>
          <w:shd w:val="clear" w:fill="FFFFFF"/>
          <w:lang w:val="en-US" w:eastAsia="zh-CN"/>
        </w:rPr>
        <w:t>97.98</w:t>
      </w:r>
      <w:r>
        <w:rPr>
          <w:rFonts w:hint="eastAsia" w:ascii="宋体" w:hAnsi="宋体" w:eastAsia="宋体" w:cs="宋体"/>
          <w:color w:val="444444"/>
          <w:kern w:val="0"/>
          <w:sz w:val="28"/>
          <w:szCs w:val="28"/>
          <w:shd w:val="clear" w:fill="FFFFFF"/>
        </w:rPr>
        <w:t>万元，增长</w:t>
      </w:r>
      <w:r>
        <w:rPr>
          <w:rFonts w:hint="eastAsia" w:ascii="宋体" w:hAnsi="宋体" w:eastAsia="宋体" w:cs="宋体"/>
          <w:color w:val="444444"/>
          <w:kern w:val="0"/>
          <w:sz w:val="28"/>
          <w:szCs w:val="28"/>
          <w:shd w:val="clear" w:fill="FFFFFF"/>
          <w:lang w:val="en-US" w:eastAsia="zh-CN"/>
        </w:rPr>
        <w:t>19</w:t>
      </w:r>
      <w:r>
        <w:rPr>
          <w:rFonts w:hint="eastAsia" w:ascii="宋体" w:hAnsi="宋体" w:eastAsia="宋体" w:cs="宋体"/>
          <w:color w:val="444444"/>
          <w:kern w:val="0"/>
          <w:sz w:val="28"/>
          <w:szCs w:val="28"/>
          <w:shd w:val="clear" w:fill="FFFFFF"/>
        </w:rPr>
        <w:t>%。其中：工资福利支出</w:t>
      </w:r>
      <w:r>
        <w:rPr>
          <w:rFonts w:hint="eastAsia" w:ascii="宋体" w:hAnsi="宋体" w:eastAsia="宋体" w:cs="宋体"/>
          <w:color w:val="444444"/>
          <w:kern w:val="0"/>
          <w:sz w:val="28"/>
          <w:szCs w:val="28"/>
          <w:shd w:val="clear" w:fill="FFFFFF"/>
          <w:lang w:val="en-US" w:eastAsia="zh-CN"/>
        </w:rPr>
        <w:t>271.6</w:t>
      </w:r>
      <w:r>
        <w:rPr>
          <w:rFonts w:hint="eastAsia" w:ascii="宋体" w:hAnsi="宋体" w:eastAsia="宋体" w:cs="宋体"/>
          <w:color w:val="444444"/>
          <w:kern w:val="0"/>
          <w:sz w:val="28"/>
          <w:szCs w:val="28"/>
          <w:shd w:val="clear" w:fill="FFFFFF"/>
        </w:rPr>
        <w:t>万元，商品和服务支出</w:t>
      </w:r>
      <w:r>
        <w:rPr>
          <w:rFonts w:hint="eastAsia" w:ascii="宋体" w:hAnsi="宋体" w:eastAsia="宋体" w:cs="宋体"/>
          <w:color w:val="444444"/>
          <w:kern w:val="0"/>
          <w:sz w:val="28"/>
          <w:szCs w:val="28"/>
          <w:shd w:val="clear" w:fill="FFFFFF"/>
          <w:lang w:val="en-US" w:eastAsia="zh-CN"/>
        </w:rPr>
        <w:t>340.2</w:t>
      </w:r>
      <w:r>
        <w:rPr>
          <w:rFonts w:hint="eastAsia" w:ascii="宋体" w:hAnsi="宋体" w:eastAsia="宋体" w:cs="宋体"/>
          <w:color w:val="444444"/>
          <w:kern w:val="0"/>
          <w:sz w:val="28"/>
          <w:szCs w:val="28"/>
          <w:shd w:val="clear" w:fill="FFFFFF"/>
        </w:rPr>
        <w:t>万元，对个人和家庭的补助</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万元，资本性支出</w:t>
      </w:r>
      <w:r>
        <w:rPr>
          <w:rFonts w:hint="eastAsia" w:ascii="宋体" w:hAnsi="宋体" w:eastAsia="宋体" w:cs="宋体"/>
          <w:color w:val="444444"/>
          <w:kern w:val="0"/>
          <w:sz w:val="28"/>
          <w:szCs w:val="28"/>
          <w:shd w:val="clear" w:fill="FFFFFF"/>
          <w:lang w:val="en-US" w:eastAsia="zh-CN"/>
        </w:rPr>
        <w:t>0.5</w:t>
      </w:r>
      <w:r>
        <w:rPr>
          <w:rFonts w:hint="eastAsia" w:ascii="宋体" w:hAnsi="宋体" w:eastAsia="宋体" w:cs="宋体"/>
          <w:color w:val="444444"/>
          <w:kern w:val="0"/>
          <w:sz w:val="28"/>
          <w:szCs w:val="28"/>
          <w:shd w:val="clear" w:fill="FFFFFF"/>
        </w:rPr>
        <w:t>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2021年“三公”经费实际开支总额</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万元。其中：因公出国（境）费支出本年未发生。公务用车购置及运行维护费实际开支</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万元（公务用车购置费未发生，公务用车运行维护费</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万元），公务用车保有量</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辆；公务接待费实际开支</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（二）专项支出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项目支出系我局为完成</w:t>
      </w:r>
      <w:r>
        <w:rPr>
          <w:rFonts w:hint="eastAsia" w:ascii="宋体" w:hAnsi="宋体" w:eastAsia="宋体" w:cs="宋体"/>
          <w:color w:val="444444"/>
          <w:kern w:val="0"/>
          <w:sz w:val="28"/>
          <w:szCs w:val="28"/>
          <w:shd w:val="clear" w:fill="FFFFFF"/>
          <w:lang w:eastAsia="zh-CN"/>
        </w:rPr>
        <w:t>国土及林业</w:t>
      </w:r>
      <w:r>
        <w:rPr>
          <w:rFonts w:hint="eastAsia" w:ascii="宋体" w:hAnsi="宋体" w:eastAsia="宋体" w:cs="宋体"/>
          <w:color w:val="444444"/>
          <w:kern w:val="0"/>
          <w:sz w:val="28"/>
          <w:szCs w:val="28"/>
          <w:shd w:val="clear" w:fill="FFFFFF"/>
        </w:rPr>
        <w:t>工作而发生的支出。2021年我局组织实施专项项目经费当年实际收入</w:t>
      </w:r>
      <w:r>
        <w:rPr>
          <w:rFonts w:hint="eastAsia" w:ascii="宋体" w:hAnsi="宋体" w:eastAsia="宋体" w:cs="宋体"/>
          <w:color w:val="444444"/>
          <w:kern w:val="0"/>
          <w:sz w:val="28"/>
          <w:szCs w:val="28"/>
          <w:shd w:val="clear" w:fill="FFFFFF"/>
          <w:lang w:val="en-US" w:eastAsia="zh-CN"/>
        </w:rPr>
        <w:t>149.90</w:t>
      </w:r>
      <w:r>
        <w:rPr>
          <w:rFonts w:hint="eastAsia" w:ascii="宋体" w:hAnsi="宋体" w:eastAsia="宋体" w:cs="宋体"/>
          <w:color w:val="444444"/>
          <w:kern w:val="0"/>
          <w:sz w:val="28"/>
          <w:szCs w:val="28"/>
          <w:shd w:val="clear" w:fill="FFFFFF"/>
        </w:rPr>
        <w:t>万元，其中包括上年结转和结余</w:t>
      </w:r>
      <w:r>
        <w:rPr>
          <w:rFonts w:hint="eastAsia" w:ascii="宋体" w:hAnsi="宋体" w:eastAsia="宋体" w:cs="宋体"/>
          <w:color w:val="444444"/>
          <w:kern w:val="0"/>
          <w:sz w:val="28"/>
          <w:szCs w:val="28"/>
          <w:shd w:val="clear" w:fill="FFFFFF"/>
          <w:lang w:val="en-US" w:eastAsia="zh-CN"/>
        </w:rPr>
        <w:t>70.6</w:t>
      </w:r>
      <w:r>
        <w:rPr>
          <w:rFonts w:hint="eastAsia" w:ascii="宋体" w:hAnsi="宋体" w:eastAsia="宋体" w:cs="宋体"/>
          <w:color w:val="444444"/>
          <w:kern w:val="0"/>
          <w:sz w:val="28"/>
          <w:szCs w:val="28"/>
          <w:shd w:val="clear" w:fill="FFFFFF"/>
        </w:rPr>
        <w:t>万元，预算安排项目经费</w:t>
      </w:r>
      <w:r>
        <w:rPr>
          <w:rFonts w:hint="eastAsia" w:ascii="宋体" w:hAnsi="宋体" w:eastAsia="宋体" w:cs="宋体"/>
          <w:color w:val="444444"/>
          <w:kern w:val="0"/>
          <w:sz w:val="28"/>
          <w:szCs w:val="28"/>
          <w:shd w:val="clear" w:fill="FFFFFF"/>
          <w:lang w:val="en-US" w:eastAsia="zh-CN"/>
        </w:rPr>
        <w:t>79.3</w:t>
      </w:r>
      <w:r>
        <w:rPr>
          <w:rFonts w:hint="eastAsia" w:ascii="宋体" w:hAnsi="宋体" w:eastAsia="宋体" w:cs="宋体"/>
          <w:color w:val="444444"/>
          <w:kern w:val="0"/>
          <w:sz w:val="28"/>
          <w:szCs w:val="28"/>
          <w:shd w:val="clear" w:fill="FFFFFF"/>
        </w:rPr>
        <w:t>万元。项目支出</w:t>
      </w:r>
      <w:r>
        <w:rPr>
          <w:rFonts w:hint="eastAsia" w:ascii="宋体" w:hAnsi="宋体" w:eastAsia="宋体" w:cs="宋体"/>
          <w:color w:val="444444"/>
          <w:kern w:val="0"/>
          <w:sz w:val="28"/>
          <w:szCs w:val="28"/>
          <w:shd w:val="clear" w:fill="FFFFFF"/>
          <w:lang w:val="en-US" w:eastAsia="zh-CN"/>
        </w:rPr>
        <w:t>149.9</w:t>
      </w:r>
      <w:r>
        <w:rPr>
          <w:rFonts w:hint="eastAsia" w:ascii="宋体" w:hAnsi="宋体" w:eastAsia="宋体" w:cs="宋体"/>
          <w:color w:val="444444"/>
          <w:kern w:val="0"/>
          <w:sz w:val="28"/>
          <w:szCs w:val="28"/>
          <w:shd w:val="clear" w:fill="FFFFFF"/>
        </w:rPr>
        <w:t>万元（其中：商品和服务支出</w:t>
      </w:r>
      <w:r>
        <w:rPr>
          <w:rFonts w:hint="eastAsia" w:ascii="宋体" w:hAnsi="宋体" w:eastAsia="宋体" w:cs="宋体"/>
          <w:color w:val="444444"/>
          <w:kern w:val="0"/>
          <w:sz w:val="28"/>
          <w:szCs w:val="28"/>
          <w:shd w:val="clear" w:fill="FFFFFF"/>
          <w:lang w:val="en-US" w:eastAsia="zh-CN"/>
        </w:rPr>
        <w:t>149.90</w:t>
      </w:r>
      <w:r>
        <w:rPr>
          <w:rFonts w:hint="eastAsia" w:ascii="宋体" w:hAnsi="宋体" w:eastAsia="宋体" w:cs="宋体"/>
          <w:color w:val="444444"/>
          <w:kern w:val="0"/>
          <w:sz w:val="28"/>
          <w:szCs w:val="28"/>
          <w:shd w:val="clear" w:fill="FFFFFF"/>
        </w:rPr>
        <w:t>万元，资本性支出</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万元），比上年同口径</w:t>
      </w:r>
      <w:r>
        <w:rPr>
          <w:rFonts w:hint="eastAsia" w:ascii="宋体" w:hAnsi="宋体" w:eastAsia="宋体" w:cs="宋体"/>
          <w:color w:val="444444"/>
          <w:kern w:val="0"/>
          <w:sz w:val="28"/>
          <w:szCs w:val="28"/>
          <w:shd w:val="clear" w:fill="FFFFFF"/>
          <w:lang w:eastAsia="zh-CN"/>
        </w:rPr>
        <w:t>减少</w:t>
      </w:r>
      <w:r>
        <w:rPr>
          <w:rFonts w:hint="eastAsia" w:ascii="宋体" w:hAnsi="宋体" w:eastAsia="宋体" w:cs="宋体"/>
          <w:color w:val="444444"/>
          <w:kern w:val="0"/>
          <w:sz w:val="28"/>
          <w:szCs w:val="28"/>
          <w:shd w:val="clear" w:fill="FFFFFF"/>
          <w:lang w:val="en-US" w:eastAsia="zh-CN"/>
        </w:rPr>
        <w:t>36.56</w:t>
      </w:r>
      <w:r>
        <w:rPr>
          <w:rFonts w:hint="eastAsia" w:ascii="宋体" w:hAnsi="宋体" w:eastAsia="宋体" w:cs="宋体"/>
          <w:color w:val="444444"/>
          <w:kern w:val="0"/>
          <w:sz w:val="28"/>
          <w:szCs w:val="28"/>
          <w:shd w:val="clear" w:fill="FFFFFF"/>
        </w:rPr>
        <w:t>万，</w:t>
      </w:r>
      <w:r>
        <w:rPr>
          <w:rFonts w:hint="eastAsia" w:ascii="宋体" w:hAnsi="宋体" w:eastAsia="宋体" w:cs="宋体"/>
          <w:color w:val="444444"/>
          <w:kern w:val="0"/>
          <w:sz w:val="28"/>
          <w:szCs w:val="28"/>
          <w:shd w:val="clear" w:fill="FFFFFF"/>
          <w:lang w:eastAsia="zh-CN"/>
        </w:rPr>
        <w:t>降低</w:t>
      </w:r>
      <w:r>
        <w:rPr>
          <w:rFonts w:hint="eastAsia" w:ascii="宋体" w:hAnsi="宋体" w:eastAsia="宋体" w:cs="宋体"/>
          <w:color w:val="444444"/>
          <w:kern w:val="0"/>
          <w:sz w:val="28"/>
          <w:szCs w:val="28"/>
          <w:shd w:val="clear" w:fill="FFFFFF"/>
          <w:lang w:val="en-US" w:eastAsia="zh-CN"/>
        </w:rPr>
        <w:t>19</w:t>
      </w:r>
      <w:r>
        <w:rPr>
          <w:rFonts w:hint="eastAsia" w:ascii="宋体" w:hAnsi="宋体" w:eastAsia="宋体" w:cs="宋体"/>
          <w:color w:val="444444"/>
          <w:kern w:val="0"/>
          <w:sz w:val="28"/>
          <w:szCs w:val="28"/>
          <w:shd w:val="clear" w:fill="FFFFFF"/>
        </w:rPr>
        <w:t>%。主要</w:t>
      </w:r>
      <w:r>
        <w:rPr>
          <w:rFonts w:hint="eastAsia" w:ascii="宋体" w:hAnsi="宋体" w:eastAsia="宋体" w:cs="宋体"/>
          <w:color w:val="444444"/>
          <w:kern w:val="0"/>
          <w:sz w:val="28"/>
          <w:szCs w:val="28"/>
          <w:shd w:val="clear" w:fill="FFFFFF"/>
          <w:lang w:eastAsia="zh-CN"/>
        </w:rPr>
        <w:t>的原因是林业项目多数于</w:t>
      </w:r>
      <w:r>
        <w:rPr>
          <w:rFonts w:hint="eastAsia" w:ascii="宋体" w:hAnsi="宋体" w:eastAsia="宋体" w:cs="宋体"/>
          <w:color w:val="444444"/>
          <w:kern w:val="0"/>
          <w:sz w:val="28"/>
          <w:szCs w:val="28"/>
          <w:shd w:val="clear" w:fill="FFFFFF"/>
          <w:lang w:val="en-US" w:eastAsia="zh-CN"/>
        </w:rPr>
        <w:t>22年1月</w:t>
      </w:r>
      <w:r>
        <w:rPr>
          <w:rFonts w:hint="eastAsia" w:ascii="宋体" w:hAnsi="宋体" w:eastAsia="宋体" w:cs="宋体"/>
          <w:color w:val="444444"/>
          <w:kern w:val="0"/>
          <w:sz w:val="28"/>
          <w:szCs w:val="28"/>
          <w:shd w:val="clear" w:fill="FFFFFF"/>
          <w:lang w:eastAsia="zh-CN"/>
        </w:rPr>
        <w:t>竣工，多数项目及补贴在</w:t>
      </w:r>
      <w:r>
        <w:rPr>
          <w:rFonts w:hint="eastAsia" w:ascii="宋体" w:hAnsi="宋体" w:eastAsia="宋体" w:cs="宋体"/>
          <w:color w:val="444444"/>
          <w:kern w:val="0"/>
          <w:sz w:val="28"/>
          <w:szCs w:val="28"/>
          <w:shd w:val="clear" w:fill="FFFFFF"/>
          <w:lang w:val="en-US" w:eastAsia="zh-CN"/>
        </w:rPr>
        <w:t>22年1月付款</w:t>
      </w:r>
      <w:r>
        <w:rPr>
          <w:rFonts w:hint="eastAsia" w:ascii="宋体" w:hAnsi="宋体" w:eastAsia="宋体" w:cs="宋体"/>
          <w:color w:val="444444"/>
          <w:kern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三、资产管理情况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eastAsia="宋体"/>
          <w:lang w:val="en-US" w:eastAsia="zh-CN"/>
        </w:rPr>
      </w:pPr>
      <w:r>
        <w:rPr>
          <w:rFonts w:hint="default" w:ascii="仿宋" w:hAnsi="仿宋" w:eastAsia="仿宋" w:cs="仿宋"/>
          <w:sz w:val="32"/>
          <w:szCs w:val="32"/>
          <w:lang w:val="en-US" w:eastAsia="zh-CN"/>
        </w:rPr>
        <w:t>我局资产管理由办公室负责，资产采购按程序实行报批采购，</w:t>
      </w:r>
      <w:r>
        <w:rPr>
          <w:rFonts w:hint="eastAsia" w:ascii="仿宋" w:hAnsi="仿宋" w:eastAsia="仿宋" w:cs="仿宋"/>
          <w:sz w:val="32"/>
          <w:szCs w:val="32"/>
          <w:lang w:val="en-US" w:eastAsia="zh-CN"/>
        </w:rPr>
        <w:t>统一在政采云平台下单，</w:t>
      </w:r>
      <w:r>
        <w:rPr>
          <w:rFonts w:hint="default" w:ascii="仿宋" w:hAnsi="仿宋" w:eastAsia="仿宋" w:cs="仿宋"/>
          <w:sz w:val="32"/>
          <w:szCs w:val="32"/>
          <w:lang w:val="en-US" w:eastAsia="zh-CN"/>
        </w:rPr>
        <w:t>采购后登记</w:t>
      </w:r>
      <w:r>
        <w:rPr>
          <w:rFonts w:hint="eastAsia" w:ascii="仿宋" w:hAnsi="仿宋" w:eastAsia="仿宋" w:cs="仿宋"/>
          <w:sz w:val="32"/>
          <w:szCs w:val="32"/>
          <w:lang w:val="en-US" w:eastAsia="zh-CN"/>
        </w:rPr>
        <w:t>入账，录入资产信息系统</w:t>
      </w:r>
      <w:r>
        <w:rPr>
          <w:rFonts w:hint="default" w:ascii="仿宋" w:hAnsi="仿宋" w:eastAsia="仿宋" w:cs="仿宋"/>
          <w:sz w:val="32"/>
          <w:szCs w:val="32"/>
          <w:lang w:val="en-US" w:eastAsia="zh-CN"/>
        </w:rPr>
        <w:t>，再派发到相关科室。</w:t>
      </w:r>
      <w:r>
        <w:rPr>
          <w:rFonts w:hint="eastAsia" w:ascii="仿宋" w:hAnsi="仿宋" w:eastAsia="仿宋" w:cs="仿宋"/>
          <w:sz w:val="32"/>
          <w:szCs w:val="32"/>
          <w:lang w:val="en-US" w:eastAsia="zh-CN"/>
        </w:rPr>
        <w:t>一是我局资产管理和使用坚持统一政策、统一领导、分级管理、责任到人、物尽其用的原则。</w:t>
      </w:r>
      <w:r>
        <w:rPr>
          <w:rFonts w:hint="default" w:ascii="仿宋" w:hAnsi="仿宋" w:eastAsia="仿宋" w:cs="仿宋"/>
          <w:sz w:val="32"/>
          <w:szCs w:val="32"/>
          <w:lang w:val="en-US" w:eastAsia="zh-CN"/>
        </w:rPr>
        <w:t>二是运用</w:t>
      </w:r>
      <w:r>
        <w:rPr>
          <w:rFonts w:hint="eastAsia" w:ascii="仿宋" w:hAnsi="仿宋" w:eastAsia="仿宋" w:cs="仿宋"/>
          <w:sz w:val="32"/>
          <w:szCs w:val="32"/>
          <w:lang w:val="en-US" w:eastAsia="zh-CN"/>
        </w:rPr>
        <w:t>资产</w:t>
      </w:r>
      <w:r>
        <w:rPr>
          <w:rFonts w:hint="default" w:ascii="仿宋" w:hAnsi="仿宋" w:eastAsia="仿宋" w:cs="仿宋"/>
          <w:sz w:val="32"/>
          <w:szCs w:val="32"/>
          <w:lang w:val="en-US" w:eastAsia="zh-CN"/>
        </w:rPr>
        <w:t>信息管理系统加强资产管理。</w:t>
      </w:r>
      <w:r>
        <w:rPr>
          <w:rFonts w:hint="eastAsia" w:ascii="仿宋" w:hAnsi="仿宋" w:eastAsia="仿宋" w:cs="仿宋"/>
          <w:sz w:val="32"/>
          <w:szCs w:val="32"/>
          <w:lang w:val="en-US" w:eastAsia="zh-CN"/>
        </w:rPr>
        <w:t>对</w:t>
      </w:r>
      <w:r>
        <w:rPr>
          <w:rFonts w:hint="default" w:ascii="仿宋" w:hAnsi="仿宋" w:eastAsia="仿宋" w:cs="仿宋"/>
          <w:sz w:val="32"/>
          <w:szCs w:val="32"/>
          <w:lang w:val="en-US" w:eastAsia="zh-CN"/>
        </w:rPr>
        <w:t>固定资产分别按使用部门、存放地点和</w:t>
      </w:r>
      <w:r>
        <w:rPr>
          <w:rFonts w:hint="eastAsia" w:ascii="仿宋" w:hAnsi="仿宋" w:eastAsia="仿宋" w:cs="仿宋"/>
          <w:sz w:val="32"/>
          <w:szCs w:val="32"/>
          <w:lang w:val="en-US" w:eastAsia="zh-CN"/>
        </w:rPr>
        <w:t>使用</w:t>
      </w:r>
      <w:r>
        <w:rPr>
          <w:rFonts w:hint="default" w:ascii="仿宋" w:hAnsi="仿宋" w:eastAsia="仿宋" w:cs="仿宋"/>
          <w:sz w:val="32"/>
          <w:szCs w:val="32"/>
          <w:lang w:val="en-US" w:eastAsia="zh-CN"/>
        </w:rPr>
        <w:t>人顺序编排编码排序，统一录入“一物一条码”信息管理系统，分部门打印出条形码，发放到各部门按要求统一粘贴到固定资产上，并指定专人负责管理。三是每年组织一次固定资产资产清查工作，使固定资产检查</w:t>
      </w:r>
      <w:r>
        <w:rPr>
          <w:rFonts w:hint="eastAsia" w:ascii="仿宋" w:hAnsi="仿宋" w:eastAsia="仿宋" w:cs="仿宋"/>
          <w:sz w:val="32"/>
          <w:szCs w:val="32"/>
          <w:lang w:val="en-US" w:eastAsia="zh-CN"/>
        </w:rPr>
        <w:t>常态</w:t>
      </w:r>
      <w:r>
        <w:rPr>
          <w:rFonts w:hint="default" w:ascii="仿宋" w:hAnsi="仿宋" w:eastAsia="仿宋" w:cs="仿宋"/>
          <w:sz w:val="32"/>
          <w:szCs w:val="32"/>
          <w:lang w:val="en-US" w:eastAsia="zh-CN"/>
        </w:rPr>
        <w:t>化，确保账、卡、实相符。四是根据《湖南省财政厅关于做好行政事业性国有资产月报试编工作的通知》文件要求，每月及时通过财政部统一报表系统上报资产月报电子数据</w:t>
      </w:r>
      <w:r>
        <w:rPr>
          <w:rFonts w:hint="eastAsia" w:ascii="仿宋" w:hAnsi="仿宋" w:eastAsia="仿宋" w:cs="仿宋"/>
          <w:sz w:val="32"/>
          <w:szCs w:val="32"/>
          <w:lang w:val="en-US" w:eastAsia="zh-CN"/>
        </w:rPr>
        <w:t>，每年编制一次固定资产年报</w:t>
      </w:r>
      <w:r>
        <w:rPr>
          <w:rFonts w:hint="eastAsia" w:ascii="宋体" w:hAnsi="宋体" w:eastAsia="宋体" w:cs="宋体"/>
          <w:color w:val="444444"/>
          <w:kern w:val="0"/>
          <w:sz w:val="28"/>
          <w:szCs w:val="28"/>
          <w:shd w:val="clear" w:fill="FFFFFF"/>
          <w:lang w:val="en-US" w:eastAsia="zh-CN"/>
        </w:rPr>
        <w:t>(仅供参考）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截至2021年12月31日，邵阳市</w:t>
      </w:r>
      <w:r>
        <w:rPr>
          <w:rFonts w:hint="eastAsia" w:ascii="宋体" w:hAnsi="宋体" w:eastAsia="宋体" w:cs="宋体"/>
          <w:color w:val="444444"/>
          <w:kern w:val="0"/>
          <w:sz w:val="28"/>
          <w:szCs w:val="28"/>
          <w:shd w:val="clear" w:fill="FFFFFF"/>
          <w:lang w:val="en-US" w:eastAsia="zh-CN"/>
        </w:rPr>
        <w:t>自然资源</w:t>
      </w:r>
      <w:r>
        <w:rPr>
          <w:rFonts w:hint="eastAsia" w:ascii="宋体" w:hAnsi="宋体" w:eastAsia="宋体" w:cs="宋体"/>
          <w:color w:val="444444"/>
          <w:kern w:val="0"/>
          <w:sz w:val="28"/>
          <w:szCs w:val="28"/>
          <w:shd w:val="clear" w:fill="FFFFFF"/>
        </w:rPr>
        <w:t>局资产总额为</w:t>
      </w:r>
      <w:r>
        <w:rPr>
          <w:rFonts w:hint="eastAsia" w:ascii="宋体" w:hAnsi="宋体" w:eastAsia="宋体" w:cs="宋体"/>
          <w:color w:val="444444"/>
          <w:kern w:val="0"/>
          <w:sz w:val="28"/>
          <w:szCs w:val="28"/>
          <w:shd w:val="clear" w:fill="FFFFFF"/>
          <w:lang w:val="en-US" w:eastAsia="zh-CN"/>
        </w:rPr>
        <w:t>168.88</w:t>
      </w:r>
      <w:r>
        <w:rPr>
          <w:rFonts w:hint="eastAsia" w:ascii="宋体" w:hAnsi="宋体" w:eastAsia="宋体" w:cs="宋体"/>
          <w:color w:val="444444"/>
          <w:kern w:val="0"/>
          <w:sz w:val="28"/>
          <w:szCs w:val="28"/>
          <w:shd w:val="clear" w:fill="FFFFFF"/>
        </w:rPr>
        <w:t>万元，主要由以下部分构成：流动资产</w:t>
      </w:r>
      <w:r>
        <w:rPr>
          <w:rFonts w:hint="eastAsia" w:ascii="宋体" w:hAnsi="宋体" w:eastAsia="宋体" w:cs="宋体"/>
          <w:color w:val="444444"/>
          <w:kern w:val="0"/>
          <w:sz w:val="28"/>
          <w:szCs w:val="28"/>
          <w:shd w:val="clear" w:fill="FFFFFF"/>
          <w:lang w:val="en-US" w:eastAsia="zh-CN"/>
        </w:rPr>
        <w:t>166.81</w:t>
      </w:r>
      <w:r>
        <w:rPr>
          <w:rFonts w:hint="eastAsia" w:ascii="宋体" w:hAnsi="宋体" w:eastAsia="宋体" w:cs="宋体"/>
          <w:color w:val="444444"/>
          <w:kern w:val="0"/>
          <w:sz w:val="28"/>
          <w:szCs w:val="28"/>
          <w:shd w:val="clear" w:fill="FFFFFF"/>
        </w:rPr>
        <w:t>万元,占资产总额的</w:t>
      </w:r>
      <w:r>
        <w:rPr>
          <w:rFonts w:hint="eastAsia" w:ascii="宋体" w:hAnsi="宋体" w:eastAsia="宋体" w:cs="宋体"/>
          <w:color w:val="444444"/>
          <w:kern w:val="0"/>
          <w:sz w:val="28"/>
          <w:szCs w:val="28"/>
          <w:shd w:val="clear" w:fill="FFFFFF"/>
          <w:lang w:val="en-US" w:eastAsia="zh-CN"/>
        </w:rPr>
        <w:t>99</w:t>
      </w:r>
      <w:r>
        <w:rPr>
          <w:rFonts w:hint="eastAsia" w:ascii="宋体" w:hAnsi="宋体" w:eastAsia="宋体" w:cs="宋体"/>
          <w:color w:val="444444"/>
          <w:kern w:val="0"/>
          <w:sz w:val="28"/>
          <w:szCs w:val="28"/>
          <w:shd w:val="clear" w:fill="FFFFFF"/>
        </w:rPr>
        <w:t>%,主要为银行存款及其他应收款等;固定资产</w:t>
      </w:r>
      <w:r>
        <w:rPr>
          <w:rFonts w:hint="eastAsia" w:ascii="宋体" w:hAnsi="宋体" w:eastAsia="宋体" w:cs="宋体"/>
          <w:color w:val="444444"/>
          <w:kern w:val="0"/>
          <w:sz w:val="28"/>
          <w:szCs w:val="28"/>
          <w:shd w:val="clear" w:fill="FFFFFF"/>
          <w:lang w:val="en-US" w:eastAsia="zh-CN"/>
        </w:rPr>
        <w:t>2.07</w:t>
      </w:r>
      <w:r>
        <w:rPr>
          <w:rFonts w:hint="eastAsia" w:ascii="宋体" w:hAnsi="宋体" w:eastAsia="宋体" w:cs="宋体"/>
          <w:color w:val="444444"/>
          <w:kern w:val="0"/>
          <w:sz w:val="28"/>
          <w:szCs w:val="28"/>
          <w:shd w:val="clear" w:fill="FFFFFF"/>
        </w:rPr>
        <w:t>万元,占资产总额的</w:t>
      </w:r>
      <w:r>
        <w:rPr>
          <w:rFonts w:hint="eastAsia" w:ascii="宋体" w:hAnsi="宋体" w:eastAsia="宋体" w:cs="宋体"/>
          <w:color w:val="444444"/>
          <w:kern w:val="0"/>
          <w:sz w:val="28"/>
          <w:szCs w:val="28"/>
          <w:shd w:val="clear" w:fill="FFFFFF"/>
          <w:lang w:val="en-US" w:eastAsia="zh-CN"/>
        </w:rPr>
        <w:t>1</w:t>
      </w:r>
      <w:r>
        <w:rPr>
          <w:rFonts w:hint="eastAsia" w:ascii="宋体" w:hAnsi="宋体" w:eastAsia="宋体" w:cs="宋体"/>
          <w:color w:val="444444"/>
          <w:kern w:val="0"/>
          <w:sz w:val="28"/>
          <w:szCs w:val="28"/>
          <w:shd w:val="clear" w:fill="FFFFFF"/>
        </w:rPr>
        <w:t>%，主要</w:t>
      </w:r>
      <w:r>
        <w:rPr>
          <w:rFonts w:hint="eastAsia" w:ascii="宋体" w:hAnsi="宋体" w:eastAsia="宋体" w:cs="宋体"/>
          <w:color w:val="444444"/>
          <w:kern w:val="0"/>
          <w:sz w:val="28"/>
          <w:szCs w:val="28"/>
          <w:shd w:val="clear" w:fill="FFFFFF"/>
          <w:lang w:eastAsia="zh-CN"/>
        </w:rPr>
        <w:t>是</w:t>
      </w:r>
      <w:r>
        <w:rPr>
          <w:rFonts w:hint="eastAsia" w:ascii="宋体" w:hAnsi="宋体" w:eastAsia="宋体" w:cs="宋体"/>
          <w:color w:val="444444"/>
          <w:kern w:val="0"/>
          <w:sz w:val="28"/>
          <w:szCs w:val="28"/>
          <w:shd w:val="clear" w:fill="FFFFFF"/>
        </w:rPr>
        <w:t>办公设备。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四、部门整体支出绩效情况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default" w:eastAsia="宋体"/>
          <w:lang w:val="en-US" w:eastAsia="zh-CN"/>
        </w:rPr>
      </w:pPr>
      <w:r>
        <w:rPr>
          <w:rFonts w:hint="eastAsia" w:ascii="宋体" w:hAnsi="宋体" w:eastAsia="宋体" w:cs="宋体"/>
          <w:color w:val="444444"/>
          <w:kern w:val="0"/>
          <w:sz w:val="28"/>
          <w:szCs w:val="28"/>
          <w:shd w:val="clear" w:fill="FFFFFF"/>
        </w:rPr>
        <w:t>2021年，我局充分履行职责职能，严格执行各项管理制度，经济、社会等效益显著、社会公众满意度上升，较好地完成了全年工作目标。</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jc w:val="left"/>
        <w:rPr>
          <w:rFonts w:hint="default" w:ascii="宋体" w:hAnsi="宋体" w:eastAsia="宋体" w:cs="宋体"/>
          <w:color w:val="444444"/>
          <w:kern w:val="0"/>
          <w:sz w:val="28"/>
          <w:szCs w:val="28"/>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五、综合评价情况及评价结论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2021年我局经费开支严格按预算执行，管理制度健全，会计基础规范，资金使用符合国家财经法规和财务管理制度规定。严格实行收支两条线，无截留、挤占、挪用、虚列支出、随意借用、大额现金支付等情况，重大财务事项经由集体研究决策。按要求执行政府采购，严控支出，开源节流，一般性支出和“三公经费”均按要求压减，预决算信息公开及时完善。资产管理安全，固定资产利用率、重点工作完成率等均达到或超过年初计划数，取得了较好的社会效益。根据邵阳市财政局《部门整体支出绩效评价指标评分表》评分体系，我局整体支出绩效自评</w:t>
      </w:r>
      <w:r>
        <w:rPr>
          <w:rFonts w:hint="eastAsia" w:ascii="宋体" w:hAnsi="宋体" w:eastAsia="宋体" w:cs="宋体"/>
          <w:color w:val="444444"/>
          <w:kern w:val="0"/>
          <w:sz w:val="28"/>
          <w:szCs w:val="28"/>
          <w:shd w:val="clear" w:fill="FFFFFF"/>
          <w:lang w:val="en-US" w:eastAsia="zh-CN"/>
        </w:rPr>
        <w:t>95</w:t>
      </w:r>
      <w:r>
        <w:rPr>
          <w:rFonts w:hint="eastAsia" w:ascii="宋体" w:hAnsi="宋体" w:eastAsia="宋体" w:cs="宋体"/>
          <w:color w:val="444444"/>
          <w:kern w:val="0"/>
          <w:sz w:val="28"/>
          <w:szCs w:val="28"/>
          <w:shd w:val="clear" w:fill="FFFFFF"/>
        </w:rPr>
        <w:t>分，自评</w:t>
      </w:r>
      <w:r>
        <w:rPr>
          <w:rFonts w:hint="eastAsia" w:ascii="宋体" w:hAnsi="宋体" w:eastAsia="宋体" w:cs="宋体"/>
          <w:color w:val="444444"/>
          <w:kern w:val="0"/>
          <w:sz w:val="28"/>
          <w:szCs w:val="28"/>
          <w:shd w:val="clear" w:fill="FFFFFF"/>
          <w:lang w:eastAsia="zh-CN"/>
        </w:rPr>
        <w:t>结果为</w:t>
      </w:r>
      <w:r>
        <w:rPr>
          <w:rFonts w:hint="eastAsia" w:ascii="宋体" w:hAnsi="宋体" w:eastAsia="宋体" w:cs="宋体"/>
          <w:color w:val="444444"/>
          <w:kern w:val="0"/>
          <w:sz w:val="28"/>
          <w:szCs w:val="28"/>
          <w:shd w:val="clear" w:fill="FFFFFF"/>
          <w:lang w:val="en-US" w:eastAsia="zh-CN"/>
        </w:rPr>
        <w:t>优良</w:t>
      </w:r>
      <w:r>
        <w:rPr>
          <w:rFonts w:hint="eastAsia" w:ascii="宋体" w:hAnsi="宋体" w:eastAsia="宋体" w:cs="宋体"/>
          <w:color w:val="444444"/>
          <w:kern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六、存在的问题及原因分析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七、下一步改进措施</w:t>
      </w:r>
    </w:p>
    <w:p>
      <w:pPr>
        <w:spacing w:line="600" w:lineRule="exact"/>
        <w:rPr>
          <w:rFonts w:ascii="宋体" w:hAnsi="宋体" w:cs="宋体"/>
          <w:kern w:val="0"/>
          <w:sz w:val="32"/>
          <w:szCs w:val="32"/>
        </w:rPr>
      </w:pPr>
      <w:bookmarkStart w:id="0" w:name="RANGE!A1:H22"/>
      <w:r>
        <w:rPr>
          <w:rFonts w:hint="eastAsia" w:ascii="黑体" w:hAnsi="宋体" w:eastAsia="黑体" w:cs="宋体"/>
          <w:kern w:val="0"/>
          <w:sz w:val="32"/>
          <w:szCs w:val="32"/>
        </w:rPr>
        <w:t>附件</w:t>
      </w:r>
      <w:bookmarkEnd w:id="0"/>
      <w:r>
        <w:rPr>
          <w:rFonts w:hint="eastAsia" w:ascii="黑体" w:hAnsi="宋体" w:eastAsia="黑体" w:cs="宋体"/>
          <w:kern w:val="0"/>
          <w:sz w:val="32"/>
          <w:szCs w:val="32"/>
        </w:rPr>
        <w:t>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7" w:hRule="atLeast"/>
          <w:tblHeader/>
          <w:jc w:val="center"/>
        </w:trPr>
        <w:tc>
          <w:tcPr>
            <w:tcW w:w="41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82"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3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45"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5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51"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4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9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40"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24"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08"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11"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35"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0"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jc w:val="left"/>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36"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3" w:hRule="atLeast"/>
          <w:jc w:val="center"/>
        </w:trPr>
        <w:tc>
          <w:tcPr>
            <w:tcW w:w="411" w:type="dxa"/>
            <w:vMerge w:val="continue"/>
            <w:tcBorders>
              <w:top w:val="nil"/>
            </w:tcBorders>
            <w:noWrap w:val="0"/>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8"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8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86" w:hRule="atLeast"/>
          <w:jc w:val="center"/>
        </w:trPr>
        <w:tc>
          <w:tcPr>
            <w:tcW w:w="411" w:type="dxa"/>
            <w:vMerge w:val="continue"/>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75" w:hRule="atLeast"/>
          <w:jc w:val="center"/>
        </w:trPr>
        <w:tc>
          <w:tcPr>
            <w:tcW w:w="411" w:type="dxa"/>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5" w:hRule="atLeast"/>
          <w:jc w:val="center"/>
        </w:trPr>
        <w:tc>
          <w:tcPr>
            <w:tcW w:w="411" w:type="dxa"/>
            <w:vMerge w:val="restart"/>
            <w:tcBorders>
              <w:top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8" w:hRule="atLeast"/>
          <w:jc w:val="center"/>
        </w:trPr>
        <w:tc>
          <w:tcPr>
            <w:tcW w:w="411" w:type="dxa"/>
            <w:vMerge w:val="continue"/>
            <w:tcBorders>
              <w:bottom w:val="single" w:color="auto" w:sz="4" w:space="0"/>
            </w:tcBorders>
            <w:noWrap w:val="0"/>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20"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95</w:t>
            </w:r>
          </w:p>
        </w:tc>
      </w:tr>
    </w:tbl>
    <w:p>
      <w:pPr>
        <w:spacing w:line="600" w:lineRule="exact"/>
        <w:rPr>
          <w:rFonts w:ascii="宋体" w:hAnsi="宋体" w:cs="宋体"/>
          <w:kern w:val="0"/>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86"/>
    <w:family w:val="auto"/>
    <w:pitch w:val="default"/>
    <w:sig w:usb0="00000000" w:usb1="00000000" w:usb2="00000016" w:usb3="00000000" w:csb0="0004001F" w:csb1="00000000"/>
  </w:font>
  <w:font w:name="仿宋">
    <w:altName w:val="方正仿宋_GBK"/>
    <w:panose1 w:val="02010609060101010101"/>
    <w:charset w:val="86"/>
    <w:family w:val="auto"/>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C059">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jZWQ1OWQzYzQzYjA3NDExNjQyZTg0YWU5MjBkYzIifQ=="/>
  </w:docVars>
  <w:rsids>
    <w:rsidRoot w:val="00000000"/>
    <w:rsid w:val="1EAC476E"/>
    <w:rsid w:val="30C16364"/>
    <w:rsid w:val="30E27C07"/>
    <w:rsid w:val="36C50230"/>
    <w:rsid w:val="37D13EC1"/>
    <w:rsid w:val="3EB668AC"/>
    <w:rsid w:val="45AD0E01"/>
    <w:rsid w:val="52953F30"/>
    <w:rsid w:val="5B5E43F9"/>
    <w:rsid w:val="68D67664"/>
    <w:rsid w:val="6FB13C98"/>
    <w:rsid w:val="DFEC7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rPr>
      <w:sz w:val="24"/>
    </w:rPr>
  </w:style>
  <w:style w:type="character" w:styleId="7">
    <w:name w:val="page number"/>
    <w:basedOn w:val="6"/>
    <w:qFormat/>
    <w:uiPriority w:val="0"/>
  </w:style>
  <w:style w:type="character" w:styleId="8">
    <w:name w:val="FollowedHyperlink"/>
    <w:basedOn w:val="6"/>
    <w:qFormat/>
    <w:uiPriority w:val="0"/>
    <w:rPr>
      <w:color w:val="444444"/>
      <w:u w:val="none"/>
    </w:rPr>
  </w:style>
  <w:style w:type="character" w:styleId="9">
    <w:name w:val="Hyperlink"/>
    <w:basedOn w:val="6"/>
    <w:qFormat/>
    <w:uiPriority w:val="0"/>
    <w:rPr>
      <w:color w:val="444444"/>
      <w:u w:val="none"/>
    </w:rPr>
  </w:style>
  <w:style w:type="character" w:customStyle="1" w:styleId="10">
    <w:name w:val="gai"/>
    <w:basedOn w:val="6"/>
    <w:qFormat/>
    <w:uiPriority w:val="0"/>
  </w:style>
  <w:style w:type="character" w:customStyle="1" w:styleId="11">
    <w:name w:val="gai1"/>
    <w:basedOn w:val="6"/>
    <w:qFormat/>
    <w:uiPriority w:val="0"/>
  </w:style>
  <w:style w:type="character" w:customStyle="1" w:styleId="12">
    <w:name w:val="gai2"/>
    <w:basedOn w:val="6"/>
    <w:qFormat/>
    <w:uiPriority w:val="0"/>
  </w:style>
  <w:style w:type="character" w:customStyle="1" w:styleId="13">
    <w:name w:val="gai3"/>
    <w:basedOn w:val="6"/>
    <w:qFormat/>
    <w:uiPriority w:val="0"/>
  </w:style>
  <w:style w:type="character" w:customStyle="1" w:styleId="14">
    <w:name w:val="gai4"/>
    <w:basedOn w:val="6"/>
    <w:qFormat/>
    <w:uiPriority w:val="0"/>
  </w:style>
  <w:style w:type="character" w:customStyle="1" w:styleId="15">
    <w:name w:val="you"/>
    <w:basedOn w:val="6"/>
    <w:qFormat/>
    <w:uiPriority w:val="0"/>
  </w:style>
  <w:style w:type="character" w:customStyle="1" w:styleId="16">
    <w:name w:val="info-valid"/>
    <w:basedOn w:val="6"/>
    <w:qFormat/>
    <w:uiPriority w:val="0"/>
    <w:rPr>
      <w:color w:val="444444"/>
    </w:rPr>
  </w:style>
  <w:style w:type="character" w:customStyle="1" w:styleId="17">
    <w:name w:val="tit2"/>
    <w:basedOn w:val="6"/>
    <w:qFormat/>
    <w:uiPriority w:val="0"/>
    <w:rPr>
      <w:color w:val="1D0000"/>
      <w:sz w:val="33"/>
      <w:szCs w:val="33"/>
    </w:rPr>
  </w:style>
  <w:style w:type="character" w:customStyle="1" w:styleId="18">
    <w:name w:val="tianqi"/>
    <w:basedOn w:val="6"/>
    <w:qFormat/>
    <w:uiPriority w:val="0"/>
  </w:style>
  <w:style w:type="character" w:customStyle="1" w:styleId="19">
    <w:name w:val="sjzs"/>
    <w:basedOn w:val="6"/>
    <w:qFormat/>
    <w:uiPriority w:val="0"/>
    <w:rPr>
      <w:sz w:val="27"/>
      <w:szCs w:val="27"/>
    </w:rPr>
  </w:style>
  <w:style w:type="character" w:customStyle="1" w:styleId="20">
    <w:name w:val="quanp"/>
    <w:basedOn w:val="6"/>
    <w:qFormat/>
    <w:uiPriority w:val="0"/>
    <w:rPr>
      <w:color w:val="FFFFFF"/>
      <w:shd w:val="clear" w:fill="7CB8FE"/>
    </w:rPr>
  </w:style>
  <w:style w:type="character" w:customStyle="1" w:styleId="21">
    <w:name w:val="lname"/>
    <w:basedOn w:val="6"/>
    <w:qFormat/>
    <w:uiPriority w:val="0"/>
    <w:rPr>
      <w:color w:val="000000"/>
      <w:sz w:val="30"/>
      <w:szCs w:val="30"/>
    </w:rPr>
  </w:style>
  <w:style w:type="character" w:customStyle="1" w:styleId="22">
    <w:name w:val="first-child4"/>
    <w:basedOn w:val="6"/>
    <w:qFormat/>
    <w:uiPriority w:val="0"/>
    <w:rPr>
      <w:color w:val="BD1B09"/>
    </w:rPr>
  </w:style>
  <w:style w:type="character" w:customStyle="1" w:styleId="23">
    <w:name w:val="first-child5"/>
    <w:basedOn w:val="6"/>
    <w:qFormat/>
    <w:uiPriority w:val="0"/>
    <w:rPr>
      <w:color w:val="878787"/>
      <w:sz w:val="36"/>
      <w:szCs w:val="36"/>
      <w:shd w:val="clear" w:fill="FFFFFF"/>
    </w:rPr>
  </w:style>
  <w:style w:type="character" w:customStyle="1" w:styleId="24">
    <w:name w:val="ldjs"/>
    <w:basedOn w:val="6"/>
    <w:qFormat/>
    <w:uiPriority w:val="0"/>
    <w:rPr>
      <w:color w:val="666666"/>
      <w:sz w:val="24"/>
      <w:szCs w:val="24"/>
    </w:rPr>
  </w:style>
  <w:style w:type="character" w:customStyle="1" w:styleId="25">
    <w:name w:val="quanp2"/>
    <w:basedOn w:val="6"/>
    <w:qFormat/>
    <w:uiPriority w:val="0"/>
    <w:rPr>
      <w:color w:val="FFFFFF"/>
      <w:sz w:val="0"/>
      <w:szCs w:val="0"/>
      <w:shd w:val="clear" w:fill="7CB8FE"/>
    </w:rPr>
  </w:style>
  <w:style w:type="character" w:customStyle="1" w:styleId="26">
    <w:name w:val="jiaoluo"/>
    <w:basedOn w:val="6"/>
    <w:qFormat/>
    <w:uiPriority w:val="0"/>
  </w:style>
  <w:style w:type="character" w:customStyle="1" w:styleId="27">
    <w:name w:val="last3"/>
    <w:basedOn w:val="6"/>
    <w:qFormat/>
    <w:uiPriority w:val="0"/>
  </w:style>
  <w:style w:type="character" w:customStyle="1" w:styleId="28">
    <w:name w:val="last4"/>
    <w:basedOn w:val="6"/>
    <w:qFormat/>
    <w:uiPriority w:val="0"/>
  </w:style>
  <w:style w:type="character" w:customStyle="1" w:styleId="29">
    <w:name w:val="fanhui"/>
    <w:basedOn w:val="6"/>
    <w:qFormat/>
    <w:uiPriority w:val="0"/>
    <w:rPr>
      <w:color w:val="FFFFFF"/>
      <w:sz w:val="24"/>
      <w:szCs w:val="24"/>
    </w:rPr>
  </w:style>
  <w:style w:type="character" w:customStyle="1" w:styleId="30">
    <w:name w:val="jiaoluo2"/>
    <w:basedOn w:val="6"/>
    <w:qFormat/>
    <w:uiPriority w:val="0"/>
  </w:style>
  <w:style w:type="character" w:customStyle="1" w:styleId="31">
    <w:name w:val="zuo"/>
    <w:basedOn w:val="6"/>
    <w:qFormat/>
    <w:uiPriority w:val="0"/>
  </w:style>
  <w:style w:type="character" w:customStyle="1" w:styleId="32">
    <w:name w:val="dcs"/>
    <w:basedOn w:val="6"/>
    <w:qFormat/>
    <w:uiPriority w:val="0"/>
    <w:rPr>
      <w:color w:val="BD1B09"/>
    </w:rPr>
  </w:style>
  <w:style w:type="character" w:customStyle="1" w:styleId="33">
    <w:name w:val="time"/>
    <w:basedOn w:val="6"/>
    <w:qFormat/>
    <w:uiPriority w:val="0"/>
    <w:rPr>
      <w:color w:val="999999"/>
    </w:rPr>
  </w:style>
  <w:style w:type="character" w:customStyle="1" w:styleId="34">
    <w:name w:val="time1"/>
    <w:basedOn w:val="6"/>
    <w:qFormat/>
    <w:uiPriority w:val="0"/>
    <w:rPr>
      <w:color w:val="99999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4253</Words>
  <Characters>4511</Characters>
  <Lines>0</Lines>
  <Paragraphs>0</Paragraphs>
  <TotalTime>38</TotalTime>
  <ScaleCrop>false</ScaleCrop>
  <LinksUpToDate>false</LinksUpToDate>
  <CharactersWithSpaces>4666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2022-10-10T16:53:00Z</dcterms:created>
  <dc:creator>Administrator</dc:creator>
  <cp:lastModifiedBy>sy701</cp:lastModifiedBy>
  <dcterms:modified xsi:type="dcterms:W3CDTF">2023-05-16T10:24:07Z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27D44EAE9A6D49D9AF3014F10205E593</vt:lpwstr>
  </property>
</Properties>
</file>