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北塔区住建局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整体支出绩效评价报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562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  <w:t>机构情况。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shd w:val="clear" w:fill="FFFFFF"/>
        </w:rPr>
        <w:t>北塔区住建局包含北塔区住建局机关，二级机构北塔区建筑工程管理站和北塔区人民防空工程质量监督站。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  <w:t>人员情况。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Chars="0" w:right="0" w:rightChars="0" w:firstLine="560" w:firstLineChars="20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</w:rPr>
        <w:t>住建局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  <w:lang w:eastAsia="zh-CN"/>
        </w:rPr>
        <w:t>共有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</w:rPr>
        <w:t>编制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  <w:lang w:eastAsia="zh-CN"/>
        </w:rPr>
        <w:t>人数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</w:rPr>
        <w:t>8人，实际人数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</w:rPr>
        <w:t>人，离退休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sz w:val="28"/>
          <w:szCs w:val="28"/>
          <w:highlight w:val="none"/>
          <w:shd w:val="clear" w:fill="FFFFFF"/>
        </w:rPr>
        <w:t>人，遗属补助人数0人，小车编制数0台，实际无，房屋租用面积147平方米。</w:t>
      </w:r>
    </w:p>
    <w:p>
      <w:pPr>
        <w:numPr>
          <w:ilvl w:val="0"/>
          <w:numId w:val="0"/>
        </w:num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（二）主要工作职责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1、宣传、贯彻和执行国家、省、市、区关于住房和城乡建设事业的方针、政策和法规，拟订全区住房和城乡建设相关行业发展战略、中长期规划、年度计划及政策和规章制度并监督执行。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2、综合管理城市建设和城建监察工作；研究提出新城发展规划，参与编制新城发展计划，负责城区基础设施建设管理，指导集镇扩建管理工作。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3、负责全区住房制度政策规定、改革方案的拟定和实施，全区住房保障规划的制度和落实，经济适用房和廉租住房的建设和管理。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4、负责管理全区建筑市场（包括建筑劳务市场、勘察设计市场、房地产市场、招投标市场和施工现场等），负责全区建筑施工监督管理和查处建筑市场违法违规行为，组织建设工程质量事故和安全事故的调查处理，参与重点工程建设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5、负责区内的各类建设项目的报建审批，代理颁发全市统一编号的《中标通知书》和《建设施工许可证》。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6、依法依规归集应用于住房和城乡建设的各类资金，具体负责城乡建设项目资金计划、管理和使用。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7、加强和推进建筑节能，负责和指导全区规划、建设和管理工作；负责城市标志性建筑的保护工作。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E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8、研究制订全区建设行业教育的发展规划、人才培养规划，负责建设职工队伍培训和继续教育。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48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8"/>
          <w:szCs w:val="28"/>
          <w:shd w:val="clear" w:fill="FFFFFF"/>
          <w:lang w:val="en-US" w:eastAsia="zh-CN" w:bidi="ar"/>
        </w:rPr>
        <w:t>9、完成区委、区政府交办的其他工作。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2022年本部门全年预算数11887.16万元，本年实际支出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11887.16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，完成全年预算的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100%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。与上一年度相比，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实际支出增加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5596.5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，增加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88.97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%。主要原因是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本年度增加了老旧小区改造及居民自建房安全整治项目，项目资金增加。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2022年度收入合计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11887.16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万元，其中：财政拨款收入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11154.05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93.83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%；上级补助收入0万元，占0%；事业收入0万元，占0%；经营收入0万元，占0%；附属单位上缴收入0万元，占0%；其他收入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733.11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6.17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%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2022年度支出合计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11887.16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万元，其中：基本支出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502.32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%；项目支出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11384.84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95.77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%；上缴上级支出0万元，占0%；经营支出0万元，占0%；对附属单位补助支出0万元，占0%。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2022年度北塔区住建局基本支出年初预算安排为502.32万元，本年实际支出为502.32万元，主要为人员经费支出和公用经费支出，其中人员经费支出255.97万元、公用经费支出246.35万元。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（三）项目支出情况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56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本年项目支出年初预算安排为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11384.84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万元，本年实际支出为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11384.84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万元，主要为北塔区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老旧小区改造及居民自建房安全整治项目支出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1、预算执行情况。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840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⑴ 2022年财政拨款预算执行数11154.04万元，预算安排数11154.04万元，预算执行率为100%；⑵公用经费预算178.17万元，实际支出178.17万元，公用经费控制率为100%；、（3）“三公经费”年初预算安排0万元，实际支出0万元，“三公经费”控制率为0%。（4）政府采购年初预算10.2万元，实际政府采购金额1469.75万元，政府采购执行率1459.55%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预决算信息公开情况。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420" w:leftChars="0" w:right="0" w:rightChars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塔区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住建局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资产管理情况。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420" w:leftChars="0" w:right="0" w:rightChars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北塔区住建局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拥有各类资产总额402.03万元，其中流动资产328.7万元，固定资产8.52万元。单位为加强资产管理，内部制定了资产管理制度，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numPr>
          <w:ilvl w:val="0"/>
          <w:numId w:val="2"/>
        </w:num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职责覆行和主要绩效情况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eastAsia="zh-CN"/>
        </w:rPr>
        <w:t>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  <w:t>年，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  <w:t>充分履行职责职能，严格执行各项管理制度，经济、社会等效益显著、社会公众满意度上升，较好地完成了全年工作目标。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280" w:firstLineChars="1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1.预算执行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是建立预算执行责任制。将年度预算收入责任及预算支出额度逐一分解落实到各股室，形成领导重视、衔接紧密、齐抓共管的体制机制，建立预算指标额度台账，将预算执行情况作为年度目标考核的内容。二是建立预算执行信息化管理制度。在北塔区政府政务公开网公布部门财政预算批复及执行情况，及时公布“三公经费”支出情况，接受监督。三是建立健全项目资金管理制度。对于财政性专项资金，在区财政局的督导下，严格按专项资金项目实施方案执行，督促项目承担单位加快项目实施进度，及时办理报账、验收、结算等相关手续，做到不集中使用、不滥用资金，最大限度提高专项资金利用效率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2.预算管理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   为规范机关财务管理，建立健全财务管理制度，住建局制订了《北塔区住建局财务管理办法》、《北塔区住建局财务内控制度（试行）》、《北塔区住建局财务集中会审实施办法》等一系列合法合规、较为完整的、具有很强的可操作性财务管理制度。坚持经费预算科学化、精细化，执行控制规范化、责任化，监督检查常态化、同步化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资金的支付符合国家财经法规和财务管理制度规定，以及有关专项资金管理办法的规定；资金拨付有完整的审批程序和手续；支出符合部门预算批复的用途；重大财务事项经由集体研究决策；专项资金做到专款专用；原始凭证的取得真实有效。部门预决算信息按规定内容，在规定的时限内予以公开。基础数据信息和会计信息资料真实、完整、准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Chars="0" w:right="0" w:rightChars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3.提升支出绩效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2022年，住建局全面落实省委、省政府和市委、市政府及区政府的工作部署，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紧紧围绕全年工作目标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科学谋划，开拓进取，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各项工作任务全面完成，财务管理规范，单位行政运行稳定有序。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四、存在的问题及原因分析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left"/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shd w:val="clear" w:fill="FFFFFF"/>
          <w:lang w:val="en-US" w:eastAsia="zh-CN"/>
        </w:rPr>
        <w:t>通过前述对我局整体支出情况的分析，反映出目前在整体支出的预算编制、执行和管理过程中，依然存在一些问题和不足。一是由于我局担负全区整体城市基础设施建设，项目建设较多，随时性变动较大，不可预测性较大；二是预算编制项目与实际支出项目资金有差异；三是预算项目申报的前瞻性不足，基础资料的收集和整理不到位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五、改进措施及有关建议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（一）进一步加强项目资金管理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    项目实施提前做好方案，按时间节点落实好项目实施进度，争取项目早实施、早完成、早验收，确保项目资金年内支付到位。项目资金的使用要事前计划、事中控制、事后总结，合理使用，充分体现项目资金投向的目标和效益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（二）进一步提高绩效管理水平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Autospacing="0"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    加强预算执行的准确性，开展好支出绩效管理工作，运用好绩效评价结果，不断提升绩效管理水平。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10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1CED5"/>
    <w:multiLevelType w:val="singleLevel"/>
    <w:tmpl w:val="4E01CE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B2B319"/>
    <w:multiLevelType w:val="singleLevel"/>
    <w:tmpl w:val="73B2B31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ODU2NjNjNjUzYmY2YWFjZTFlMWI3MGRkOGY5YjMifQ=="/>
  </w:docVars>
  <w:rsids>
    <w:rsidRoot w:val="00000000"/>
    <w:rsid w:val="00554C33"/>
    <w:rsid w:val="00D51644"/>
    <w:rsid w:val="025D08EA"/>
    <w:rsid w:val="02A74CAA"/>
    <w:rsid w:val="030F1DE7"/>
    <w:rsid w:val="03820DC6"/>
    <w:rsid w:val="05213482"/>
    <w:rsid w:val="058A0D93"/>
    <w:rsid w:val="09E17252"/>
    <w:rsid w:val="0D5E3707"/>
    <w:rsid w:val="11E84674"/>
    <w:rsid w:val="126C42B4"/>
    <w:rsid w:val="13FF71D3"/>
    <w:rsid w:val="15624FA3"/>
    <w:rsid w:val="17042185"/>
    <w:rsid w:val="18F520BE"/>
    <w:rsid w:val="1F010C8F"/>
    <w:rsid w:val="20F63895"/>
    <w:rsid w:val="2110333D"/>
    <w:rsid w:val="23166485"/>
    <w:rsid w:val="242B5193"/>
    <w:rsid w:val="26166273"/>
    <w:rsid w:val="28B159E4"/>
    <w:rsid w:val="2B032004"/>
    <w:rsid w:val="2C7529D1"/>
    <w:rsid w:val="2D6C05C8"/>
    <w:rsid w:val="2EC14499"/>
    <w:rsid w:val="3523648D"/>
    <w:rsid w:val="3619015E"/>
    <w:rsid w:val="366F0F07"/>
    <w:rsid w:val="36E22B02"/>
    <w:rsid w:val="37A26170"/>
    <w:rsid w:val="39A72365"/>
    <w:rsid w:val="3AFA2251"/>
    <w:rsid w:val="3B9303B2"/>
    <w:rsid w:val="3C8416D7"/>
    <w:rsid w:val="3D746D30"/>
    <w:rsid w:val="3EE802AE"/>
    <w:rsid w:val="3FAB09ED"/>
    <w:rsid w:val="3FD60D87"/>
    <w:rsid w:val="44AF5D78"/>
    <w:rsid w:val="453E2E55"/>
    <w:rsid w:val="45833892"/>
    <w:rsid w:val="45CB4E15"/>
    <w:rsid w:val="4ACA7AAB"/>
    <w:rsid w:val="4B991F60"/>
    <w:rsid w:val="4D113C42"/>
    <w:rsid w:val="4E58558A"/>
    <w:rsid w:val="4F3501F1"/>
    <w:rsid w:val="5004364A"/>
    <w:rsid w:val="52C04276"/>
    <w:rsid w:val="53202F66"/>
    <w:rsid w:val="55C776C9"/>
    <w:rsid w:val="56F15E8C"/>
    <w:rsid w:val="575435C3"/>
    <w:rsid w:val="58CA4CA4"/>
    <w:rsid w:val="59A70B1E"/>
    <w:rsid w:val="59E60318"/>
    <w:rsid w:val="5B9A18F6"/>
    <w:rsid w:val="5CBC5F90"/>
    <w:rsid w:val="5E6D1153"/>
    <w:rsid w:val="5F83500A"/>
    <w:rsid w:val="60745B56"/>
    <w:rsid w:val="61E86AFB"/>
    <w:rsid w:val="62406E5C"/>
    <w:rsid w:val="641F097E"/>
    <w:rsid w:val="65236940"/>
    <w:rsid w:val="664A41B0"/>
    <w:rsid w:val="66D16D4F"/>
    <w:rsid w:val="66FE6113"/>
    <w:rsid w:val="6939283F"/>
    <w:rsid w:val="6A177CD1"/>
    <w:rsid w:val="6AF83014"/>
    <w:rsid w:val="6B874FA2"/>
    <w:rsid w:val="6FD52562"/>
    <w:rsid w:val="70514092"/>
    <w:rsid w:val="70852420"/>
    <w:rsid w:val="717F117A"/>
    <w:rsid w:val="73125FD0"/>
    <w:rsid w:val="76DC35F5"/>
    <w:rsid w:val="7832658D"/>
    <w:rsid w:val="79074D5F"/>
    <w:rsid w:val="7AF745AA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  <w:rPr>
      <w:szCs w:val="24"/>
    </w:rPr>
  </w:style>
  <w:style w:type="paragraph" w:styleId="5">
    <w:name w:val="Body Text"/>
    <w:basedOn w:val="1"/>
    <w:next w:val="6"/>
    <w:qFormat/>
    <w:uiPriority w:val="0"/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1</TotalTime>
  <ScaleCrop>false</ScaleCrop>
  <LinksUpToDate>false</LinksUpToDate>
  <CharactersWithSpaces>2541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win7</cp:lastModifiedBy>
  <dcterms:modified xsi:type="dcterms:W3CDTF">2023-09-22T09:42:54Z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790B00181A83406BAC75E7C8AA52EB7B_13</vt:lpwstr>
  </property>
</Properties>
</file>