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B5" w:rsidRDefault="00DF1607">
      <w:pPr>
        <w:pStyle w:val="a3"/>
        <w:widowControl/>
        <w:spacing w:after="300" w:line="600" w:lineRule="atLeast"/>
        <w:jc w:val="center"/>
      </w:pPr>
      <w:r>
        <w:rPr>
          <w:rFonts w:ascii="宋体" w:eastAsia="宋体" w:hAnsi="宋体" w:cs="宋体" w:hint="eastAsia"/>
          <w:color w:val="444444"/>
          <w:sz w:val="28"/>
          <w:szCs w:val="28"/>
          <w:shd w:val="clear" w:color="auto" w:fill="FFFFFF"/>
        </w:rPr>
        <w:t> </w:t>
      </w:r>
    </w:p>
    <w:p w:rsidR="00EC2CB5" w:rsidRDefault="00DF1607">
      <w:pPr>
        <w:pStyle w:val="a3"/>
        <w:widowControl/>
        <w:spacing w:after="300" w:line="600" w:lineRule="atLeast"/>
        <w:jc w:val="center"/>
        <w:rPr>
          <w:rFonts w:eastAsia="宋体"/>
        </w:rPr>
      </w:pPr>
      <w:r>
        <w:rPr>
          <w:rFonts w:ascii="Times New Roman" w:eastAsia="微软雅黑" w:hAnsi="Times New Roman" w:cs="Times New Roman"/>
          <w:b/>
          <w:bCs/>
          <w:color w:val="444444"/>
          <w:sz w:val="28"/>
          <w:szCs w:val="28"/>
          <w:shd w:val="clear" w:color="auto" w:fill="FFFFFF"/>
        </w:rPr>
        <w:t>2021</w:t>
      </w:r>
      <w:r>
        <w:rPr>
          <w:rFonts w:ascii="宋体" w:eastAsia="宋体" w:hAnsi="宋体" w:cs="宋体" w:hint="eastAsia"/>
          <w:b/>
          <w:bCs/>
          <w:color w:val="444444"/>
          <w:sz w:val="28"/>
          <w:szCs w:val="28"/>
          <w:shd w:val="clear" w:color="auto" w:fill="FFFFFF"/>
        </w:rPr>
        <w:t>年度</w:t>
      </w:r>
      <w:r>
        <w:rPr>
          <w:rFonts w:ascii="宋体" w:eastAsia="宋体" w:hAnsi="宋体" w:cs="宋体" w:hint="eastAsia"/>
          <w:b/>
          <w:bCs/>
          <w:color w:val="444444"/>
          <w:sz w:val="28"/>
          <w:szCs w:val="28"/>
          <w:shd w:val="clear" w:color="auto" w:fill="FFFFFF"/>
        </w:rPr>
        <w:t>北塔区融媒体中心</w:t>
      </w:r>
      <w:r>
        <w:rPr>
          <w:rFonts w:ascii="宋体" w:eastAsia="宋体" w:hAnsi="宋体" w:cs="宋体" w:hint="eastAsia"/>
          <w:b/>
          <w:bCs/>
          <w:color w:val="444444"/>
          <w:sz w:val="28"/>
          <w:szCs w:val="28"/>
          <w:shd w:val="clear" w:color="auto" w:fill="FFFFFF"/>
        </w:rPr>
        <w:t>部门整体支出绩效评价报告</w:t>
      </w:r>
    </w:p>
    <w:p w:rsidR="00EC2CB5" w:rsidRDefault="00DF1607">
      <w:pPr>
        <w:pStyle w:val="a3"/>
        <w:widowControl/>
        <w:spacing w:after="300" w:line="600" w:lineRule="atLeast"/>
        <w:jc w:val="left"/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一、部门概况</w:t>
      </w:r>
    </w:p>
    <w:p w:rsidR="00EC2CB5" w:rsidRDefault="00DF1607">
      <w:pPr>
        <w:pStyle w:val="a3"/>
        <w:widowControl/>
        <w:spacing w:after="300" w:line="600" w:lineRule="atLeast"/>
        <w:jc w:val="left"/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（一）基本情况。</w:t>
      </w:r>
    </w:p>
    <w:p w:rsidR="00EC2CB5" w:rsidRDefault="00DF1607">
      <w:pPr>
        <w:pStyle w:val="a3"/>
        <w:widowControl/>
        <w:spacing w:after="300" w:line="600" w:lineRule="atLeast"/>
        <w:jc w:val="left"/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．主要职能。</w:t>
      </w:r>
    </w:p>
    <w:p w:rsidR="00EC2CB5" w:rsidRDefault="00DF1607">
      <w:pPr>
        <w:widowControl/>
        <w:shd w:val="clear" w:color="auto" w:fill="FFFFFF"/>
        <w:spacing w:before="100" w:after="100" w:line="480" w:lineRule="atLeast"/>
        <w:ind w:firstLine="480"/>
        <w:jc w:val="left"/>
        <w:rPr>
          <w:rFonts w:ascii="微软雅黑" w:eastAsia="微软雅黑" w:hAnsi="微软雅黑" w:cs="微软雅黑"/>
          <w:color w:val="1E1E1E"/>
          <w:sz w:val="24"/>
        </w:rPr>
      </w:pP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一是坚决贯彻党管媒体原则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严格执行党中央和省、市、区委关于新闻宣传、媒体融合发展等工作的方针政策和决策部署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落实中央和省委、市委、区委的工作要求。坚持和加强党对新闻舆论工作的集中统一领导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坚持移动优先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建成主流舆论阵地、综合服务平台和社区信息枢纽。</w:t>
      </w:r>
    </w:p>
    <w:p w:rsidR="00EC2CB5" w:rsidRDefault="00DF1607">
      <w:pPr>
        <w:widowControl/>
        <w:shd w:val="clear" w:color="auto" w:fill="FFFFFF"/>
        <w:spacing w:before="100" w:after="100" w:line="480" w:lineRule="atLeast"/>
        <w:ind w:firstLine="480"/>
        <w:jc w:val="left"/>
        <w:rPr>
          <w:rFonts w:ascii="微软雅黑" w:eastAsia="微软雅黑" w:hAnsi="微软雅黑" w:cs="微软雅黑"/>
          <w:color w:val="1E1E1E"/>
          <w:sz w:val="24"/>
        </w:rPr>
      </w:pP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二是负责利用移动传播技术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形成渠道丰富、覆盖广泛传播有效、可管可控的移动传播矩阵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;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树立“媒体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+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”的理念从单纯的新闻宣传向公共服务领域拓展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增强互动性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从单向传播向多元互动传播延伸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将媒体与政务、服务等业务相结合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构建具有北塔特色的“主流舆论阵地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+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综合服务平台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+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社区信息枢纽”平台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提供多样化综合服务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满足用户多样化的需求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开展“媒体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+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政务”“媒体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+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服务”等业务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面向用户提供政务服务、生活服务、社交传播、教育培训等服务平台。</w:t>
      </w:r>
    </w:p>
    <w:p w:rsidR="00EC2CB5" w:rsidRDefault="00DF1607">
      <w:pPr>
        <w:widowControl/>
        <w:shd w:val="clear" w:color="auto" w:fill="FFFFFF"/>
        <w:spacing w:before="100" w:after="100" w:line="480" w:lineRule="atLeast"/>
        <w:ind w:firstLine="480"/>
        <w:jc w:val="left"/>
        <w:rPr>
          <w:rFonts w:ascii="微软雅黑" w:eastAsia="微软雅黑" w:hAnsi="微软雅黑" w:cs="微软雅黑"/>
          <w:color w:val="1E1E1E"/>
          <w:sz w:val="24"/>
        </w:rPr>
      </w:pP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三是负责归并一报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(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北塔报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)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、二网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(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北塔政务网、北塔新闻网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)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、多微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(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北塔发布和各乡街道、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区直机关部门短讯快讯、微信微博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以及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H5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、快手、抖音等新媒体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),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提供对外宣传平台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充分发挥媒体融合优势。集中力量打造“新湖南北塔区频道”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建立“精品北塔”客户端。着力提高客户端下载量、日活率，提高在全区的覆盖面。综合运用报纸、广播、电视、新闻网站、微博微信、手机报、客户端频道等多个终端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形成分众传播分类覆盖的格局。</w:t>
      </w:r>
    </w:p>
    <w:p w:rsidR="00EC2CB5" w:rsidRDefault="00DF1607">
      <w:pPr>
        <w:widowControl/>
        <w:shd w:val="clear" w:color="auto" w:fill="FFFFFF"/>
        <w:spacing w:before="100" w:after="100" w:line="480" w:lineRule="atLeast"/>
        <w:ind w:firstLine="480"/>
        <w:jc w:val="left"/>
        <w:rPr>
          <w:rFonts w:ascii="微软雅黑" w:eastAsia="微软雅黑" w:hAnsi="微软雅黑" w:cs="微软雅黑"/>
          <w:color w:val="1E1E1E"/>
          <w:sz w:val="24"/>
        </w:rPr>
      </w:pP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lastRenderedPageBreak/>
        <w:t>四是负责充分发挥信息服务平台的作用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积极参与“精品北塔”客户端建设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整合全区党政部门信息资源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对接全区党政部门技术平台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为各部门对外宣传、便民服务提供技术支撑。</w:t>
      </w:r>
    </w:p>
    <w:p w:rsidR="00EC2CB5" w:rsidRDefault="00DF1607">
      <w:pPr>
        <w:widowControl/>
        <w:shd w:val="clear" w:color="auto" w:fill="FFFFFF"/>
        <w:spacing w:before="100" w:after="100" w:line="480" w:lineRule="atLeast"/>
        <w:ind w:firstLine="480"/>
        <w:jc w:val="left"/>
        <w:rPr>
          <w:rFonts w:ascii="微软雅黑" w:eastAsia="微软雅黑" w:hAnsi="微软雅黑" w:cs="微软雅黑"/>
          <w:color w:val="1E1E1E"/>
          <w:sz w:val="24"/>
        </w:rPr>
      </w:pP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五是协助开展各类群众性文化、体育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、科普、公益活动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开展各类商务、会展节庆等活动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打通线上线下、提升造血机能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丰富群众文化生活、强化为民服务功能。</w:t>
      </w:r>
    </w:p>
    <w:p w:rsidR="00EC2CB5" w:rsidRDefault="00DF1607">
      <w:pPr>
        <w:widowControl/>
        <w:shd w:val="clear" w:color="auto" w:fill="FFFFFF"/>
        <w:spacing w:before="100" w:after="100" w:line="480" w:lineRule="atLeast"/>
        <w:ind w:firstLine="480"/>
        <w:jc w:val="left"/>
        <w:rPr>
          <w:rFonts w:ascii="微软雅黑" w:eastAsia="微软雅黑" w:hAnsi="微软雅黑" w:cs="微软雅黑"/>
          <w:color w:val="1E1E1E"/>
          <w:sz w:val="24"/>
        </w:rPr>
      </w:pP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六是负责加强媒体在机构、内容、渠道、平台、人员、经营、管理等方面深度融合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提高传播力、引导力、影响力。建成主流舆论阵地、讲好“北塔话”。宣传党中央决策部署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宣传党的创新理论和社会主义核心价值观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宣传各级党委政府工作安排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传播政经资讯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对中央和省、市级媒体形成有益补充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;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建成综合服务平台、连通“北塔城”。向基层干部群众提供政务需求、生活服务、社交传播、教育培训等综合服务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增强党委政府和人民群众之间的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互动沟通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;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建成社区信息枢纽、引导“北塔人”。面向人口聚集的部门机关、乡街道、村社区、企事业单位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提供精准化的生活资讯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打通线上线下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,</w:t>
      </w: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建设培育社会动员功能。</w:t>
      </w:r>
    </w:p>
    <w:p w:rsidR="00EC2CB5" w:rsidRDefault="00DF1607">
      <w:pPr>
        <w:widowControl/>
        <w:shd w:val="clear" w:color="auto" w:fill="FFFFFF"/>
        <w:spacing w:before="100" w:after="100" w:line="480" w:lineRule="atLeast"/>
        <w:ind w:firstLine="480"/>
        <w:jc w:val="left"/>
        <w:rPr>
          <w:rFonts w:ascii="微软雅黑" w:eastAsia="微软雅黑" w:hAnsi="微软雅黑" w:cs="微软雅黑"/>
          <w:color w:val="1E1E1E"/>
          <w:sz w:val="24"/>
        </w:rPr>
      </w:pPr>
      <w:r>
        <w:rPr>
          <w:rFonts w:ascii="宋体" w:eastAsia="宋体" w:hAnsi="宋体" w:cs="宋体" w:hint="eastAsia"/>
          <w:color w:val="1E1E1E"/>
          <w:kern w:val="0"/>
          <w:sz w:val="24"/>
          <w:shd w:val="clear" w:color="auto" w:fill="FFFFFF"/>
          <w:lang/>
        </w:rPr>
        <w:t>七是完成区委交办的其他事项。</w:t>
      </w:r>
    </w:p>
    <w:p w:rsidR="00EC2CB5" w:rsidRDefault="00EC2CB5">
      <w:pPr>
        <w:pStyle w:val="a3"/>
        <w:widowControl/>
        <w:spacing w:after="300" w:line="600" w:lineRule="atLeast"/>
        <w:jc w:val="left"/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</w:pPr>
    </w:p>
    <w:p w:rsidR="00EC2CB5" w:rsidRDefault="00DF1607">
      <w:pPr>
        <w:pStyle w:val="a3"/>
        <w:widowControl/>
        <w:numPr>
          <w:ilvl w:val="0"/>
          <w:numId w:val="1"/>
        </w:numPr>
        <w:spacing w:after="300" w:line="600" w:lineRule="atLeast"/>
        <w:jc w:val="left"/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机构情况。</w:t>
      </w:r>
    </w:p>
    <w:p w:rsidR="00EC2CB5" w:rsidRDefault="00DF1607">
      <w:pPr>
        <w:pStyle w:val="a3"/>
        <w:widowControl/>
        <w:spacing w:after="300" w:line="600" w:lineRule="atLeast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1E1E1E"/>
        </w:rPr>
        <w:t>纳入</w:t>
      </w:r>
      <w:r>
        <w:rPr>
          <w:rFonts w:ascii="宋体" w:eastAsia="宋体" w:hAnsi="宋体" w:cs="宋体" w:hint="eastAsia"/>
          <w:color w:val="1E1E1E"/>
        </w:rPr>
        <w:t>2021</w:t>
      </w:r>
      <w:r>
        <w:rPr>
          <w:rFonts w:ascii="宋体" w:eastAsia="宋体" w:hAnsi="宋体" w:cs="宋体" w:hint="eastAsia"/>
          <w:color w:val="1E1E1E"/>
        </w:rPr>
        <w:t>年部门预算编报的单位</w:t>
      </w:r>
      <w:r>
        <w:rPr>
          <w:rFonts w:ascii="宋体" w:eastAsia="宋体" w:hAnsi="宋体" w:cs="宋体" w:hint="eastAsia"/>
          <w:color w:val="1E1E1E"/>
        </w:rPr>
        <w:t>1</w:t>
      </w:r>
      <w:r>
        <w:rPr>
          <w:rFonts w:ascii="宋体" w:eastAsia="宋体" w:hAnsi="宋体" w:cs="宋体" w:hint="eastAsia"/>
          <w:color w:val="1E1E1E"/>
        </w:rPr>
        <w:t>个，包含北塔区融媒体中心机关，无所属二级机构。</w:t>
      </w:r>
    </w:p>
    <w:p w:rsidR="00EC2CB5" w:rsidRDefault="00DF1607">
      <w:pPr>
        <w:pStyle w:val="a3"/>
        <w:widowControl/>
        <w:numPr>
          <w:ilvl w:val="0"/>
          <w:numId w:val="1"/>
        </w:numPr>
        <w:spacing w:after="300" w:line="600" w:lineRule="atLeast"/>
        <w:jc w:val="left"/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人员情况。</w:t>
      </w:r>
    </w:p>
    <w:p w:rsidR="00EC2CB5" w:rsidRDefault="00DF1607">
      <w:pPr>
        <w:pStyle w:val="a3"/>
        <w:widowControl/>
        <w:spacing w:after="300" w:line="600" w:lineRule="atLeast"/>
        <w:jc w:val="left"/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1E1E1E"/>
          <w:shd w:val="clear" w:color="auto" w:fill="FFFFFF"/>
        </w:rPr>
        <w:t>本单位事业编制</w:t>
      </w:r>
      <w:r>
        <w:rPr>
          <w:rFonts w:ascii="宋体" w:eastAsia="宋体" w:hAnsi="宋体" w:cs="宋体" w:hint="eastAsia"/>
          <w:color w:val="1E1E1E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1E1E1E"/>
          <w:shd w:val="clear" w:color="auto" w:fill="FFFFFF"/>
        </w:rPr>
        <w:t>个，实有在岗人数为</w:t>
      </w:r>
      <w:r>
        <w:rPr>
          <w:rFonts w:ascii="宋体" w:eastAsia="宋体" w:hAnsi="宋体" w:cs="宋体" w:hint="eastAsia"/>
          <w:color w:val="1E1E1E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1E1E1E"/>
          <w:shd w:val="clear" w:color="auto" w:fill="FFFFFF"/>
        </w:rPr>
        <w:t>人。</w:t>
      </w:r>
    </w:p>
    <w:p w:rsidR="00EC2CB5" w:rsidRDefault="00DF1607">
      <w:pPr>
        <w:pStyle w:val="a3"/>
        <w:widowControl/>
        <w:spacing w:after="300" w:line="600" w:lineRule="atLeast"/>
        <w:jc w:val="left"/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二、部门整体支出管理及使用情况</w:t>
      </w:r>
    </w:p>
    <w:p w:rsidR="00EC2CB5" w:rsidRDefault="00DF1607">
      <w:pPr>
        <w:pStyle w:val="a3"/>
        <w:widowControl/>
        <w:spacing w:after="300" w:line="600" w:lineRule="atLeast"/>
        <w:jc w:val="left"/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lastRenderedPageBreak/>
        <w:t>（一）基本支出</w:t>
      </w:r>
    </w:p>
    <w:p w:rsidR="00EC2CB5" w:rsidRDefault="00DF1607">
      <w:pPr>
        <w:pStyle w:val="a3"/>
        <w:widowControl/>
        <w:spacing w:after="300" w:line="600" w:lineRule="atLeast"/>
        <w:jc w:val="left"/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基本支出系保障我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单位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机构正常运转、完成日常工作任务而发生的人员支出和公用支出，包括用于在职和离退休人员基本工资、津贴补贴等人员经费以及办公费、印刷费、水电费、办公设备购置等日常公用经费。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2021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年我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单位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基本支出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174.76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万元，比上年同口径减少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81.47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万元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下降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31.8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%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。其中：工资福利支出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58.56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万元，商品和服务支出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104.04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万元，对个人和家庭的补助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0.46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万元，资本性支出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8.06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万元。</w:t>
      </w:r>
    </w:p>
    <w:p w:rsidR="00EC2CB5" w:rsidRDefault="00DF1607">
      <w:pPr>
        <w:pStyle w:val="a3"/>
        <w:widowControl/>
        <w:spacing w:after="300" w:line="600" w:lineRule="atLeast"/>
        <w:jc w:val="left"/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2021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年“三公”经费实际开支总额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0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万元。其中：因公出国（境）费支出本年未发生。公务用车购置及运行维护费实际开支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0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万元（公务用车购置费未发生，公务用车运行维护费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0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万元），公务用车保有量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0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辆；公务接待费实际开支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0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万元，公务接待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0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批次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0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人次。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2021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年“三公”经费实际开支总额比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2020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年同口径减少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0.19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万元。</w:t>
      </w:r>
    </w:p>
    <w:p w:rsidR="00EC2CB5" w:rsidRDefault="00DF1607">
      <w:pPr>
        <w:pStyle w:val="a3"/>
        <w:widowControl/>
        <w:spacing w:after="300" w:line="600" w:lineRule="atLeast"/>
        <w:jc w:val="left"/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（二）专项支出</w:t>
      </w:r>
    </w:p>
    <w:p w:rsidR="00EC2CB5" w:rsidRDefault="00DF1607">
      <w:pPr>
        <w:pStyle w:val="a3"/>
        <w:widowControl/>
        <w:spacing w:after="300" w:line="600" w:lineRule="atLeast"/>
        <w:ind w:firstLineChars="200" w:firstLine="560"/>
        <w:jc w:val="left"/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202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年，我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单位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项目支出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0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万元。</w:t>
      </w:r>
    </w:p>
    <w:p w:rsidR="00EC2CB5" w:rsidRDefault="00DF1607">
      <w:pPr>
        <w:pStyle w:val="a3"/>
        <w:widowControl/>
        <w:spacing w:after="300" w:line="600" w:lineRule="atLeast"/>
        <w:jc w:val="left"/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三、资产管理情况</w:t>
      </w:r>
    </w:p>
    <w:p w:rsidR="00EC2CB5" w:rsidRDefault="00DF1607">
      <w:pPr>
        <w:pStyle w:val="a3"/>
        <w:widowControl/>
        <w:spacing w:after="300" w:line="600" w:lineRule="atLeast"/>
        <w:ind w:firstLineChars="200" w:firstLine="560"/>
        <w:jc w:val="left"/>
        <w:rPr>
          <w:rFonts w:eastAsia="宋体"/>
        </w:rPr>
      </w:pPr>
      <w:r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  <w:t>我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单位</w:t>
      </w:r>
      <w:r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  <w:t>资产管理由办公室负责，资产采购按程序实行报批采购，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统一在政采云平台下单，</w:t>
      </w:r>
      <w:r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  <w:t>采购后登记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入账，录入资产信息系统</w:t>
      </w:r>
      <w:r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  <w:t>，再派发到相关科室。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一是我局资产管理和使用坚持统一政策、统一领导、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lastRenderedPageBreak/>
        <w:t>分级管理、责任到人、物尽其用的原则。</w:t>
      </w:r>
      <w:r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  <w:t>二是运用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资产</w:t>
      </w:r>
      <w:r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  <w:t>信息管理系统加强资产管理。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对</w:t>
      </w:r>
      <w:r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  <w:t>固定资产分别按使用部门、存放地点和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使用</w:t>
      </w:r>
      <w:r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  <w:t>人顺序编排编码排序，统一录入</w:t>
      </w:r>
      <w:r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  <w:t>一物一条码</w:t>
      </w:r>
      <w:r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  <w:t>信息管理系统，分部门打印出条形码，发放到各部门按要求统一粘贴到固定资产上，并指定专人负责管理。三是每年组织一次固定资产资产清查工作，使固定资产检查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常态</w:t>
      </w:r>
      <w:r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  <w:t>化，确保账、卡、实相符。四是根据《湖南省财政厅关于做好行政事业性国有资产月报试编工作的通知》文件要求，每月及时通过财政部统一报表系统上报资产月报电子数据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，每年编制一次固定资产年报。</w:t>
      </w:r>
    </w:p>
    <w:p w:rsidR="00EC2CB5" w:rsidRDefault="00DF1607">
      <w:pPr>
        <w:pStyle w:val="a3"/>
        <w:widowControl/>
        <w:spacing w:after="300" w:line="600" w:lineRule="atLeast"/>
        <w:ind w:firstLineChars="200" w:firstLine="560"/>
        <w:jc w:val="left"/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截至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2021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31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日，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我单位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资产总额为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47.87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万元，主要由以下部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分构成：流动资产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2.05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万元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占资产总额的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4.28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%,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主要为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货币资金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及其他应收款等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;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非流动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资产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45.82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万元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占资产总额的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95.72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%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，主要办公设备等。</w:t>
      </w:r>
      <w:r>
        <w:rPr>
          <w:rFonts w:ascii="微软雅黑" w:eastAsia="微软雅黑" w:hAnsi="微软雅黑" w:cs="微软雅黑" w:hint="eastAsia"/>
          <w:color w:val="444444"/>
          <w:sz w:val="28"/>
          <w:szCs w:val="28"/>
          <w:shd w:val="clear" w:color="auto" w:fill="FFFFFF"/>
        </w:rPr>
        <w:t> </w:t>
      </w:r>
    </w:p>
    <w:p w:rsidR="00EC2CB5" w:rsidRDefault="00DF1607">
      <w:pPr>
        <w:pStyle w:val="a3"/>
        <w:widowControl/>
        <w:spacing w:after="300" w:line="600" w:lineRule="atLeast"/>
        <w:jc w:val="left"/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四、部门整体支出绩效情况</w:t>
      </w:r>
    </w:p>
    <w:p w:rsidR="00EC2CB5" w:rsidRDefault="00DF1607">
      <w:pPr>
        <w:pStyle w:val="a3"/>
        <w:widowControl/>
        <w:spacing w:after="300" w:line="600" w:lineRule="atLeast"/>
        <w:ind w:firstLineChars="200" w:firstLine="560"/>
        <w:jc w:val="left"/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2021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年，我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单位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充分履行职责职能，严格执行各项管理制度，经济、社会等效益显著、社会公众满意度上升，较好地完成了全年工作目标。一是建立预算执行责任制。将年度预算收入责任及预算支出额度逐一分解落实到各部门，形成领导重视、衔接紧密、齐抓共管的体制机制，建立预算指标额度台账，将预算执行情况作为年度目标考核的内容。二是建立预算执行信息化管理制度。在北塔区政务公开网公布部门财政预算批复及执行情况，及时公布“三公经费”支出情况，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lastRenderedPageBreak/>
        <w:t>接受监督。三是建立健全项目资金管理制度。对于财政性专项资金，在区财政局的督导下，严格按专项资金项目实施方案执行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，督促项目承担单位加快项目实施进度，及时办理报账、验收、结算等相关手续，做到不集中使用、不滥用资金，最大限度提高专项资金利用效率。</w:t>
      </w:r>
    </w:p>
    <w:p w:rsidR="00EC2CB5" w:rsidRDefault="00DF1607">
      <w:pPr>
        <w:pStyle w:val="a3"/>
        <w:widowControl/>
        <w:spacing w:after="300" w:line="600" w:lineRule="atLeast"/>
        <w:ind w:firstLineChars="200" w:firstLine="560"/>
        <w:jc w:val="left"/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五、综合评价情况及评价结论</w:t>
      </w:r>
    </w:p>
    <w:p w:rsidR="00EC2CB5" w:rsidRDefault="00DF1607">
      <w:pPr>
        <w:pStyle w:val="a3"/>
        <w:widowControl/>
        <w:spacing w:after="300" w:line="600" w:lineRule="atLeast"/>
        <w:ind w:firstLineChars="200" w:firstLine="560"/>
        <w:jc w:val="left"/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2021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年我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单位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经费开支严格按预算执行，管理制度健全，会计基础规范，资金使用符合国家财经法规和财务管理制度规定。严格实行收支两条线，无截留、挤占、挪用、虚列支出、随意借用、大额现金支付等情况，重大财务事项经由集体研究决策。按要求执行政府采购，严控支出，开源节流，一般性支出和“三公经费”均按要求压减，预决算信息公开及时完善。资产管理安全，固定资产利用率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、重点工作完成率等均达到或超过年初计划数，取得了较好的社会效益。根据邵阳市财政局《部门整体支出绩效评价指标评分表》评分体系，我局整体支出绩效自评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95</w:t>
      </w:r>
      <w:bookmarkStart w:id="0" w:name="_GoBack"/>
      <w:bookmarkEnd w:id="0"/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分，自评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结果为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优秀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。</w:t>
      </w:r>
    </w:p>
    <w:p w:rsidR="00EC2CB5" w:rsidRDefault="00DF1607">
      <w:pPr>
        <w:pStyle w:val="a3"/>
        <w:widowControl/>
        <w:numPr>
          <w:ilvl w:val="0"/>
          <w:numId w:val="2"/>
        </w:numPr>
        <w:spacing w:after="300" w:line="600" w:lineRule="atLeast"/>
        <w:jc w:val="left"/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存在的问题及原因分析</w:t>
      </w:r>
    </w:p>
    <w:p w:rsidR="00EC2CB5" w:rsidRDefault="00DF1607">
      <w:pPr>
        <w:widowControl/>
        <w:spacing w:line="360" w:lineRule="auto"/>
        <w:ind w:firstLine="640"/>
        <w:jc w:val="left"/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  <w:t>固定资产管理效率还有待提高。如局机关资产管理的具体工作由办公室实施，但未配备专职的资产管理人员，一人多岗的现象长期存在。</w:t>
      </w:r>
    </w:p>
    <w:p w:rsidR="00EC2CB5" w:rsidRDefault="00EC2CB5">
      <w:pPr>
        <w:pStyle w:val="a3"/>
        <w:widowControl/>
        <w:spacing w:after="300" w:line="600" w:lineRule="atLeast"/>
        <w:jc w:val="left"/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</w:pPr>
    </w:p>
    <w:p w:rsidR="00EC2CB5" w:rsidRDefault="00DF1607">
      <w:pPr>
        <w:pStyle w:val="a3"/>
        <w:widowControl/>
        <w:numPr>
          <w:ilvl w:val="0"/>
          <w:numId w:val="2"/>
        </w:numPr>
        <w:spacing w:after="300" w:line="600" w:lineRule="atLeast"/>
        <w:jc w:val="left"/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下一步改进措施</w:t>
      </w:r>
    </w:p>
    <w:p w:rsidR="00EC2CB5" w:rsidRDefault="00DF1607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lastRenderedPageBreak/>
        <w:t xml:space="preserve">  1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、</w:t>
      </w:r>
      <w:r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  <w:t>增强预算编制的全面性、准确性。对年初没有预算安排的支出原则上不安排支出，对于年度无法预计的临时追加的相关工作所需费用，严格按照预算调整追加程序，逐级申报报批。</w:t>
      </w:r>
    </w:p>
    <w:p w:rsidR="00EC2CB5" w:rsidRDefault="00DF1607">
      <w:pPr>
        <w:widowControl/>
        <w:spacing w:line="360" w:lineRule="auto"/>
        <w:ind w:firstLine="640"/>
        <w:jc w:val="left"/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、</w:t>
      </w:r>
      <w:r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  <w:t>认真提高</w:t>
      </w:r>
      <w:r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  <w:t>业务水平，更加严格执行预算，保障各项工作任务圆满完成。</w:t>
      </w:r>
    </w:p>
    <w:p w:rsidR="00EC2CB5" w:rsidRDefault="00EC2CB5">
      <w:pPr>
        <w:pStyle w:val="a3"/>
        <w:widowControl/>
        <w:spacing w:after="300" w:line="600" w:lineRule="atLeast"/>
        <w:jc w:val="left"/>
        <w:rPr>
          <w:rFonts w:ascii="宋体" w:eastAsia="宋体" w:hAnsi="宋体" w:cs="宋体"/>
          <w:color w:val="444444"/>
          <w:kern w:val="0"/>
          <w:sz w:val="28"/>
          <w:szCs w:val="28"/>
          <w:shd w:val="clear" w:color="auto" w:fill="FFFFFF"/>
        </w:rPr>
      </w:pPr>
    </w:p>
    <w:p w:rsidR="00EC2CB5" w:rsidRDefault="00EC2CB5"/>
    <w:sectPr w:rsidR="00EC2CB5" w:rsidSect="00EC2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0499A2"/>
    <w:multiLevelType w:val="singleLevel"/>
    <w:tmpl w:val="AA0499A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3582C4"/>
    <w:multiLevelType w:val="singleLevel"/>
    <w:tmpl w:val="323582C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UzY2E2NThmNTlmNmMzMDE1ZGUyMTE2NzZkNjRjMDEifQ=="/>
  </w:docVars>
  <w:rsids>
    <w:rsidRoot w:val="00EC2CB5"/>
    <w:rsid w:val="00DF1607"/>
    <w:rsid w:val="00EC2CB5"/>
    <w:rsid w:val="06EB0920"/>
    <w:rsid w:val="1EAC476E"/>
    <w:rsid w:val="4132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C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C2CB5"/>
    <w:rPr>
      <w:sz w:val="24"/>
    </w:rPr>
  </w:style>
  <w:style w:type="character" w:styleId="a4">
    <w:name w:val="FollowedHyperlink"/>
    <w:basedOn w:val="a0"/>
    <w:qFormat/>
    <w:rsid w:val="00EC2CB5"/>
    <w:rPr>
      <w:color w:val="444444"/>
      <w:u w:val="none"/>
    </w:rPr>
  </w:style>
  <w:style w:type="character" w:styleId="a5">
    <w:name w:val="Hyperlink"/>
    <w:basedOn w:val="a0"/>
    <w:qFormat/>
    <w:rsid w:val="00EC2CB5"/>
    <w:rPr>
      <w:color w:val="444444"/>
      <w:u w:val="none"/>
    </w:rPr>
  </w:style>
  <w:style w:type="character" w:customStyle="1" w:styleId="gai">
    <w:name w:val="gai"/>
    <w:basedOn w:val="a0"/>
    <w:qFormat/>
    <w:rsid w:val="00EC2CB5"/>
  </w:style>
  <w:style w:type="character" w:customStyle="1" w:styleId="gai1">
    <w:name w:val="gai1"/>
    <w:basedOn w:val="a0"/>
    <w:qFormat/>
    <w:rsid w:val="00EC2CB5"/>
  </w:style>
  <w:style w:type="character" w:customStyle="1" w:styleId="gai2">
    <w:name w:val="gai2"/>
    <w:basedOn w:val="a0"/>
    <w:qFormat/>
    <w:rsid w:val="00EC2CB5"/>
  </w:style>
  <w:style w:type="character" w:customStyle="1" w:styleId="gai3">
    <w:name w:val="gai3"/>
    <w:basedOn w:val="a0"/>
    <w:qFormat/>
    <w:rsid w:val="00EC2CB5"/>
  </w:style>
  <w:style w:type="character" w:customStyle="1" w:styleId="gai4">
    <w:name w:val="gai4"/>
    <w:basedOn w:val="a0"/>
    <w:qFormat/>
    <w:rsid w:val="00EC2CB5"/>
  </w:style>
  <w:style w:type="character" w:customStyle="1" w:styleId="you">
    <w:name w:val="you"/>
    <w:basedOn w:val="a0"/>
    <w:qFormat/>
    <w:rsid w:val="00EC2CB5"/>
  </w:style>
  <w:style w:type="character" w:customStyle="1" w:styleId="info-valid">
    <w:name w:val="info-valid"/>
    <w:basedOn w:val="a0"/>
    <w:qFormat/>
    <w:rsid w:val="00EC2CB5"/>
    <w:rPr>
      <w:color w:val="444444"/>
    </w:rPr>
  </w:style>
  <w:style w:type="character" w:customStyle="1" w:styleId="tit2">
    <w:name w:val="tit2"/>
    <w:basedOn w:val="a0"/>
    <w:qFormat/>
    <w:rsid w:val="00EC2CB5"/>
    <w:rPr>
      <w:color w:val="1D0000"/>
      <w:sz w:val="33"/>
      <w:szCs w:val="33"/>
    </w:rPr>
  </w:style>
  <w:style w:type="character" w:customStyle="1" w:styleId="tianqi">
    <w:name w:val="tianqi"/>
    <w:basedOn w:val="a0"/>
    <w:qFormat/>
    <w:rsid w:val="00EC2CB5"/>
  </w:style>
  <w:style w:type="character" w:customStyle="1" w:styleId="sjzs">
    <w:name w:val="sjzs"/>
    <w:basedOn w:val="a0"/>
    <w:qFormat/>
    <w:rsid w:val="00EC2CB5"/>
    <w:rPr>
      <w:sz w:val="27"/>
      <w:szCs w:val="27"/>
    </w:rPr>
  </w:style>
  <w:style w:type="character" w:customStyle="1" w:styleId="quanp">
    <w:name w:val="quanp"/>
    <w:basedOn w:val="a0"/>
    <w:qFormat/>
    <w:rsid w:val="00EC2CB5"/>
    <w:rPr>
      <w:color w:val="FFFFFF"/>
      <w:shd w:val="clear" w:color="auto" w:fill="7CB8FE"/>
    </w:rPr>
  </w:style>
  <w:style w:type="character" w:customStyle="1" w:styleId="lname">
    <w:name w:val="lname"/>
    <w:basedOn w:val="a0"/>
    <w:qFormat/>
    <w:rsid w:val="00EC2CB5"/>
    <w:rPr>
      <w:color w:val="000000"/>
      <w:sz w:val="30"/>
      <w:szCs w:val="30"/>
    </w:rPr>
  </w:style>
  <w:style w:type="character" w:customStyle="1" w:styleId="first-child4">
    <w:name w:val="first-child4"/>
    <w:basedOn w:val="a0"/>
    <w:qFormat/>
    <w:rsid w:val="00EC2CB5"/>
    <w:rPr>
      <w:color w:val="BD1B09"/>
    </w:rPr>
  </w:style>
  <w:style w:type="character" w:customStyle="1" w:styleId="first-child5">
    <w:name w:val="first-child5"/>
    <w:basedOn w:val="a0"/>
    <w:qFormat/>
    <w:rsid w:val="00EC2CB5"/>
    <w:rPr>
      <w:color w:val="878787"/>
      <w:sz w:val="36"/>
      <w:szCs w:val="36"/>
      <w:shd w:val="clear" w:color="auto" w:fill="FFFFFF"/>
    </w:rPr>
  </w:style>
  <w:style w:type="character" w:customStyle="1" w:styleId="ldjs">
    <w:name w:val="ldjs"/>
    <w:basedOn w:val="a0"/>
    <w:qFormat/>
    <w:rsid w:val="00EC2CB5"/>
    <w:rPr>
      <w:color w:val="666666"/>
      <w:sz w:val="24"/>
      <w:szCs w:val="24"/>
    </w:rPr>
  </w:style>
  <w:style w:type="character" w:customStyle="1" w:styleId="quanp2">
    <w:name w:val="quanp2"/>
    <w:basedOn w:val="a0"/>
    <w:qFormat/>
    <w:rsid w:val="00EC2CB5"/>
    <w:rPr>
      <w:color w:val="FFFFFF"/>
      <w:sz w:val="0"/>
      <w:szCs w:val="0"/>
      <w:shd w:val="clear" w:color="auto" w:fill="7CB8FE"/>
    </w:rPr>
  </w:style>
  <w:style w:type="character" w:customStyle="1" w:styleId="jiaoluo">
    <w:name w:val="jiaoluo"/>
    <w:basedOn w:val="a0"/>
    <w:qFormat/>
    <w:rsid w:val="00EC2CB5"/>
  </w:style>
  <w:style w:type="character" w:customStyle="1" w:styleId="last3">
    <w:name w:val="last3"/>
    <w:basedOn w:val="a0"/>
    <w:qFormat/>
    <w:rsid w:val="00EC2CB5"/>
  </w:style>
  <w:style w:type="character" w:customStyle="1" w:styleId="last4">
    <w:name w:val="last4"/>
    <w:basedOn w:val="a0"/>
    <w:qFormat/>
    <w:rsid w:val="00EC2CB5"/>
  </w:style>
  <w:style w:type="character" w:customStyle="1" w:styleId="fanhui">
    <w:name w:val="fanhui"/>
    <w:basedOn w:val="a0"/>
    <w:qFormat/>
    <w:rsid w:val="00EC2CB5"/>
    <w:rPr>
      <w:color w:val="FFFFFF"/>
      <w:sz w:val="24"/>
      <w:szCs w:val="24"/>
    </w:rPr>
  </w:style>
  <w:style w:type="character" w:customStyle="1" w:styleId="jiaoluo2">
    <w:name w:val="jiaoluo2"/>
    <w:basedOn w:val="a0"/>
    <w:qFormat/>
    <w:rsid w:val="00EC2CB5"/>
  </w:style>
  <w:style w:type="character" w:customStyle="1" w:styleId="zuo">
    <w:name w:val="zuo"/>
    <w:basedOn w:val="a0"/>
    <w:qFormat/>
    <w:rsid w:val="00EC2CB5"/>
  </w:style>
  <w:style w:type="character" w:customStyle="1" w:styleId="dcs">
    <w:name w:val="dcs"/>
    <w:basedOn w:val="a0"/>
    <w:qFormat/>
    <w:rsid w:val="00EC2CB5"/>
    <w:rPr>
      <w:color w:val="BD1B09"/>
    </w:rPr>
  </w:style>
  <w:style w:type="character" w:customStyle="1" w:styleId="time">
    <w:name w:val="time"/>
    <w:basedOn w:val="a0"/>
    <w:qFormat/>
    <w:rsid w:val="00EC2CB5"/>
    <w:rPr>
      <w:color w:val="999999"/>
    </w:rPr>
  </w:style>
  <w:style w:type="character" w:customStyle="1" w:styleId="time1">
    <w:name w:val="time1"/>
    <w:basedOn w:val="a0"/>
    <w:qFormat/>
    <w:rsid w:val="00EC2CB5"/>
    <w:rPr>
      <w:color w:va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2673</Words>
  <Characters>121</Characters>
  <Application>Microsoft Office Word</Application>
  <DocSecurity>4</DocSecurity>
  <Lines>1</Lines>
  <Paragraphs>5</Paragraphs>
  <ScaleCrop>false</ScaleCrop>
  <Company>微软中国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2023-04-18T02:04:00Z</dcterms:created>
  <dcterms:modified xsi:type="dcterms:W3CDTF">2023-04-18T02:04:00Z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2F54F18A2CE84DADA1B21E746E2F1685</vt:lpwstr>
  </property>
</Properties>
</file>