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bookmarkStart w:id="1" w:name="_GoBack"/>
      <w:bookmarkEnd w:id="1"/>
      <w:r>
        <w:rPr>
          <w:rFonts w:hint="eastAsia" w:ascii="宋体" w:hAnsi="宋体" w:eastAsia="宋体" w:cs="宋体"/>
          <w:color w:val="444444"/>
          <w:sz w:val="28"/>
          <w:szCs w:val="28"/>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第五部分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附件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0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00" w:lineRule="exact"/>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360" w:lineRule="exact"/>
        <w:ind w:left="0" w:right="0"/>
        <w:jc w:val="center"/>
        <w:textAlignment w:val="auto"/>
        <w:rPr>
          <w:rFonts w:hint="eastAsia" w:ascii="仿宋" w:hAnsi="仿宋" w:eastAsia="仿宋" w:cs="仿宋"/>
          <w:b/>
          <w:bCs/>
          <w:color w:val="auto"/>
          <w:sz w:val="28"/>
          <w:szCs w:val="28"/>
          <w:shd w:val="clear" w:fill="FFFFFF"/>
          <w:lang w:eastAsia="zh-CN"/>
        </w:rPr>
      </w:pPr>
      <w:r>
        <w:rPr>
          <w:rFonts w:hint="eastAsia" w:ascii="仿宋" w:hAnsi="仿宋" w:eastAsia="仿宋" w:cs="仿宋"/>
          <w:b/>
          <w:bCs/>
          <w:color w:val="auto"/>
          <w:sz w:val="28"/>
          <w:szCs w:val="28"/>
          <w:shd w:val="clear" w:fill="FFFFFF"/>
        </w:rPr>
        <w:t>2021年度部门整体支出绩效评价报告</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560" w:firstLineChars="200"/>
        <w:jc w:val="both"/>
        <w:textAlignment w:val="auto"/>
        <w:rPr>
          <w:rFonts w:hint="eastAsia" w:ascii="仿宋" w:hAnsi="仿宋" w:eastAsia="仿宋" w:cs="仿宋"/>
          <w:b/>
          <w:bCs/>
          <w:color w:val="auto"/>
          <w:sz w:val="28"/>
          <w:szCs w:val="28"/>
          <w:shd w:val="clear" w:fill="FFFFFF"/>
          <w:lang w:eastAsia="zh-CN"/>
        </w:rPr>
      </w:pPr>
      <w:r>
        <w:rPr>
          <w:rFonts w:hint="eastAsia" w:ascii="仿宋" w:hAnsi="仿宋" w:eastAsia="仿宋" w:cs="仿宋"/>
          <w:color w:val="auto"/>
          <w:sz w:val="28"/>
          <w:szCs w:val="28"/>
        </w:rPr>
        <w:t>根据《湖南省人民政府关于全面推进预算绩效管理的意见》（湘政发[2012]33号文件精神，为加强财政资金管理，切实提高资金使用效益，进一步提高财政预算资金科学化精细化管理水平，我单位积极开展了2021年度部门整体支出绩效自评工作，现将有关情况报告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一、部门概况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（一）基本情况。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kern w:val="0"/>
          <w:sz w:val="28"/>
          <w:szCs w:val="28"/>
          <w:shd w:val="clear" w:fill="FFFFFF"/>
        </w:rPr>
      </w:pPr>
      <w:r>
        <w:rPr>
          <w:rFonts w:hint="eastAsia" w:ascii="仿宋" w:hAnsi="仿宋" w:eastAsia="仿宋" w:cs="仿宋"/>
          <w:color w:val="auto"/>
          <w:kern w:val="0"/>
          <w:sz w:val="28"/>
          <w:szCs w:val="28"/>
          <w:shd w:val="clear" w:fill="FFFFFF"/>
        </w:rPr>
        <w:t>1．主要职能。</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（1）拟订全区宣传思想文化工作政策和事业发展总体规划，统筹协调推进宣传思想文化领域法治建设，按照区委统一部署，协调宣传思想文化系统各部门之间的工作。</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（2）统筹协调全区党的意识形态工作，贯彻落实党中央和省委、市委、区委关于意识形态工作决策部署，组织协调意识形态工作责任制落实和日常监督检查，结合巡察工作开展专项检查。</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（3）统筹指导协调全区理论研究、理论学习、理论宣传工作，组织推动理论武装工作。负责为全区各级党委（党组）理论学习中心组学习提供有关服务，组织实施理论宣讲活动等。</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（4）负责规划组织全局性思想政治工作，配合区委组织部做好党员教育工作，会同有关部门研究和改进群众思想教育工作。</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（5）统筹分析研判和引导社会舆论，指导协调区直各新闻单位工作，组织全区突发公共事件应急新闻工作。</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（6）拟订全区新闻出版业的管理政策并督促落实，统筹协调新闻出版行政事务，组织有关行政审批工作，统筹规划和指导协调新闻出版（版权）事业、产业发展，指导协调全区“扫黄打非”工作。</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（7）从宏观上统筹指导协调全区互联网宣传和信息内容管理工作。统筹协调数字新媒体的建设与管理。</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（8）统筹指导协调推动全区精神文化产品的创作和生产，协调组织中华优秀传统文化传承发展有关工作，指导协调推动群众文化建设。</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（9）负责权限内全区电影监管工作。</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（10）统筹指导协调全区文化体制改革和文化事业、文化产业及旅游业发展，指导协调全区国有文化资产监管工作。</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（11）统筹指导全区舆情信息工作，组织协调开展舆情信息收集分析研判工作，跟踪了解、研究掌握宣传舆情动态。</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12）统筹协调全区对外宣传工作，指导协调有关部门研究落实对外宣传工作重大方针政策和拟订对外宣传事业发展规划，指导对外文化交流工作，协调推动本土文化走出去工作。组织协调涉及港澳新闻宣传工作，协同有关部门开展涉台问题宣传工作。</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13）统筹协调组织开展全区新闻发布工作，承担区委新闻发布有关组织协调工作，负责区政府新闻发布组织实施工作，指导协调区直各部门、各乡（街道）的新闻发布工作，推动新闻发言人制度建设。拟定重大问题对外宣传口径。</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（14）负责落实中央和省、市、区精神文明建设指导委员会工作部署，拟订全区精神文明建设工作规划并组织实施。</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15）受区委委托，会同区委组织部管理新闻、文化、出版、社会科学和互联网信息等方面区直宣传文化单位的领导干部。对各乡（街道）的宣传委员任免提出意见。负责有关重要宣传舆论阵地和重要岗位领导干部管理。负责组织开展全区宣传思想文化系统干部教育培训和人才工作。</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（16）对区互联网信息办公室互联网宣传和信息内容管理方面的工作实施政策指导。</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（17）负责组织开展全区新闻领域对外交流与合作，会同有关部门做好境外来访记者采访事务方面的工作。</w:t>
      </w:r>
    </w:p>
    <w:p>
      <w:pPr>
        <w:keepNext w:val="0"/>
        <w:keepLines w:val="0"/>
        <w:widowControl/>
        <w:suppressLineNumbers w:val="0"/>
        <w:shd w:val="clear" w:fill="FFFFFF"/>
        <w:spacing w:before="100" w:beforeAutospacing="0" w:after="100" w:afterAutospacing="0" w:line="480" w:lineRule="atLeast"/>
        <w:ind w:left="0" w:right="0" w:firstLine="48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（18）完成区委交办的其他任务。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shd w:val="clear" w:fill="FFFFFF"/>
        </w:rPr>
        <w:t>2.</w:t>
      </w:r>
      <w:r>
        <w:rPr>
          <w:rFonts w:hint="eastAsia" w:ascii="仿宋" w:hAnsi="仿宋" w:eastAsia="仿宋" w:cs="仿宋"/>
          <w:color w:val="auto"/>
          <w:kern w:val="0"/>
          <w:sz w:val="28"/>
          <w:szCs w:val="28"/>
          <w:lang w:val="en-US" w:eastAsia="zh-CN" w:bidi="ar"/>
        </w:rPr>
        <w:t>机构情况纳入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default" w:ascii="仿宋_GB2312" w:eastAsia="仿宋_GB2312"/>
          <w:b/>
          <w:bCs/>
          <w:sz w:val="32"/>
          <w:szCs w:val="32"/>
          <w:lang w:val="en-US" w:eastAsia="zh-CN"/>
        </w:rPr>
      </w:pPr>
      <w:r>
        <w:rPr>
          <w:rFonts w:hint="eastAsia" w:ascii="仿宋" w:hAnsi="仿宋" w:eastAsia="仿宋" w:cs="仿宋"/>
          <w:color w:val="auto"/>
          <w:kern w:val="0"/>
          <w:sz w:val="28"/>
          <w:szCs w:val="28"/>
          <w:lang w:val="en-US" w:eastAsia="zh-CN" w:bidi="ar"/>
        </w:rPr>
        <w:t>2021年部门决算编报的单位1个，即北塔区委宣传部，加挂区新闻出版局（区版权局）、区精神文明建设指导委员会办公室牌子。 区委宣传部机关设下列内设机构： 办公室、理论教育组（加挂意识形态组牌子）新闻宣传组、文化艺术和新闻出版（版权）管理组、区文明创建指导股（加挂新时代文明实践中心牌子）.</w:t>
      </w:r>
    </w:p>
    <w:p>
      <w:pPr>
        <w:pStyle w:val="8"/>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kern w:val="0"/>
          <w:sz w:val="28"/>
          <w:szCs w:val="28"/>
          <w:shd w:val="clear" w:fill="FFFFFF"/>
        </w:rPr>
      </w:pPr>
      <w:r>
        <w:rPr>
          <w:rFonts w:hint="eastAsia" w:ascii="仿宋" w:hAnsi="仿宋" w:eastAsia="仿宋" w:cs="仿宋"/>
          <w:color w:val="auto"/>
          <w:kern w:val="0"/>
          <w:sz w:val="28"/>
          <w:szCs w:val="28"/>
          <w:shd w:val="clear" w:fill="FFFFFF"/>
        </w:rPr>
        <w:t>人员情况。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编办核定行政编制人数5人，工勤编制1人。实有人数11人，其中在职8人，离退休2人,其他人员1人。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二、部门整体支出管理及使用情况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（一）基本支出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auto"/>
          <w:kern w:val="0"/>
          <w:sz w:val="28"/>
          <w:szCs w:val="28"/>
          <w:shd w:val="clear" w:fill="FFFFFF"/>
        </w:rPr>
        <w:t>基本支出系保障我</w:t>
      </w:r>
      <w:r>
        <w:rPr>
          <w:rFonts w:hint="eastAsia" w:ascii="仿宋" w:hAnsi="仿宋" w:eastAsia="仿宋" w:cs="仿宋"/>
          <w:color w:val="auto"/>
          <w:kern w:val="0"/>
          <w:sz w:val="28"/>
          <w:szCs w:val="28"/>
          <w:shd w:val="clear" w:fill="FFFFFF"/>
          <w:lang w:eastAsia="zh-CN"/>
        </w:rPr>
        <w:t>部</w:t>
      </w:r>
      <w:r>
        <w:rPr>
          <w:rFonts w:hint="eastAsia" w:ascii="仿宋" w:hAnsi="仿宋" w:eastAsia="仿宋" w:cs="仿宋"/>
          <w:color w:val="auto"/>
          <w:kern w:val="0"/>
          <w:sz w:val="28"/>
          <w:szCs w:val="28"/>
          <w:shd w:val="clear" w:fill="FFFFFF"/>
        </w:rPr>
        <w:t>机构正常运转、完成日常工作任务而发生的人员支出和公用支出，包括用于在职和离退休人员基本工资、津贴补贴等人员经费以及办公费、印刷费、水电费、办公设备购置等日常公用经费。2021年我</w:t>
      </w:r>
      <w:r>
        <w:rPr>
          <w:rFonts w:hint="eastAsia" w:ascii="仿宋" w:hAnsi="仿宋" w:eastAsia="仿宋" w:cs="仿宋"/>
          <w:color w:val="auto"/>
          <w:kern w:val="0"/>
          <w:sz w:val="28"/>
          <w:szCs w:val="28"/>
          <w:shd w:val="clear" w:fill="FFFFFF"/>
          <w:lang w:eastAsia="zh-CN"/>
        </w:rPr>
        <w:t>部</w:t>
      </w:r>
      <w:r>
        <w:rPr>
          <w:rFonts w:hint="eastAsia" w:ascii="仿宋" w:hAnsi="仿宋" w:eastAsia="仿宋" w:cs="仿宋"/>
          <w:color w:val="auto"/>
          <w:kern w:val="0"/>
          <w:sz w:val="28"/>
          <w:szCs w:val="28"/>
          <w:shd w:val="clear" w:fill="FFFFFF"/>
        </w:rPr>
        <w:t>基本支</w:t>
      </w:r>
      <w:r>
        <w:rPr>
          <w:rFonts w:hint="eastAsia" w:ascii="仿宋" w:hAnsi="仿宋" w:eastAsia="仿宋" w:cs="仿宋"/>
          <w:color w:val="000000" w:themeColor="text1"/>
          <w:kern w:val="0"/>
          <w:sz w:val="28"/>
          <w:szCs w:val="28"/>
          <w:shd w:val="clear" w:fill="FFFFFF"/>
          <w14:textFill>
            <w14:solidFill>
              <w14:schemeClr w14:val="tx1"/>
            </w14:solidFill>
          </w14:textFill>
        </w:rPr>
        <w:t>出</w:t>
      </w:r>
      <w:r>
        <w:rPr>
          <w:rFonts w:hint="eastAsia" w:ascii="仿宋" w:hAnsi="仿宋" w:eastAsia="仿宋" w:cs="仿宋"/>
          <w:color w:val="000000" w:themeColor="text1"/>
          <w:sz w:val="28"/>
          <w:szCs w:val="28"/>
          <w:lang w:val="en-US" w:eastAsia="zh-CN"/>
          <w14:textFill>
            <w14:solidFill>
              <w14:schemeClr w14:val="tx1"/>
            </w14:solidFill>
          </w14:textFill>
        </w:rPr>
        <w:t>303.36</w:t>
      </w:r>
      <w:r>
        <w:rPr>
          <w:rFonts w:hint="eastAsia" w:ascii="仿宋" w:hAnsi="仿宋" w:eastAsia="仿宋" w:cs="仿宋"/>
          <w:color w:val="000000" w:themeColor="text1"/>
          <w:kern w:val="0"/>
          <w:sz w:val="28"/>
          <w:szCs w:val="28"/>
          <w:shd w:val="clear" w:fill="FFFFFF"/>
          <w14:textFill>
            <w14:solidFill>
              <w14:schemeClr w14:val="tx1"/>
            </w14:solidFill>
          </w14:textFill>
        </w:rPr>
        <w:t>万元，比上年同口径</w:t>
      </w:r>
      <w:r>
        <w:rPr>
          <w:rFonts w:hint="eastAsia" w:ascii="仿宋" w:hAnsi="仿宋" w:eastAsia="仿宋" w:cs="仿宋"/>
          <w:color w:val="000000" w:themeColor="text1"/>
          <w:kern w:val="0"/>
          <w:sz w:val="28"/>
          <w:szCs w:val="28"/>
          <w:shd w:val="clear" w:fill="FFFFFF"/>
          <w:lang w:eastAsia="zh-CN"/>
          <w14:textFill>
            <w14:solidFill>
              <w14:schemeClr w14:val="tx1"/>
            </w14:solidFill>
          </w14:textFill>
        </w:rPr>
        <w:t>减少</w:t>
      </w:r>
      <w:r>
        <w:rPr>
          <w:rFonts w:hint="eastAsia" w:ascii="仿宋" w:hAnsi="仿宋" w:eastAsia="仿宋" w:cs="仿宋"/>
          <w:color w:val="000000" w:themeColor="text1"/>
          <w:kern w:val="0"/>
          <w:sz w:val="28"/>
          <w:szCs w:val="28"/>
          <w:shd w:val="clear" w:fill="FFFFFF"/>
          <w:lang w:val="en-US" w:eastAsia="zh-CN"/>
          <w14:textFill>
            <w14:solidFill>
              <w14:schemeClr w14:val="tx1"/>
            </w14:solidFill>
          </w14:textFill>
        </w:rPr>
        <w:t>36.18</w:t>
      </w:r>
      <w:r>
        <w:rPr>
          <w:rFonts w:hint="eastAsia" w:ascii="仿宋" w:hAnsi="仿宋" w:eastAsia="仿宋" w:cs="仿宋"/>
          <w:color w:val="000000" w:themeColor="text1"/>
          <w:kern w:val="0"/>
          <w:sz w:val="28"/>
          <w:szCs w:val="28"/>
          <w:shd w:val="clear" w:fill="FFFFFF"/>
          <w14:textFill>
            <w14:solidFill>
              <w14:schemeClr w14:val="tx1"/>
            </w14:solidFill>
          </w14:textFill>
        </w:rPr>
        <w:t>万元，</w:t>
      </w:r>
      <w:r>
        <w:rPr>
          <w:rFonts w:hint="eastAsia" w:ascii="仿宋" w:hAnsi="仿宋" w:eastAsia="仿宋" w:cs="仿宋"/>
          <w:color w:val="000000" w:themeColor="text1"/>
          <w:kern w:val="0"/>
          <w:sz w:val="28"/>
          <w:szCs w:val="28"/>
          <w:shd w:val="clear" w:fill="FFFFFF"/>
          <w:lang w:eastAsia="zh-CN"/>
          <w14:textFill>
            <w14:solidFill>
              <w14:schemeClr w14:val="tx1"/>
            </w14:solidFill>
          </w14:textFill>
        </w:rPr>
        <w:t>减少</w:t>
      </w:r>
      <w:r>
        <w:rPr>
          <w:rFonts w:hint="eastAsia" w:ascii="仿宋" w:hAnsi="仿宋" w:eastAsia="仿宋" w:cs="仿宋"/>
          <w:color w:val="000000" w:themeColor="text1"/>
          <w:kern w:val="0"/>
          <w:sz w:val="28"/>
          <w:szCs w:val="28"/>
          <w:shd w:val="clear" w:fill="FFFFFF"/>
          <w:lang w:val="en-US" w:eastAsia="zh-CN"/>
          <w14:textFill>
            <w14:solidFill>
              <w14:schemeClr w14:val="tx1"/>
            </w14:solidFill>
          </w14:textFill>
        </w:rPr>
        <w:t>11.93</w:t>
      </w:r>
      <w:r>
        <w:rPr>
          <w:rFonts w:hint="eastAsia" w:ascii="仿宋" w:hAnsi="仿宋" w:eastAsia="仿宋" w:cs="仿宋"/>
          <w:color w:val="000000" w:themeColor="text1"/>
          <w:kern w:val="0"/>
          <w:sz w:val="28"/>
          <w:szCs w:val="28"/>
          <w:shd w:val="clear" w:fill="FFFFFF"/>
          <w14:textFill>
            <w14:solidFill>
              <w14:schemeClr w14:val="tx1"/>
            </w14:solidFill>
          </w14:textFill>
        </w:rPr>
        <w:t>%。其中：工资福利支出</w:t>
      </w:r>
      <w:r>
        <w:rPr>
          <w:rFonts w:hint="eastAsia" w:ascii="仿宋" w:hAnsi="仿宋" w:eastAsia="仿宋" w:cs="仿宋"/>
          <w:i w:val="0"/>
          <w:color w:val="000000" w:themeColor="text1"/>
          <w:sz w:val="28"/>
          <w:szCs w:val="28"/>
          <w:u w:val="none"/>
          <w:lang w:val="en-US" w:eastAsia="zh-CN"/>
          <w14:textFill>
            <w14:solidFill>
              <w14:schemeClr w14:val="tx1"/>
            </w14:solidFill>
          </w14:textFill>
        </w:rPr>
        <w:t>102.82</w:t>
      </w:r>
      <w:r>
        <w:rPr>
          <w:rFonts w:hint="eastAsia" w:ascii="仿宋" w:hAnsi="仿宋" w:eastAsia="仿宋" w:cs="仿宋"/>
          <w:color w:val="000000" w:themeColor="text1"/>
          <w:kern w:val="0"/>
          <w:sz w:val="28"/>
          <w:szCs w:val="28"/>
          <w:shd w:val="clear" w:fill="FFFFFF"/>
          <w14:textFill>
            <w14:solidFill>
              <w14:schemeClr w14:val="tx1"/>
            </w14:solidFill>
          </w14:textFill>
        </w:rPr>
        <w:t>万元，商品和服务支出</w:t>
      </w:r>
      <w:r>
        <w:rPr>
          <w:rFonts w:hint="eastAsia" w:ascii="仿宋" w:hAnsi="仿宋" w:eastAsia="仿宋" w:cs="仿宋"/>
          <w:i w:val="0"/>
          <w:color w:val="000000" w:themeColor="text1"/>
          <w:sz w:val="28"/>
          <w:szCs w:val="28"/>
          <w:u w:val="none"/>
          <w:lang w:val="en-US" w:eastAsia="zh-CN"/>
          <w14:textFill>
            <w14:solidFill>
              <w14:schemeClr w14:val="tx1"/>
            </w14:solidFill>
          </w14:textFill>
        </w:rPr>
        <w:t>194.22</w:t>
      </w:r>
      <w:r>
        <w:rPr>
          <w:rFonts w:hint="eastAsia" w:ascii="仿宋" w:hAnsi="仿宋" w:eastAsia="仿宋" w:cs="仿宋"/>
          <w:color w:val="000000" w:themeColor="text1"/>
          <w:kern w:val="0"/>
          <w:sz w:val="28"/>
          <w:szCs w:val="28"/>
          <w:shd w:val="clear" w:fill="FFFFFF"/>
          <w14:textFill>
            <w14:solidFill>
              <w14:schemeClr w14:val="tx1"/>
            </w14:solidFill>
          </w14:textFill>
        </w:rPr>
        <w:t>万元，对个人和家庭的补助</w:t>
      </w:r>
      <w:r>
        <w:rPr>
          <w:rFonts w:hint="eastAsia" w:ascii="仿宋" w:hAnsi="仿宋" w:eastAsia="仿宋" w:cs="仿宋"/>
          <w:i w:val="0"/>
          <w:color w:val="000000" w:themeColor="text1"/>
          <w:sz w:val="28"/>
          <w:szCs w:val="28"/>
          <w:u w:val="none"/>
          <w:lang w:val="en-US" w:eastAsia="zh-CN"/>
          <w14:textFill>
            <w14:solidFill>
              <w14:schemeClr w14:val="tx1"/>
            </w14:solidFill>
          </w14:textFill>
        </w:rPr>
        <w:t>4.2</w:t>
      </w:r>
      <w:r>
        <w:rPr>
          <w:rFonts w:hint="eastAsia" w:ascii="仿宋" w:hAnsi="仿宋" w:eastAsia="仿宋" w:cs="仿宋"/>
          <w:color w:val="000000" w:themeColor="text1"/>
          <w:kern w:val="0"/>
          <w:sz w:val="28"/>
          <w:szCs w:val="28"/>
          <w:shd w:val="clear" w:fill="FFFFFF"/>
          <w14:textFill>
            <w14:solidFill>
              <w14:schemeClr w14:val="tx1"/>
            </w14:solidFill>
          </w14:textFill>
        </w:rPr>
        <w:t>万元，资本性支出</w:t>
      </w:r>
      <w:r>
        <w:rPr>
          <w:rFonts w:hint="eastAsia" w:ascii="仿宋" w:hAnsi="仿宋" w:eastAsia="仿宋" w:cs="仿宋"/>
          <w:i w:val="0"/>
          <w:color w:val="000000" w:themeColor="text1"/>
          <w:sz w:val="28"/>
          <w:szCs w:val="28"/>
          <w:u w:val="none"/>
          <w:lang w:val="en-US" w:eastAsia="zh-CN"/>
          <w14:textFill>
            <w14:solidFill>
              <w14:schemeClr w14:val="tx1"/>
            </w14:solidFill>
          </w14:textFill>
        </w:rPr>
        <w:t>2.12</w:t>
      </w:r>
      <w:r>
        <w:rPr>
          <w:rFonts w:hint="eastAsia" w:ascii="仿宋" w:hAnsi="仿宋" w:eastAsia="仿宋" w:cs="仿宋"/>
          <w:color w:val="000000" w:themeColor="text1"/>
          <w:kern w:val="0"/>
          <w:sz w:val="28"/>
          <w:szCs w:val="28"/>
          <w:shd w:val="clear" w:fill="FFFFFF"/>
          <w14:textFill>
            <w14:solidFill>
              <w14:schemeClr w14:val="tx1"/>
            </w14:solidFill>
          </w14:textFill>
        </w:rPr>
        <w:t>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840" w:firstLineChars="3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auto"/>
          <w:kern w:val="0"/>
          <w:sz w:val="28"/>
          <w:szCs w:val="28"/>
          <w:shd w:val="clear" w:fill="FFFFFF"/>
        </w:rPr>
        <w:t>2021年“三公”经费实际开支</w:t>
      </w:r>
      <w:r>
        <w:rPr>
          <w:rFonts w:hint="eastAsia" w:ascii="仿宋" w:hAnsi="仿宋" w:eastAsia="仿宋" w:cs="仿宋"/>
          <w:color w:val="000000" w:themeColor="text1"/>
          <w:kern w:val="0"/>
          <w:sz w:val="28"/>
          <w:szCs w:val="28"/>
          <w:shd w:val="clear" w:fill="FFFFFF"/>
          <w14:textFill>
            <w14:solidFill>
              <w14:schemeClr w14:val="tx1"/>
            </w14:solidFill>
          </w14:textFill>
        </w:rPr>
        <w:t>总额</w:t>
      </w:r>
      <w:r>
        <w:rPr>
          <w:rFonts w:hint="eastAsia" w:ascii="仿宋" w:hAnsi="仿宋" w:eastAsia="仿宋" w:cs="仿宋"/>
          <w:color w:val="000000" w:themeColor="text1"/>
          <w:kern w:val="0"/>
          <w:sz w:val="28"/>
          <w:szCs w:val="28"/>
          <w:shd w:val="clear" w:fill="FFFFFF"/>
          <w:lang w:val="en-US" w:eastAsia="zh-CN"/>
          <w14:textFill>
            <w14:solidFill>
              <w14:schemeClr w14:val="tx1"/>
            </w14:solidFill>
          </w14:textFill>
        </w:rPr>
        <w:t>0.46</w:t>
      </w:r>
      <w:r>
        <w:rPr>
          <w:rFonts w:hint="eastAsia" w:ascii="仿宋" w:hAnsi="仿宋" w:eastAsia="仿宋" w:cs="仿宋"/>
          <w:color w:val="000000" w:themeColor="text1"/>
          <w:kern w:val="0"/>
          <w:sz w:val="28"/>
          <w:szCs w:val="28"/>
          <w:shd w:val="clear" w:fill="FFFFFF"/>
          <w14:textFill>
            <w14:solidFill>
              <w14:schemeClr w14:val="tx1"/>
            </w14:solidFill>
          </w14:textFill>
        </w:rPr>
        <w:t>万元。其中：因公出国（境）费支出本年未发生。公务用车购置及运行维护费实际开支</w:t>
      </w:r>
      <w:r>
        <w:rPr>
          <w:rFonts w:hint="eastAsia" w:ascii="仿宋" w:hAnsi="仿宋" w:eastAsia="仿宋" w:cs="仿宋"/>
          <w:color w:val="000000" w:themeColor="text1"/>
          <w:kern w:val="0"/>
          <w:sz w:val="28"/>
          <w:szCs w:val="28"/>
          <w:shd w:val="clear" w:fill="FFFFFF"/>
          <w:lang w:val="en-US" w:eastAsia="zh-CN"/>
          <w14:textFill>
            <w14:solidFill>
              <w14:schemeClr w14:val="tx1"/>
            </w14:solidFill>
          </w14:textFill>
        </w:rPr>
        <w:t>0</w:t>
      </w:r>
      <w:r>
        <w:rPr>
          <w:rFonts w:hint="eastAsia" w:ascii="仿宋" w:hAnsi="仿宋" w:eastAsia="仿宋" w:cs="仿宋"/>
          <w:color w:val="000000" w:themeColor="text1"/>
          <w:kern w:val="0"/>
          <w:sz w:val="28"/>
          <w:szCs w:val="28"/>
          <w:shd w:val="clear" w:fill="FFFFFF"/>
          <w14:textFill>
            <w14:solidFill>
              <w14:schemeClr w14:val="tx1"/>
            </w14:solidFill>
          </w14:textFill>
        </w:rPr>
        <w:t>万元（公务用车购置费未发生，公务用车运行维护费</w:t>
      </w:r>
      <w:r>
        <w:rPr>
          <w:rFonts w:hint="eastAsia" w:ascii="仿宋" w:hAnsi="仿宋" w:eastAsia="仿宋" w:cs="仿宋"/>
          <w:color w:val="000000" w:themeColor="text1"/>
          <w:kern w:val="0"/>
          <w:sz w:val="28"/>
          <w:szCs w:val="28"/>
          <w:shd w:val="clear" w:fill="FFFFFF"/>
          <w:lang w:val="en-US" w:eastAsia="zh-CN"/>
          <w14:textFill>
            <w14:solidFill>
              <w14:schemeClr w14:val="tx1"/>
            </w14:solidFill>
          </w14:textFill>
        </w:rPr>
        <w:t>0</w:t>
      </w:r>
      <w:r>
        <w:rPr>
          <w:rFonts w:hint="eastAsia" w:ascii="仿宋" w:hAnsi="仿宋" w:eastAsia="仿宋" w:cs="仿宋"/>
          <w:color w:val="000000" w:themeColor="text1"/>
          <w:kern w:val="0"/>
          <w:sz w:val="28"/>
          <w:szCs w:val="28"/>
          <w:shd w:val="clear" w:fill="FFFFFF"/>
          <w14:textFill>
            <w14:solidFill>
              <w14:schemeClr w14:val="tx1"/>
            </w14:solidFill>
          </w14:textFill>
        </w:rPr>
        <w:t>万元），公务用车保有量</w:t>
      </w:r>
      <w:r>
        <w:rPr>
          <w:rFonts w:hint="eastAsia" w:ascii="仿宋" w:hAnsi="仿宋" w:eastAsia="仿宋" w:cs="仿宋"/>
          <w:color w:val="000000" w:themeColor="text1"/>
          <w:kern w:val="0"/>
          <w:sz w:val="28"/>
          <w:szCs w:val="28"/>
          <w:shd w:val="clear" w:fill="FFFFFF"/>
          <w:lang w:val="en-US" w:eastAsia="zh-CN"/>
          <w14:textFill>
            <w14:solidFill>
              <w14:schemeClr w14:val="tx1"/>
            </w14:solidFill>
          </w14:textFill>
        </w:rPr>
        <w:t>0</w:t>
      </w:r>
      <w:r>
        <w:rPr>
          <w:rFonts w:hint="eastAsia" w:ascii="仿宋" w:hAnsi="仿宋" w:eastAsia="仿宋" w:cs="仿宋"/>
          <w:color w:val="000000" w:themeColor="text1"/>
          <w:kern w:val="0"/>
          <w:sz w:val="28"/>
          <w:szCs w:val="28"/>
          <w:shd w:val="clear" w:fill="FFFFFF"/>
          <w14:textFill>
            <w14:solidFill>
              <w14:schemeClr w14:val="tx1"/>
            </w14:solidFill>
          </w14:textFill>
        </w:rPr>
        <w:t>辆；公务接待费实际开支</w:t>
      </w:r>
      <w:r>
        <w:rPr>
          <w:rFonts w:hint="eastAsia" w:ascii="仿宋" w:hAnsi="仿宋" w:eastAsia="仿宋" w:cs="仿宋"/>
          <w:color w:val="000000" w:themeColor="text1"/>
          <w:kern w:val="0"/>
          <w:sz w:val="28"/>
          <w:szCs w:val="28"/>
          <w:shd w:val="clear" w:fill="FFFFFF"/>
          <w:lang w:val="en-US" w:eastAsia="zh-CN"/>
          <w14:textFill>
            <w14:solidFill>
              <w14:schemeClr w14:val="tx1"/>
            </w14:solidFill>
          </w14:textFill>
        </w:rPr>
        <w:t>0.46</w:t>
      </w:r>
      <w:r>
        <w:rPr>
          <w:rFonts w:hint="eastAsia" w:ascii="仿宋" w:hAnsi="仿宋" w:eastAsia="仿宋" w:cs="仿宋"/>
          <w:color w:val="000000" w:themeColor="text1"/>
          <w:kern w:val="0"/>
          <w:sz w:val="28"/>
          <w:szCs w:val="28"/>
          <w:shd w:val="clear" w:fill="FFFFFF"/>
          <w14:textFill>
            <w14:solidFill>
              <w14:schemeClr w14:val="tx1"/>
            </w14:solidFill>
          </w14:textFill>
        </w:rPr>
        <w:t>万元</w:t>
      </w:r>
      <w:r>
        <w:rPr>
          <w:rFonts w:hint="eastAsia" w:ascii="仿宋" w:hAnsi="仿宋" w:eastAsia="仿宋" w:cs="仿宋"/>
          <w:color w:val="auto"/>
          <w:kern w:val="0"/>
          <w:sz w:val="28"/>
          <w:szCs w:val="28"/>
          <w:shd w:val="clear" w:fill="FFFFFF"/>
        </w:rPr>
        <w:t>，公务接</w:t>
      </w:r>
      <w:r>
        <w:rPr>
          <w:rFonts w:hint="eastAsia" w:ascii="仿宋" w:hAnsi="仿宋" w:eastAsia="仿宋" w:cs="仿宋"/>
          <w:color w:val="000000" w:themeColor="text1"/>
          <w:kern w:val="0"/>
          <w:sz w:val="28"/>
          <w:szCs w:val="28"/>
          <w:shd w:val="clear" w:fill="FFFFFF"/>
          <w14:textFill>
            <w14:solidFill>
              <w14:schemeClr w14:val="tx1"/>
            </w14:solidFill>
          </w14:textFill>
        </w:rPr>
        <w:t>待</w:t>
      </w:r>
      <w:r>
        <w:rPr>
          <w:rFonts w:hint="eastAsia" w:ascii="仿宋" w:hAnsi="仿宋" w:eastAsia="仿宋" w:cs="仿宋"/>
          <w:color w:val="000000" w:themeColor="text1"/>
          <w:kern w:val="0"/>
          <w:sz w:val="28"/>
          <w:szCs w:val="28"/>
          <w:shd w:val="clear" w:fill="FFFFFF"/>
          <w:lang w:val="en-US" w:eastAsia="zh-CN"/>
          <w14:textFill>
            <w14:solidFill>
              <w14:schemeClr w14:val="tx1"/>
            </w14:solidFill>
          </w14:textFill>
        </w:rPr>
        <w:t>12</w:t>
      </w:r>
      <w:r>
        <w:rPr>
          <w:rFonts w:hint="eastAsia" w:ascii="仿宋" w:hAnsi="仿宋" w:eastAsia="仿宋" w:cs="仿宋"/>
          <w:color w:val="000000" w:themeColor="text1"/>
          <w:kern w:val="0"/>
          <w:sz w:val="28"/>
          <w:szCs w:val="28"/>
          <w:shd w:val="clear" w:fill="FFFFFF"/>
          <w14:textFill>
            <w14:solidFill>
              <w14:schemeClr w14:val="tx1"/>
            </w14:solidFill>
          </w14:textFill>
        </w:rPr>
        <w:t>批次</w:t>
      </w:r>
      <w:r>
        <w:rPr>
          <w:rFonts w:hint="eastAsia" w:ascii="仿宋" w:hAnsi="仿宋" w:eastAsia="仿宋" w:cs="仿宋"/>
          <w:color w:val="000000" w:themeColor="text1"/>
          <w:kern w:val="0"/>
          <w:sz w:val="28"/>
          <w:szCs w:val="28"/>
          <w:shd w:val="clear" w:fill="FFFFFF"/>
          <w:lang w:val="en-US" w:eastAsia="zh-CN"/>
          <w14:textFill>
            <w14:solidFill>
              <w14:schemeClr w14:val="tx1"/>
            </w14:solidFill>
          </w14:textFill>
        </w:rPr>
        <w:t>38</w:t>
      </w:r>
      <w:r>
        <w:rPr>
          <w:rFonts w:hint="eastAsia" w:ascii="仿宋" w:hAnsi="仿宋" w:eastAsia="仿宋" w:cs="仿宋"/>
          <w:color w:val="000000" w:themeColor="text1"/>
          <w:kern w:val="0"/>
          <w:sz w:val="28"/>
          <w:szCs w:val="28"/>
          <w:shd w:val="clear" w:fill="FFFFFF"/>
          <w14:textFill>
            <w14:solidFill>
              <w14:schemeClr w14:val="tx1"/>
            </w14:solidFill>
          </w14:textFill>
        </w:rPr>
        <w:t>人次。2021年“三公”经费实际开支总额比2020年同口径</w:t>
      </w:r>
      <w:r>
        <w:rPr>
          <w:rFonts w:hint="eastAsia" w:ascii="仿宋" w:hAnsi="仿宋" w:eastAsia="仿宋" w:cs="仿宋"/>
          <w:color w:val="000000" w:themeColor="text1"/>
          <w:kern w:val="0"/>
          <w:sz w:val="28"/>
          <w:szCs w:val="28"/>
          <w:shd w:val="clear" w:fill="FFFFFF"/>
          <w:lang w:eastAsia="zh-CN"/>
          <w14:textFill>
            <w14:solidFill>
              <w14:schemeClr w14:val="tx1"/>
            </w14:solidFill>
          </w14:textFill>
        </w:rPr>
        <w:t>减少</w:t>
      </w:r>
      <w:r>
        <w:rPr>
          <w:rFonts w:hint="eastAsia" w:ascii="仿宋" w:hAnsi="仿宋" w:eastAsia="仿宋" w:cs="仿宋"/>
          <w:color w:val="000000" w:themeColor="text1"/>
          <w:kern w:val="0"/>
          <w:sz w:val="28"/>
          <w:szCs w:val="28"/>
          <w:shd w:val="clear" w:fill="FFFFFF"/>
          <w:lang w:val="en-US" w:eastAsia="zh-CN"/>
          <w14:textFill>
            <w14:solidFill>
              <w14:schemeClr w14:val="tx1"/>
            </w14:solidFill>
          </w14:textFill>
        </w:rPr>
        <w:t>0.3</w:t>
      </w:r>
      <w:r>
        <w:rPr>
          <w:rFonts w:hint="eastAsia" w:ascii="仿宋" w:hAnsi="仿宋" w:eastAsia="仿宋" w:cs="仿宋"/>
          <w:color w:val="000000" w:themeColor="text1"/>
          <w:kern w:val="0"/>
          <w:sz w:val="28"/>
          <w:szCs w:val="28"/>
          <w:shd w:val="clear" w:fill="FFFFFF"/>
          <w14:textFill>
            <w14:solidFill>
              <w14:schemeClr w14:val="tx1"/>
            </w14:solidFill>
          </w14:textFill>
        </w:rPr>
        <w:t>万元，</w:t>
      </w:r>
      <w:r>
        <w:rPr>
          <w:rFonts w:hint="eastAsia" w:ascii="仿宋" w:hAnsi="仿宋" w:eastAsia="仿宋" w:cs="仿宋"/>
          <w:color w:val="000000" w:themeColor="text1"/>
          <w:kern w:val="0"/>
          <w:sz w:val="28"/>
          <w:szCs w:val="28"/>
          <w:shd w:val="clear" w:fill="FFFFFF"/>
          <w:lang w:eastAsia="zh-CN"/>
          <w14:textFill>
            <w14:solidFill>
              <w14:schemeClr w14:val="tx1"/>
            </w14:solidFill>
          </w14:textFill>
        </w:rPr>
        <w:t>减少的</w:t>
      </w:r>
      <w:r>
        <w:rPr>
          <w:rFonts w:hint="eastAsia" w:ascii="仿宋" w:hAnsi="仿宋" w:eastAsia="仿宋" w:cs="仿宋"/>
          <w:color w:val="000000" w:themeColor="text1"/>
          <w:kern w:val="0"/>
          <w:sz w:val="28"/>
          <w:szCs w:val="28"/>
          <w:shd w:val="clear" w:fill="FFFFFF"/>
          <w14:textFill>
            <w14:solidFill>
              <w14:schemeClr w14:val="tx1"/>
            </w14:solidFill>
          </w14:textFill>
        </w:rPr>
        <w:t>原因</w:t>
      </w:r>
      <w:r>
        <w:rPr>
          <w:rFonts w:hint="eastAsia" w:ascii="仿宋" w:hAnsi="仿宋" w:eastAsia="仿宋" w:cs="仿宋"/>
          <w:color w:val="000000" w:themeColor="text1"/>
          <w:kern w:val="0"/>
          <w:sz w:val="28"/>
          <w:szCs w:val="28"/>
          <w:shd w:val="clear" w:fill="FFFFFF"/>
          <w:lang w:eastAsia="zh-CN"/>
          <w14:textFill>
            <w14:solidFill>
              <w14:schemeClr w14:val="tx1"/>
            </w14:solidFill>
          </w14:textFill>
        </w:rPr>
        <w:t>是严格落实中央八项规定，立行节俭</w:t>
      </w:r>
      <w:r>
        <w:rPr>
          <w:rFonts w:hint="eastAsia" w:ascii="仿宋" w:hAnsi="仿宋" w:eastAsia="仿宋" w:cs="仿宋"/>
          <w:color w:val="000000" w:themeColor="text1"/>
          <w:kern w:val="0"/>
          <w:sz w:val="28"/>
          <w:szCs w:val="28"/>
          <w:shd w:val="clear" w:fill="FFFFFF"/>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（二）专项支出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项目支出系我</w:t>
      </w:r>
      <w:r>
        <w:rPr>
          <w:rFonts w:hint="eastAsia" w:ascii="仿宋" w:hAnsi="仿宋" w:eastAsia="仿宋" w:cs="仿宋"/>
          <w:color w:val="auto"/>
          <w:kern w:val="0"/>
          <w:sz w:val="28"/>
          <w:szCs w:val="28"/>
          <w:shd w:val="clear" w:fill="FFFFFF"/>
          <w:lang w:eastAsia="zh-CN"/>
        </w:rPr>
        <w:t>部</w:t>
      </w:r>
      <w:r>
        <w:rPr>
          <w:rFonts w:hint="eastAsia" w:ascii="仿宋" w:hAnsi="仿宋" w:eastAsia="仿宋" w:cs="仿宋"/>
          <w:color w:val="auto"/>
          <w:kern w:val="0"/>
          <w:sz w:val="28"/>
          <w:szCs w:val="28"/>
          <w:shd w:val="clear" w:fill="FFFFFF"/>
        </w:rPr>
        <w:t>为完</w:t>
      </w:r>
      <w:r>
        <w:rPr>
          <w:rFonts w:hint="eastAsia" w:ascii="仿宋" w:hAnsi="仿宋" w:eastAsia="仿宋" w:cs="仿宋"/>
          <w:color w:val="auto"/>
          <w:kern w:val="0"/>
          <w:sz w:val="28"/>
          <w:szCs w:val="28"/>
          <w:shd w:val="clear" w:fill="FFFFFF"/>
          <w:lang w:eastAsia="zh-CN"/>
        </w:rPr>
        <w:t>成区委</w:t>
      </w:r>
      <w:r>
        <w:rPr>
          <w:rFonts w:hint="eastAsia" w:ascii="仿宋" w:hAnsi="仿宋" w:eastAsia="仿宋" w:cs="仿宋"/>
          <w:color w:val="auto"/>
          <w:kern w:val="0"/>
          <w:sz w:val="28"/>
          <w:szCs w:val="28"/>
          <w:shd w:val="clear" w:fill="FFFFFF"/>
          <w:lang w:val="en-US" w:eastAsia="zh-CN"/>
        </w:rPr>
        <w:t>相关专项</w:t>
      </w:r>
      <w:r>
        <w:rPr>
          <w:rFonts w:hint="eastAsia" w:ascii="仿宋" w:hAnsi="仿宋" w:eastAsia="仿宋" w:cs="仿宋"/>
          <w:color w:val="auto"/>
          <w:kern w:val="0"/>
          <w:sz w:val="28"/>
          <w:szCs w:val="28"/>
          <w:shd w:val="clear" w:fill="FFFFFF"/>
        </w:rPr>
        <w:t>工作而发生的支出。2021年我</w:t>
      </w:r>
      <w:r>
        <w:rPr>
          <w:rFonts w:hint="eastAsia" w:ascii="仿宋" w:hAnsi="仿宋" w:eastAsia="仿宋" w:cs="仿宋"/>
          <w:color w:val="auto"/>
          <w:kern w:val="0"/>
          <w:sz w:val="28"/>
          <w:szCs w:val="28"/>
          <w:shd w:val="clear" w:fill="FFFFFF"/>
          <w:lang w:eastAsia="zh-CN"/>
        </w:rPr>
        <w:t>部</w:t>
      </w:r>
      <w:r>
        <w:rPr>
          <w:rFonts w:hint="eastAsia" w:ascii="仿宋" w:hAnsi="仿宋" w:eastAsia="仿宋" w:cs="仿宋"/>
          <w:color w:val="auto"/>
          <w:kern w:val="0"/>
          <w:sz w:val="28"/>
          <w:szCs w:val="28"/>
          <w:shd w:val="clear" w:fill="FFFFFF"/>
        </w:rPr>
        <w:t>组织实施专项项目经费当年实际收入</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万元，其中包括上年结转和结余</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万元，预算安排项目经费</w:t>
      </w:r>
      <w:r>
        <w:rPr>
          <w:rFonts w:hint="eastAsia" w:ascii="仿宋" w:hAnsi="仿宋" w:eastAsia="仿宋" w:cs="仿宋"/>
          <w:color w:val="auto"/>
          <w:kern w:val="0"/>
          <w:sz w:val="28"/>
          <w:szCs w:val="28"/>
          <w:shd w:val="clear" w:fill="FFFFFF"/>
          <w:lang w:val="en-US" w:eastAsia="zh-CN"/>
        </w:rPr>
        <w:t>28.6</w:t>
      </w:r>
      <w:r>
        <w:rPr>
          <w:rFonts w:hint="eastAsia" w:ascii="仿宋" w:hAnsi="仿宋" w:eastAsia="仿宋" w:cs="仿宋"/>
          <w:color w:val="auto"/>
          <w:kern w:val="0"/>
          <w:sz w:val="28"/>
          <w:szCs w:val="28"/>
          <w:shd w:val="clear" w:fill="FFFFFF"/>
        </w:rPr>
        <w:t>万元。项目支出</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万元（其中：商品和服务支出</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万元，资本性支出</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万元），比上年同口径增加</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万，提高</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%。主要用于原因</w:t>
      </w:r>
      <w:r>
        <w:rPr>
          <w:rFonts w:hint="eastAsia" w:ascii="仿宋" w:hAnsi="仿宋" w:eastAsia="仿宋" w:cs="仿宋"/>
          <w:color w:val="auto"/>
          <w:kern w:val="0"/>
          <w:sz w:val="28"/>
          <w:szCs w:val="28"/>
          <w:shd w:val="clear" w:fill="FFFFFF"/>
          <w:lang w:eastAsia="zh-CN"/>
        </w:rPr>
        <w:t>是项目支出包含在我部基本支出当中</w:t>
      </w:r>
      <w:r>
        <w:rPr>
          <w:rFonts w:hint="eastAsia" w:ascii="仿宋" w:hAnsi="仿宋" w:eastAsia="仿宋" w:cs="仿宋"/>
          <w:color w:val="auto"/>
          <w:kern w:val="0"/>
          <w:sz w:val="28"/>
          <w:szCs w:val="28"/>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三、资产管理情况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我部资产管理由办公室负责，资产采购按程序实行报批采购，统一在政采云平台下单，采购后登记入账，录入资产信息系统，再派发到相关股室。一是我部资产管理和使用坚持统一政策、统一领导、分级管理、责任到人、物尽其用的原则。二是运用资产信息管理系统加强资产管理。对固定资产分别按使用部门、存放地点和使用人顺序编排编码排序，统一录入“一物一条码”信息管理系统，分部门打印出条形码，发放到各部门按要求统一粘贴到固定资产上，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截至2021年12月31日，</w:t>
      </w:r>
      <w:r>
        <w:rPr>
          <w:rFonts w:hint="eastAsia" w:ascii="仿宋" w:hAnsi="仿宋" w:eastAsia="仿宋" w:cs="仿宋"/>
          <w:color w:val="auto"/>
          <w:kern w:val="0"/>
          <w:sz w:val="28"/>
          <w:szCs w:val="28"/>
          <w:shd w:val="clear" w:fill="FFFFFF"/>
          <w:lang w:eastAsia="zh-CN"/>
        </w:rPr>
        <w:t>我部</w:t>
      </w:r>
      <w:r>
        <w:rPr>
          <w:rFonts w:hint="eastAsia" w:ascii="仿宋" w:hAnsi="仿宋" w:eastAsia="仿宋" w:cs="仿宋"/>
          <w:color w:val="auto"/>
          <w:kern w:val="0"/>
          <w:sz w:val="28"/>
          <w:szCs w:val="28"/>
          <w:shd w:val="clear" w:fill="FFFFFF"/>
        </w:rPr>
        <w:t>资产总额</w:t>
      </w:r>
      <w:r>
        <w:rPr>
          <w:rFonts w:hint="eastAsia" w:ascii="仿宋" w:hAnsi="仿宋" w:eastAsia="仿宋" w:cs="仿宋"/>
          <w:color w:val="000000" w:themeColor="text1"/>
          <w:kern w:val="0"/>
          <w:sz w:val="28"/>
          <w:szCs w:val="28"/>
          <w:shd w:val="clear" w:fill="FFFFFF"/>
          <w14:textFill>
            <w14:solidFill>
              <w14:schemeClr w14:val="tx1"/>
            </w14:solidFill>
          </w14:textFill>
        </w:rPr>
        <w:t>为</w:t>
      </w:r>
      <w:r>
        <w:rPr>
          <w:rFonts w:hint="eastAsia" w:ascii="仿宋" w:hAnsi="仿宋" w:eastAsia="仿宋" w:cs="仿宋"/>
          <w:color w:val="000000" w:themeColor="text1"/>
          <w:kern w:val="0"/>
          <w:sz w:val="28"/>
          <w:szCs w:val="28"/>
          <w:shd w:val="clear" w:fill="FFFFFF"/>
          <w:lang w:val="en-US" w:eastAsia="zh-CN"/>
          <w14:textFill>
            <w14:solidFill>
              <w14:schemeClr w14:val="tx1"/>
            </w14:solidFill>
          </w14:textFill>
        </w:rPr>
        <w:t>22.49</w:t>
      </w:r>
      <w:r>
        <w:rPr>
          <w:rFonts w:hint="eastAsia" w:ascii="仿宋" w:hAnsi="仿宋" w:eastAsia="仿宋" w:cs="仿宋"/>
          <w:color w:val="000000" w:themeColor="text1"/>
          <w:kern w:val="0"/>
          <w:sz w:val="28"/>
          <w:szCs w:val="28"/>
          <w:shd w:val="clear" w:fill="FFFFFF"/>
          <w14:textFill>
            <w14:solidFill>
              <w14:schemeClr w14:val="tx1"/>
            </w14:solidFill>
          </w14:textFill>
        </w:rPr>
        <w:t>万元</w:t>
      </w:r>
      <w:r>
        <w:rPr>
          <w:rFonts w:hint="eastAsia" w:ascii="仿宋" w:hAnsi="仿宋" w:eastAsia="仿宋" w:cs="仿宋"/>
          <w:color w:val="auto"/>
          <w:kern w:val="0"/>
          <w:sz w:val="28"/>
          <w:szCs w:val="28"/>
          <w:shd w:val="clear" w:fill="FFFFFF"/>
        </w:rPr>
        <w:t>，主要由以下部分构成：流动资产</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万元,占资产总额的</w:t>
      </w:r>
      <w:r>
        <w:rPr>
          <w:rFonts w:hint="eastAsia" w:ascii="仿宋" w:hAnsi="仿宋" w:eastAsia="仿宋" w:cs="仿宋"/>
          <w:color w:val="auto"/>
          <w:kern w:val="0"/>
          <w:sz w:val="28"/>
          <w:szCs w:val="28"/>
          <w:shd w:val="clear" w:fill="FFFFFF"/>
          <w:lang w:val="en-US" w:eastAsia="zh-CN"/>
        </w:rPr>
        <w:t>0</w:t>
      </w:r>
      <w:r>
        <w:rPr>
          <w:rFonts w:hint="eastAsia" w:ascii="仿宋" w:hAnsi="仿宋" w:eastAsia="仿宋" w:cs="仿宋"/>
          <w:color w:val="auto"/>
          <w:kern w:val="0"/>
          <w:sz w:val="28"/>
          <w:szCs w:val="28"/>
          <w:shd w:val="clear" w:fill="FFFFFF"/>
        </w:rPr>
        <w:t>%;固定资产</w:t>
      </w:r>
      <w:r>
        <w:rPr>
          <w:rFonts w:hint="eastAsia" w:ascii="仿宋" w:hAnsi="仿宋" w:eastAsia="仿宋" w:cs="仿宋"/>
          <w:color w:val="auto"/>
          <w:kern w:val="0"/>
          <w:sz w:val="28"/>
          <w:szCs w:val="28"/>
          <w:shd w:val="clear" w:fill="FFFFFF"/>
          <w:lang w:val="en-US" w:eastAsia="zh-CN"/>
        </w:rPr>
        <w:t>22.49</w:t>
      </w:r>
      <w:r>
        <w:rPr>
          <w:rFonts w:hint="eastAsia" w:ascii="仿宋" w:hAnsi="仿宋" w:eastAsia="仿宋" w:cs="仿宋"/>
          <w:color w:val="auto"/>
          <w:kern w:val="0"/>
          <w:sz w:val="28"/>
          <w:szCs w:val="28"/>
          <w:shd w:val="clear" w:fill="FFFFFF"/>
        </w:rPr>
        <w:t>万元,占资产总额的</w:t>
      </w:r>
      <w:r>
        <w:rPr>
          <w:rFonts w:hint="eastAsia" w:ascii="仿宋" w:hAnsi="仿宋" w:eastAsia="仿宋" w:cs="仿宋"/>
          <w:color w:val="auto"/>
          <w:kern w:val="0"/>
          <w:sz w:val="28"/>
          <w:szCs w:val="28"/>
          <w:shd w:val="clear" w:fill="FFFFFF"/>
          <w:lang w:val="en-US" w:eastAsia="zh-CN"/>
        </w:rPr>
        <w:t>100</w:t>
      </w:r>
      <w:r>
        <w:rPr>
          <w:rFonts w:hint="eastAsia" w:ascii="仿宋" w:hAnsi="仿宋" w:eastAsia="仿宋" w:cs="仿宋"/>
          <w:color w:val="auto"/>
          <w:kern w:val="0"/>
          <w:sz w:val="28"/>
          <w:szCs w:val="28"/>
          <w:shd w:val="clear" w:fill="FFFFFF"/>
        </w:rPr>
        <w:t>%，主要</w:t>
      </w:r>
      <w:r>
        <w:rPr>
          <w:rFonts w:hint="eastAsia" w:ascii="仿宋" w:hAnsi="仿宋" w:eastAsia="仿宋" w:cs="仿宋"/>
          <w:color w:val="auto"/>
          <w:kern w:val="0"/>
          <w:sz w:val="28"/>
          <w:szCs w:val="28"/>
          <w:shd w:val="clear" w:fill="FFFFFF"/>
          <w:lang w:eastAsia="zh-CN"/>
        </w:rPr>
        <w:t>为</w:t>
      </w:r>
      <w:r>
        <w:rPr>
          <w:rFonts w:hint="eastAsia" w:ascii="仿宋" w:hAnsi="仿宋" w:eastAsia="仿宋" w:cs="仿宋"/>
          <w:color w:val="auto"/>
          <w:kern w:val="0"/>
          <w:sz w:val="28"/>
          <w:szCs w:val="28"/>
          <w:shd w:val="clear" w:fill="FFFFFF"/>
        </w:rPr>
        <w:t>办公设备。</w:t>
      </w:r>
      <w:r>
        <w:rPr>
          <w:rFonts w:hint="eastAsia" w:ascii="仿宋" w:hAnsi="仿宋" w:eastAsia="仿宋" w:cs="仿宋"/>
          <w:color w:val="auto"/>
          <w:sz w:val="28"/>
          <w:szCs w:val="28"/>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fill="FFFFFF"/>
        </w:rPr>
        <w:t>四、部门整体支出绩效情况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auto"/>
          <w:kern w:val="0"/>
          <w:sz w:val="28"/>
          <w:szCs w:val="28"/>
          <w:shd w:val="clear" w:fill="FFFFFF"/>
        </w:rPr>
      </w:pPr>
      <w:r>
        <w:rPr>
          <w:rFonts w:hint="eastAsia" w:ascii="仿宋" w:hAnsi="仿宋" w:eastAsia="仿宋" w:cs="仿宋"/>
          <w:color w:val="auto"/>
          <w:kern w:val="0"/>
          <w:sz w:val="28"/>
          <w:szCs w:val="28"/>
          <w:shd w:val="clear" w:fill="FFFFFF"/>
        </w:rPr>
        <w:t>2021年，我</w:t>
      </w:r>
      <w:r>
        <w:rPr>
          <w:rFonts w:hint="eastAsia" w:ascii="仿宋" w:hAnsi="仿宋" w:eastAsia="仿宋" w:cs="仿宋"/>
          <w:color w:val="auto"/>
          <w:kern w:val="0"/>
          <w:sz w:val="28"/>
          <w:szCs w:val="28"/>
          <w:shd w:val="clear" w:fill="FFFFFF"/>
          <w:lang w:eastAsia="zh-CN"/>
        </w:rPr>
        <w:t>部</w:t>
      </w:r>
      <w:r>
        <w:rPr>
          <w:rFonts w:hint="eastAsia" w:ascii="仿宋" w:hAnsi="仿宋" w:eastAsia="仿宋" w:cs="仿宋"/>
          <w:color w:val="auto"/>
          <w:kern w:val="0"/>
          <w:sz w:val="28"/>
          <w:szCs w:val="28"/>
          <w:shd w:val="clear" w:fill="FFFFFF"/>
        </w:rPr>
        <w:t>充分履行职责职能，严格执行各项管理制度，经济、社会等效益显著、社会公众满意度上升，较好地完成了全年工作目标。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 w:hAnsi="仿宋" w:eastAsia="仿宋" w:cs="仿宋"/>
          <w:color w:val="auto"/>
          <w:kern w:val="0"/>
          <w:sz w:val="28"/>
          <w:szCs w:val="28"/>
          <w:shd w:val="clear" w:fill="FFFFFF"/>
          <w:lang w:val="en-US" w:eastAsia="zh-CN"/>
        </w:rPr>
      </w:pPr>
      <w:r>
        <w:rPr>
          <w:rFonts w:hint="eastAsia" w:ascii="仿宋" w:hAnsi="仿宋" w:eastAsia="仿宋" w:cs="仿宋"/>
          <w:color w:val="auto"/>
          <w:kern w:val="0"/>
          <w:sz w:val="28"/>
          <w:szCs w:val="28"/>
          <w:shd w:val="clear" w:fill="FFFFFF"/>
          <w:lang w:val="en-US" w:eastAsia="zh-CN"/>
        </w:rPr>
        <w:t>（一）抓履责，重落实，巡视整改工作更加深入有力。区委坚决扛起巡视整改主体责任，先后召开了6次书记专题会议、7次常委会、16次专项整改推进会，听取巡视整改工作安排和整改进展，部署、安排和推进巡视整改工作。制发了《中共北塔区委落实省委第六巡视组反馈意见意识形态工作整改工作方案》《省委第六巡视组巡视北塔区意识形态工作反馈问题整改清单》，落实了整改措施，分解了整改任务，明确了责任领导、责任单位和整改时限，组织开展3次督查，坚持高标准、严要求，加强整改督查，一件一件落实、一条一条兑现，确保整改实效。2021年9月，省委宣传部组织对省委巡视意识形态问题整改工作进行“回头看”，我区整改工作得到检查组高度评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仿宋" w:hAnsi="仿宋" w:eastAsia="仿宋" w:cs="仿宋"/>
          <w:color w:val="auto"/>
          <w:kern w:val="0"/>
          <w:sz w:val="28"/>
          <w:szCs w:val="28"/>
          <w:shd w:val="clear" w:fill="FFFFFF"/>
          <w:lang w:val="en-US" w:eastAsia="zh-CN"/>
        </w:rPr>
      </w:pPr>
      <w:r>
        <w:rPr>
          <w:rFonts w:hint="eastAsia" w:ascii="仿宋" w:hAnsi="仿宋" w:eastAsia="仿宋" w:cs="仿宋"/>
          <w:color w:val="auto"/>
          <w:kern w:val="0"/>
          <w:sz w:val="28"/>
          <w:szCs w:val="28"/>
          <w:shd w:val="clear" w:fill="FFFFFF"/>
          <w:lang w:val="en-US" w:eastAsia="zh-CN"/>
        </w:rPr>
        <w:t xml:space="preserve">  （二）抓制度，重建设，意识形态工作责任制全面落实。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auto"/>
          <w:kern w:val="0"/>
          <w:sz w:val="28"/>
          <w:szCs w:val="28"/>
          <w:shd w:val="clear" w:fill="FFFFFF"/>
          <w:lang w:val="en-US" w:eastAsia="zh-CN"/>
        </w:rPr>
      </w:pPr>
      <w:r>
        <w:rPr>
          <w:rFonts w:hint="eastAsia" w:ascii="仿宋" w:hAnsi="仿宋" w:eastAsia="仿宋" w:cs="仿宋"/>
          <w:color w:val="auto"/>
          <w:kern w:val="0"/>
          <w:sz w:val="28"/>
          <w:szCs w:val="28"/>
          <w:shd w:val="clear" w:fill="FFFFFF"/>
          <w:lang w:val="en-US" w:eastAsia="zh-CN"/>
        </w:rPr>
        <w:t>一是深入学习贯彻落实中央、省委文件精神。全区各级党委（党组）学习了中办发〔2020〕22号、湘办发〔2020〕23号和中办发〔2021〕9号文件，全区各级党委（党组）书记主动承担第一责任人责任，党委(党组)分管领导切实担负起直接责任，其他班子成员认真履行“一岗双责”。今年3月，区委印发《关于认真贯彻落实〔2020〕22号、湘办发〔2020〕23文件的工作方案》，进一步压紧压实全区意识形态工作责任制。二是压紧压实责任。区委常委会议专题听取意识形态工作2次，组织召开意识形态工作推进会议2次、意识形态联席会议2次，重点分析、研判和解决意识形态领域问题。区委其他班子成员根据工作分工，按照“一岗双责”要求，抓好分管部门和单位的意识形态工作。抓好基层党（工）委书记履行意识形态工作责任制述职评议考核，构建了党委统一领导、党政部门各负其责的责任链条。三是建强建牢制度。严格执行新修订的《党委（党组）落实意识形态工作责任制实施办法》，健全完善意识形态分析研判、联席会议等制度，制定《北塔区意识形态专题报告和专项督查制度》，定期或不定期开展督促检查，严格制度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auto"/>
          <w:kern w:val="0"/>
          <w:sz w:val="28"/>
          <w:szCs w:val="28"/>
          <w:shd w:val="clear" w:fill="FFFFFF"/>
          <w:lang w:val="en-US" w:eastAsia="zh-CN"/>
        </w:rPr>
      </w:pPr>
      <w:r>
        <w:rPr>
          <w:rFonts w:hint="eastAsia" w:ascii="仿宋" w:hAnsi="仿宋" w:eastAsia="仿宋" w:cs="仿宋"/>
          <w:color w:val="auto"/>
          <w:kern w:val="0"/>
          <w:sz w:val="28"/>
          <w:szCs w:val="28"/>
          <w:shd w:val="clear" w:fill="FFFFFF"/>
          <w:lang w:val="en-US" w:eastAsia="zh-CN"/>
        </w:rPr>
        <w:t>抓重点，重实效，理论武装工作深入推进。一是抓实理论学习中心组学习。出台《2021年度北塔区党委（党组）理论学习中心组专题学习重点内容安排》，区委理论学习中心组严格落实“六个环节”，已开展理论学习14次，各单位党委（党组）理论学习中心组按照“一月一主题”，扎实开展理论学习。下发《2021年北塔区党委（党组）理论学习中心组学习旁听指导工作方案》，旁听指导党委（党组）中心组集中学习42家次。二是抓严党员干部理论学习。扎实推进党员干部“学习强国”平台学习。评选出2020年度北塔区“优秀学习型组织”“优秀学习个人”“优秀通讯员”“优秀网评员”。三是抓好理论宣传宣讲。围绕深入学习习近平新时代中国特色社会主义思想和党史学习教育等主题，采取报告会、专题培训等形式，开展集中宣讲60余场次、微宣讲300余场次，干部群众参与学习达15000人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auto"/>
          <w:kern w:val="0"/>
          <w:sz w:val="28"/>
          <w:szCs w:val="28"/>
          <w:shd w:val="clear" w:fill="FFFFFF"/>
          <w:lang w:val="en-US" w:eastAsia="zh-CN"/>
        </w:rPr>
      </w:pPr>
      <w:r>
        <w:rPr>
          <w:rFonts w:hint="eastAsia" w:ascii="仿宋" w:hAnsi="仿宋" w:eastAsia="仿宋" w:cs="仿宋"/>
          <w:color w:val="auto"/>
          <w:kern w:val="0"/>
          <w:sz w:val="28"/>
          <w:szCs w:val="28"/>
          <w:shd w:val="clear" w:fill="FFFFFF"/>
          <w:lang w:val="en-US" w:eastAsia="zh-CN"/>
        </w:rPr>
        <w:t>抓学习，重实践，党史学习教育不断深化。一是强学习夯基础，筑牢理论根基。坚持学习党史与学习新中国史、改革开放史、社会主义发展史相贯通，发放习近平总书记《论中国共产党历史》《中华人民共和国简史》等必读书目8000余套；组建党史学习教育北塔宣讲团，全方位实地宣讲，共开展集中宣讲、党史知识进基层宣讲、“党史故事汇”基层微宣讲460余场，受众20000余人次；编发简报34期。二是优活动创新意，整合资源广宣传。全区各单位组织干部职工赴八路军驻军通讯处旧址、蔡锷故居等进行参观学习研讨，组织开展“学党史、颂党恩、跟党走”红色情怀朗诵比赛，举行“欢乐潇湘·颂歌向党”2021邵阳市北塔区庆祝中国共产党成立100周年合唱比赛，开展“最美光荣之家”评选和争做“三表率一模范”党组织等丰富多彩的活动。三是聚力成效转化，奋勇争先开新局。第一时间制定“我为群众办实事”活动方案，共列出处级领导干部“我为群众办实事”项目清单28项，已完成25项；认领“微心愿”700余条，已全部完成；学史知岗爱岗共开展专题学习300余场次，知识竞赛62场次，技能比武17场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auto"/>
          <w:kern w:val="0"/>
          <w:sz w:val="28"/>
          <w:szCs w:val="28"/>
          <w:shd w:val="clear" w:fill="FFFFFF"/>
          <w:lang w:val="en-US" w:eastAsia="zh-CN"/>
        </w:rPr>
      </w:pPr>
      <w:r>
        <w:rPr>
          <w:rFonts w:hint="eastAsia" w:ascii="仿宋" w:hAnsi="仿宋" w:eastAsia="仿宋" w:cs="仿宋"/>
          <w:color w:val="auto"/>
          <w:kern w:val="0"/>
          <w:sz w:val="28"/>
          <w:szCs w:val="28"/>
          <w:shd w:val="clear" w:fill="FFFFFF"/>
          <w:lang w:val="en-US" w:eastAsia="zh-CN"/>
        </w:rPr>
        <w:t>抓导向，重效果，新闻舆论引导水平不断提高。一是强化阵地建设。制定《&lt;北塔发布&gt;微信公众号管理办法（试行）》，举办2021年全区新闻通讯员、舆情信息员、理论宣讲员和理论学习秘书培训班，完善制度建设，加强队伍建设，将区融媒体平台打造成为宣传思想工作的主阵地、主战场。二是强化正面宣传。充分挖掘“四区二城”战略和经济社会发展的亮点，在中央和省级主流媒体上推出《湖南邵阳市北塔区“四区二城”战略启航》《北塔区以“谈”促“干”开新局》《资江北岸展新颜》《砥砺奋进新征程》等系列有影响的新闻报道。截至目前，《北塔发布》公众号发布268期，发稿1674条，“精美北塔”APP发布信息1360条。在中央级媒体上稿111篇，省级主流上稿近380篇，在市级以上主流媒体上稿1000余篇。三是加强舆情分析研判。创新推行“信息获取网格化、舆情监控日常化、信息共享一体化、舆情研判常态化、处置问责严格化”“五化”措施，将网络舆情从“末梢”治理变为“源头”管控。今年以来，全区共发生网络舆情和网络问政123件，较去年同期下降12.1%，网络舆情和网络问政发生率全市最低，回复率100%，没有发生一起舆情信息炒作倒灌事件；通过强化舆情信息员专题培训，全区报送的有效舆情信息数量为12771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auto"/>
          <w:kern w:val="0"/>
          <w:sz w:val="28"/>
          <w:szCs w:val="28"/>
          <w:shd w:val="clear" w:fill="FFFFFF"/>
          <w:lang w:val="en-US" w:eastAsia="zh-CN"/>
        </w:rPr>
      </w:pPr>
      <w:r>
        <w:rPr>
          <w:rFonts w:hint="eastAsia" w:ascii="仿宋" w:hAnsi="仿宋" w:eastAsia="仿宋" w:cs="仿宋"/>
          <w:color w:val="auto"/>
          <w:kern w:val="0"/>
          <w:sz w:val="28"/>
          <w:szCs w:val="28"/>
          <w:shd w:val="clear" w:fill="FFFFFF"/>
          <w:lang w:val="en-US" w:eastAsia="zh-CN"/>
        </w:rPr>
        <w:t>（六）抓机制，重长效，文明创建不断巩固深化。一是全力推进全国文明城市创建。建强工作机制，制定《北塔区创建全国文明城市工作考评方案》等一系列工作方案，全面提质改造基础设施，农贸市场提质改造、优化交通秩序规范管理、全面提升城市市容管理，加强文明单位系列创建，目前，全区共有全国文明单位1个、省级文明单位15个、市级文明单位39个、区级文明单位25个、区级文明村（社区）20个，区级以上文明村镇创建率达70%。加强模范评选活动，积极推选“湖南好人”、“邵阳好人”、最美文明家庭、最美光荣之家等先进典型。截止11月底，</w:t>
      </w:r>
      <w:r>
        <w:rPr>
          <w:rFonts w:hint="eastAsia" w:ascii="仿宋" w:hAnsi="仿宋" w:eastAsia="仿宋" w:cs="仿宋"/>
          <w:color w:val="auto"/>
          <w:kern w:val="0"/>
          <w:sz w:val="28"/>
          <w:szCs w:val="28"/>
          <w:shd w:val="clear" w:fill="FFFFFF"/>
          <w:lang w:eastAsia="zh-CN"/>
        </w:rPr>
        <w:t>在全市前三个季度文明创建工作考评中，我区排名两个第一、一个第二。</w:t>
      </w:r>
      <w:r>
        <w:rPr>
          <w:rFonts w:hint="eastAsia" w:ascii="仿宋" w:hAnsi="仿宋" w:eastAsia="仿宋" w:cs="仿宋"/>
          <w:color w:val="auto"/>
          <w:kern w:val="0"/>
          <w:sz w:val="28"/>
          <w:szCs w:val="28"/>
          <w:shd w:val="clear" w:fill="FFFFFF"/>
          <w:lang w:val="en-US" w:eastAsia="zh-CN"/>
        </w:rPr>
        <w:t>二是深入推进新时代文明实践所（站）建设。设立1个中心、10个文明实践服务社、5个新时代文明实践所、44个新时代文明实践站，依托三级文明实践志愿服务平台大力开展志愿服务活动，全面开展“我们的节日”系列活动，每周五在全区范围内常态化开展文明行为劝导、文明交通劝导，卫生环境清扫志愿服务活动，推动志愿服务常态化长效化。三是大力实施“文明立区”七大提升工程。提质整治公益广告、店招1000余处；投入专项攻坚工作经费450万元，完善城市基础设施；整治空中缆线77.51公里；规范店铺经营秩序，清理乱吊乱挂、乱堆乱放现象800余起；强化校园周边整治，取缔流动摊贩、违规摆摊设点2100余个；更新、增划停车线8800余米、机动车及非机动车车位1200余个，对资园、状元社区实施交通优化“单循环”；改扩翻资园社区内40栋居民楼栋；全面完成农村无害化厕所改造；广泛开展“邻居节”10场次，宣传移风易俗；围绕迎接和庆祝建党100周年，全区中小学校组织开展各种主题活动300余场次，参与人数40000余人次；组织家庭教育讲座、青少年心理健康教育辅导等活动200余场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auto"/>
          <w:kern w:val="0"/>
          <w:sz w:val="28"/>
          <w:szCs w:val="28"/>
          <w:shd w:val="clear" w:fill="FFFFFF"/>
          <w:lang w:val="en-US" w:eastAsia="zh-CN"/>
        </w:rPr>
      </w:pPr>
      <w:r>
        <w:rPr>
          <w:rFonts w:hint="eastAsia" w:ascii="仿宋" w:hAnsi="仿宋" w:eastAsia="仿宋" w:cs="仿宋"/>
          <w:color w:val="auto"/>
          <w:kern w:val="0"/>
          <w:sz w:val="28"/>
          <w:szCs w:val="28"/>
          <w:shd w:val="clear" w:fill="FFFFFF"/>
          <w:lang w:val="en-US" w:eastAsia="zh-CN"/>
        </w:rPr>
        <w:t>（七）抓特色，重品牌，文化事业发展焕发新气象。一是加大文旅项目推介力度。成立“文旅兴城”工作专班，目前，我区有6个项目纳入了省文旅厅的重大项目库；有2个项目纳入了省文旅厅对接中央企业重大文旅项目库；苗儿体育公园项目纳入了国家计划笼子；龙山体育公园项目纳入了2022年中央体彩公益金支持小型体育公园建设项目；邓益烈士红色旅游景色建设项目纳入了省“十四五”红色旅游发展专项规划重点建设项目。二是加强文化市场监管。加强“扫黄打非”工作，每月常规检查文化市场2次；联合消防、公安、市执法支队、文旅等部门开展专项检查2次，发现并下架问题歌曲1首。多次邀请市执法支队到我区开展执法检查工作，查处了2家网吧有未成年人上网，各罚款4000元；查处了无证经营娱乐场所1家。三是提升三馆服务效能。加强区图书馆、美术馆、文化馆的建设管理，提高“三馆”公共服务效能。到11月底，进入共享书吧阅读已达6000余人次；为图书馆配置了新书8万余元，办理了借书卡400余张。四是推动文体活动深入开展。完成市区送戏任务60场。举办了“春节·非遗过大年”文化进万家、“欢度元宵佳节·共尝香甜元宵”等活动。围绕庆祝中国共产党成立100周年，创作出了一首歌、一台戏、一个节目、一首诗、一篇散文、一件雕刻艺术品（长征组图），组队参加了“欢乐潇湘·颂歌向党”邵阳市庆祝中国共产党成立100周年合唱比赛、“颂歌向党”全市庆祝建党100周年主题演讲赛等。举办了首届黄桃文化旅游节活动。</w:t>
      </w:r>
    </w:p>
    <w:p>
      <w:pPr>
        <w:pStyle w:val="9"/>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kern w:val="0"/>
          <w:sz w:val="28"/>
          <w:szCs w:val="28"/>
          <w:shd w:val="clear" w:fill="FFFFFF"/>
          <w:lang w:val="en-US" w:eastAsia="zh-CN" w:bidi="ar-SA"/>
        </w:rPr>
      </w:pPr>
      <w:r>
        <w:rPr>
          <w:rFonts w:hint="eastAsia" w:ascii="仿宋" w:hAnsi="仿宋" w:eastAsia="仿宋" w:cs="仿宋"/>
          <w:color w:val="auto"/>
          <w:kern w:val="0"/>
          <w:sz w:val="28"/>
          <w:szCs w:val="28"/>
          <w:shd w:val="clear" w:fill="FFFFFF"/>
        </w:rPr>
        <w:t>五、</w:t>
      </w:r>
      <w:r>
        <w:rPr>
          <w:rFonts w:hint="eastAsia" w:ascii="仿宋" w:hAnsi="仿宋" w:eastAsia="仿宋" w:cs="仿宋"/>
          <w:color w:val="auto"/>
          <w:kern w:val="0"/>
          <w:sz w:val="28"/>
          <w:szCs w:val="28"/>
          <w:shd w:val="clear" w:fill="FFFFFF"/>
          <w:lang w:val="en-US" w:eastAsia="zh-CN" w:bidi="ar-SA"/>
        </w:rPr>
        <w:t>综合评价情况及评价结论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firstLine="560" w:firstLineChars="200"/>
        <w:jc w:val="left"/>
        <w:textAlignment w:val="auto"/>
        <w:rPr>
          <w:rFonts w:hint="eastAsia" w:ascii="仿宋" w:hAnsi="仿宋" w:eastAsia="仿宋" w:cs="仿宋"/>
          <w:color w:val="auto"/>
          <w:kern w:val="0"/>
          <w:sz w:val="28"/>
          <w:szCs w:val="28"/>
          <w:shd w:val="clear" w:fill="FFFFFF"/>
          <w:lang w:val="en-US" w:eastAsia="zh-CN" w:bidi="ar-SA"/>
        </w:rPr>
      </w:pPr>
      <w:r>
        <w:rPr>
          <w:rFonts w:hint="eastAsia" w:ascii="仿宋" w:hAnsi="仿宋" w:eastAsia="仿宋" w:cs="仿宋"/>
          <w:color w:val="auto"/>
          <w:kern w:val="0"/>
          <w:sz w:val="28"/>
          <w:szCs w:val="28"/>
          <w:shd w:val="clear" w:fill="FFFFFF"/>
          <w:lang w:val="en-US" w:eastAsia="zh-CN" w:bidi="ar-SA"/>
        </w:rPr>
        <w:t>2021年我部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部整体支出绩效自评95分，自评结果为“良好”。</w:t>
      </w:r>
    </w:p>
    <w:p>
      <w:pPr>
        <w:pStyle w:val="8"/>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right="0"/>
        <w:jc w:val="left"/>
        <w:textAlignment w:val="auto"/>
        <w:rPr>
          <w:rFonts w:hint="eastAsia" w:ascii="仿宋" w:hAnsi="仿宋" w:eastAsia="仿宋" w:cs="仿宋"/>
          <w:color w:val="auto"/>
          <w:kern w:val="0"/>
          <w:sz w:val="28"/>
          <w:szCs w:val="28"/>
          <w:shd w:val="clear" w:fill="FFFFFF"/>
        </w:rPr>
      </w:pPr>
      <w:r>
        <w:rPr>
          <w:rFonts w:hint="eastAsia" w:ascii="仿宋" w:hAnsi="仿宋" w:eastAsia="仿宋" w:cs="仿宋"/>
          <w:color w:val="auto"/>
          <w:kern w:val="0"/>
          <w:sz w:val="28"/>
          <w:szCs w:val="28"/>
          <w:shd w:val="clear" w:fill="FFFFFF"/>
        </w:rPr>
        <w:t>存在的问题及原因分析</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绩效评价工作机制有待进一步完善。由于在平时工作中未加强对绩效监控工作的重视，绩效监控工作容易滞后。</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我</w:t>
      </w:r>
      <w:r>
        <w:rPr>
          <w:rFonts w:hint="eastAsia" w:ascii="仿宋" w:hAnsi="仿宋" w:eastAsia="仿宋" w:cs="仿宋"/>
          <w:sz w:val="28"/>
          <w:szCs w:val="28"/>
          <w:lang w:eastAsia="zh-CN"/>
        </w:rPr>
        <w:t>部</w:t>
      </w:r>
      <w:r>
        <w:rPr>
          <w:rFonts w:hint="eastAsia" w:ascii="仿宋" w:hAnsi="仿宋" w:eastAsia="仿宋" w:cs="仿宋"/>
          <w:sz w:val="28"/>
          <w:szCs w:val="28"/>
        </w:rPr>
        <w:t>在编制部门年度预算时，虽然根据本单位职能职责和年度工作计划，但在20</w:t>
      </w:r>
      <w:r>
        <w:rPr>
          <w:rFonts w:hint="eastAsia" w:ascii="仿宋" w:hAnsi="仿宋" w:eastAsia="仿宋" w:cs="仿宋"/>
          <w:sz w:val="28"/>
          <w:szCs w:val="28"/>
          <w:lang w:val="en-US" w:eastAsia="zh-CN"/>
        </w:rPr>
        <w:t>21</w:t>
      </w:r>
      <w:r>
        <w:rPr>
          <w:rFonts w:hint="eastAsia" w:ascii="仿宋" w:hAnsi="仿宋" w:eastAsia="仿宋" w:cs="仿宋"/>
          <w:sz w:val="28"/>
          <w:szCs w:val="28"/>
        </w:rPr>
        <w:t>年部门预算执行过程中，仍然存在年初预算编制不合理或部分经费计划比较紧张，往往需要在年度中间进行预算追加和调整。</w:t>
      </w:r>
    </w:p>
    <w:p>
      <w:pPr>
        <w:pStyle w:val="2"/>
        <w:rPr>
          <w:rFonts w:hint="eastAsia"/>
        </w:rPr>
      </w:pPr>
    </w:p>
    <w:p>
      <w:pPr>
        <w:pStyle w:val="8"/>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80" w:lineRule="exact"/>
        <w:ind w:left="0" w:leftChars="0" w:right="0" w:firstLine="0" w:firstLineChars="0"/>
        <w:jc w:val="left"/>
        <w:textAlignment w:val="auto"/>
        <w:rPr>
          <w:rFonts w:hint="eastAsia" w:ascii="仿宋" w:hAnsi="仿宋" w:eastAsia="仿宋" w:cs="仿宋"/>
          <w:color w:val="auto"/>
          <w:kern w:val="0"/>
          <w:sz w:val="28"/>
          <w:szCs w:val="28"/>
          <w:shd w:val="clear" w:fill="FFFFFF"/>
        </w:rPr>
      </w:pPr>
      <w:r>
        <w:rPr>
          <w:rFonts w:hint="eastAsia" w:ascii="仿宋" w:hAnsi="仿宋" w:eastAsia="仿宋" w:cs="仿宋"/>
          <w:color w:val="auto"/>
          <w:kern w:val="0"/>
          <w:sz w:val="28"/>
          <w:szCs w:val="28"/>
          <w:shd w:val="clear" w:fill="FFFFFF"/>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2" w:firstLineChars="200"/>
        <w:textAlignment w:val="auto"/>
        <w:rPr>
          <w:rFonts w:hint="eastAsia" w:ascii="仿宋" w:hAnsi="仿宋" w:eastAsia="仿宋" w:cs="仿宋"/>
          <w:sz w:val="28"/>
          <w:szCs w:val="28"/>
        </w:rPr>
      </w:pPr>
      <w:bookmarkStart w:id="0" w:name="RANGE!A1:H22"/>
      <w:r>
        <w:rPr>
          <w:rFonts w:hint="eastAsia" w:ascii="仿宋" w:hAnsi="仿宋" w:eastAsia="仿宋" w:cs="仿宋"/>
          <w:b/>
          <w:bCs/>
          <w:sz w:val="28"/>
          <w:szCs w:val="28"/>
        </w:rPr>
        <w:t>(一)完善绩效监控机制</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完善设置预算绩效指标，合理安排经费和各项资金，更加贴合本单位财务工作的实际情况，能够合理运用现有资源，保证预算绩效指标的顺利实施。</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(二)严格执行单位预算</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按照新《预算法》及相关规定，结合上一年度单位预算执行情况和本年度预算收支变化因素，科学、合理地编制本年预算草案，严格按规定程序进行预算调剂。</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b/>
          <w:bCs/>
          <w:sz w:val="28"/>
          <w:szCs w:val="28"/>
          <w:lang w:eastAsia="zh-CN"/>
        </w:rPr>
        <w:t>三</w:t>
      </w:r>
      <w:r>
        <w:rPr>
          <w:rFonts w:hint="eastAsia" w:ascii="仿宋" w:hAnsi="仿宋" w:eastAsia="仿宋" w:cs="仿宋"/>
          <w:b/>
          <w:bCs/>
          <w:sz w:val="28"/>
          <w:szCs w:val="28"/>
        </w:rPr>
        <w:t>)加强财务知识培训</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聚焦提升财务人员业务技能、财经纪律意识等方面，加强新《预算法》《新政府会计制度》等学习培训，进一步提升业务人员能力。</w:t>
      </w:r>
    </w:p>
    <w:p>
      <w:pPr>
        <w:pStyle w:val="9"/>
        <w:keepNext w:val="0"/>
        <w:keepLines w:val="0"/>
        <w:pageBreakBefore w:val="0"/>
        <w:kinsoku/>
        <w:wordWrap/>
        <w:overflowPunct/>
        <w:topLinePunct w:val="0"/>
        <w:autoSpaceDE/>
        <w:autoSpaceDN/>
        <w:bidi w:val="0"/>
        <w:adjustRightInd/>
        <w:spacing w:line="480" w:lineRule="exact"/>
        <w:textAlignment w:val="auto"/>
        <w:rPr>
          <w:rFonts w:hint="eastAsia"/>
        </w:rPr>
      </w:pPr>
    </w:p>
    <w:p>
      <w:pPr>
        <w:spacing w:line="600" w:lineRule="exact"/>
        <w:rPr>
          <w:rFonts w:ascii="宋体" w:hAnsi="宋体" w:cs="宋体"/>
          <w:kern w:val="0"/>
          <w:sz w:val="32"/>
          <w:szCs w:val="32"/>
        </w:rPr>
      </w:pPr>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97</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61FBA9"/>
    <w:multiLevelType w:val="singleLevel"/>
    <w:tmpl w:val="C661FBA9"/>
    <w:lvl w:ilvl="0" w:tentative="0">
      <w:start w:val="3"/>
      <w:numFmt w:val="decimal"/>
      <w:lvlText w:val="%1."/>
      <w:lvlJc w:val="left"/>
      <w:pPr>
        <w:tabs>
          <w:tab w:val="left" w:pos="312"/>
        </w:tabs>
      </w:pPr>
    </w:lvl>
  </w:abstractNum>
  <w:abstractNum w:abstractNumId="1">
    <w:nsid w:val="E64064A7"/>
    <w:multiLevelType w:val="singleLevel"/>
    <w:tmpl w:val="E64064A7"/>
    <w:lvl w:ilvl="0" w:tentative="0">
      <w:start w:val="6"/>
      <w:numFmt w:val="chineseCounting"/>
      <w:suff w:val="nothing"/>
      <w:lvlText w:val="%1、"/>
      <w:lvlJc w:val="left"/>
      <w:rPr>
        <w:rFonts w:hint="eastAsia"/>
      </w:rPr>
    </w:lvl>
  </w:abstractNum>
  <w:abstractNum w:abstractNumId="2">
    <w:nsid w:val="5B8DD22F"/>
    <w:multiLevelType w:val="singleLevel"/>
    <w:tmpl w:val="5B8DD22F"/>
    <w:lvl w:ilvl="0" w:tentative="0">
      <w:start w:val="1"/>
      <w:numFmt w:val="chineseCounting"/>
      <w:pStyle w:val="41"/>
      <w:suff w:val="nothing"/>
      <w:lvlText w:val="%1、"/>
      <w:lvlJc w:val="left"/>
      <w:pPr>
        <w:tabs>
          <w:tab w:val="left" w:pos="0"/>
        </w:tabs>
        <w:ind w:left="0" w:firstLine="640"/>
      </w:pPr>
      <w:rPr>
        <w:rFonts w:hint="eastAsia"/>
      </w:rPr>
    </w:lvl>
  </w:abstractNum>
  <w:abstractNum w:abstractNumId="3">
    <w:nsid w:val="6017706B"/>
    <w:multiLevelType w:val="singleLevel"/>
    <w:tmpl w:val="6017706B"/>
    <w:lvl w:ilvl="0" w:tentative="0">
      <w:start w:val="1"/>
      <w:numFmt w:val="decimal"/>
      <w:pStyle w:val="44"/>
      <w:suff w:val="nothing"/>
      <w:lvlText w:val="%1."/>
      <w:lvlJc w:val="left"/>
      <w:pPr>
        <w:tabs>
          <w:tab w:val="left" w:pos="0"/>
        </w:tabs>
        <w:ind w:left="0" w:firstLine="640"/>
      </w:pPr>
      <w:rPr>
        <w:rFonts w:hint="default" w:ascii="宋体" w:hAnsi="宋体" w:eastAsia="宋体" w:cs="宋体"/>
      </w:rPr>
    </w:lvl>
  </w:abstractNum>
  <w:abstractNum w:abstractNumId="4">
    <w:nsid w:val="601F3ED7"/>
    <w:multiLevelType w:val="singleLevel"/>
    <w:tmpl w:val="601F3ED7"/>
    <w:lvl w:ilvl="0" w:tentative="0">
      <w:start w:val="1"/>
      <w:numFmt w:val="chineseCounting"/>
      <w:pStyle w:val="40"/>
      <w:suff w:val="nothing"/>
      <w:lvlText w:val="（%1）"/>
      <w:lvlJc w:val="left"/>
      <w:pPr>
        <w:tabs>
          <w:tab w:val="left" w:pos="0"/>
        </w:tabs>
        <w:ind w:left="0" w:firstLine="640"/>
      </w:pPr>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kZTFlOGYxNjE5NDI2NTM2YjFlYTcxNTc5ZTI2NGYifQ=="/>
  </w:docVars>
  <w:rsids>
    <w:rsidRoot w:val="00000000"/>
    <w:rsid w:val="03031088"/>
    <w:rsid w:val="03FD47F5"/>
    <w:rsid w:val="04A72784"/>
    <w:rsid w:val="06513245"/>
    <w:rsid w:val="09D41128"/>
    <w:rsid w:val="0AB102B3"/>
    <w:rsid w:val="0B3554C5"/>
    <w:rsid w:val="0BA61872"/>
    <w:rsid w:val="11EE54E5"/>
    <w:rsid w:val="133B250C"/>
    <w:rsid w:val="13CD0E0F"/>
    <w:rsid w:val="17400AAE"/>
    <w:rsid w:val="1A501008"/>
    <w:rsid w:val="1B600B6C"/>
    <w:rsid w:val="1C3E1334"/>
    <w:rsid w:val="1D323FBF"/>
    <w:rsid w:val="1EAC476E"/>
    <w:rsid w:val="20116A76"/>
    <w:rsid w:val="21032CFF"/>
    <w:rsid w:val="23446550"/>
    <w:rsid w:val="238D02D4"/>
    <w:rsid w:val="24092228"/>
    <w:rsid w:val="272D447F"/>
    <w:rsid w:val="2BEE0162"/>
    <w:rsid w:val="2D421069"/>
    <w:rsid w:val="30E66B07"/>
    <w:rsid w:val="31F03DFD"/>
    <w:rsid w:val="32EE0F67"/>
    <w:rsid w:val="39236F5E"/>
    <w:rsid w:val="3A3827CC"/>
    <w:rsid w:val="3A773F37"/>
    <w:rsid w:val="3A8279F1"/>
    <w:rsid w:val="3E48034E"/>
    <w:rsid w:val="45AD0E01"/>
    <w:rsid w:val="45BB7953"/>
    <w:rsid w:val="466624C7"/>
    <w:rsid w:val="47265666"/>
    <w:rsid w:val="475B2CB0"/>
    <w:rsid w:val="480C2163"/>
    <w:rsid w:val="49090BD4"/>
    <w:rsid w:val="49444348"/>
    <w:rsid w:val="5311540D"/>
    <w:rsid w:val="55C13320"/>
    <w:rsid w:val="586A78CC"/>
    <w:rsid w:val="58744716"/>
    <w:rsid w:val="587B7AB5"/>
    <w:rsid w:val="59CF46DC"/>
    <w:rsid w:val="59F61EDE"/>
    <w:rsid w:val="5B571023"/>
    <w:rsid w:val="5BA55220"/>
    <w:rsid w:val="5CD60092"/>
    <w:rsid w:val="610A5E3D"/>
    <w:rsid w:val="62891725"/>
    <w:rsid w:val="62F361ED"/>
    <w:rsid w:val="656515D6"/>
    <w:rsid w:val="6CEF1588"/>
    <w:rsid w:val="6CFF1CFA"/>
    <w:rsid w:val="715217A9"/>
    <w:rsid w:val="72116CCE"/>
    <w:rsid w:val="777D7D11"/>
    <w:rsid w:val="7D2D53B2"/>
    <w:rsid w:val="7DB50DE3"/>
    <w:rsid w:val="7EF96A16"/>
    <w:rsid w:val="7F7B6720"/>
    <w:rsid w:val="7F9B5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sz w:val="24"/>
    </w:rPr>
  </w:style>
  <w:style w:type="paragraph" w:styleId="4">
    <w:name w:val="Normal Indent"/>
    <w:basedOn w:val="1"/>
    <w:unhideWhenUsed/>
    <w:qFormat/>
    <w:uiPriority w:val="0"/>
    <w:pPr>
      <w:ind w:firstLine="880" w:firstLineChars="200"/>
    </w:pPr>
  </w:style>
  <w:style w:type="paragraph" w:styleId="5">
    <w:name w:val="Body Text Indent"/>
    <w:basedOn w:val="1"/>
    <w:semiHidden/>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5"/>
    <w:semiHidden/>
    <w:qFormat/>
    <w:uiPriority w:val="99"/>
    <w:pPr>
      <w:ind w:firstLine="420" w:firstLineChars="200"/>
    </w:pPr>
  </w:style>
  <w:style w:type="character" w:styleId="12">
    <w:name w:val="page number"/>
    <w:basedOn w:val="11"/>
    <w:qFormat/>
    <w:uiPriority w:val="0"/>
  </w:style>
  <w:style w:type="character" w:styleId="13">
    <w:name w:val="FollowedHyperlink"/>
    <w:basedOn w:val="11"/>
    <w:qFormat/>
    <w:uiPriority w:val="0"/>
    <w:rPr>
      <w:color w:val="444444"/>
      <w:u w:val="none"/>
    </w:rPr>
  </w:style>
  <w:style w:type="character" w:styleId="14">
    <w:name w:val="Hyperlink"/>
    <w:basedOn w:val="11"/>
    <w:qFormat/>
    <w:uiPriority w:val="0"/>
    <w:rPr>
      <w:color w:val="444444"/>
      <w:u w:val="none"/>
    </w:rPr>
  </w:style>
  <w:style w:type="character" w:customStyle="1" w:styleId="15">
    <w:name w:val="gai"/>
    <w:basedOn w:val="11"/>
    <w:qFormat/>
    <w:uiPriority w:val="0"/>
  </w:style>
  <w:style w:type="character" w:customStyle="1" w:styleId="16">
    <w:name w:val="gai1"/>
    <w:basedOn w:val="11"/>
    <w:qFormat/>
    <w:uiPriority w:val="0"/>
  </w:style>
  <w:style w:type="character" w:customStyle="1" w:styleId="17">
    <w:name w:val="gai2"/>
    <w:basedOn w:val="11"/>
    <w:qFormat/>
    <w:uiPriority w:val="0"/>
  </w:style>
  <w:style w:type="character" w:customStyle="1" w:styleId="18">
    <w:name w:val="gai3"/>
    <w:basedOn w:val="11"/>
    <w:qFormat/>
    <w:uiPriority w:val="0"/>
  </w:style>
  <w:style w:type="character" w:customStyle="1" w:styleId="19">
    <w:name w:val="gai4"/>
    <w:basedOn w:val="11"/>
    <w:qFormat/>
    <w:uiPriority w:val="0"/>
  </w:style>
  <w:style w:type="character" w:customStyle="1" w:styleId="20">
    <w:name w:val="you"/>
    <w:basedOn w:val="11"/>
    <w:qFormat/>
    <w:uiPriority w:val="0"/>
  </w:style>
  <w:style w:type="character" w:customStyle="1" w:styleId="21">
    <w:name w:val="info-valid"/>
    <w:basedOn w:val="11"/>
    <w:qFormat/>
    <w:uiPriority w:val="0"/>
    <w:rPr>
      <w:color w:val="444444"/>
    </w:rPr>
  </w:style>
  <w:style w:type="character" w:customStyle="1" w:styleId="22">
    <w:name w:val="tit2"/>
    <w:basedOn w:val="11"/>
    <w:qFormat/>
    <w:uiPriority w:val="0"/>
    <w:rPr>
      <w:color w:val="1D0000"/>
      <w:sz w:val="33"/>
      <w:szCs w:val="33"/>
    </w:rPr>
  </w:style>
  <w:style w:type="character" w:customStyle="1" w:styleId="23">
    <w:name w:val="tianqi"/>
    <w:basedOn w:val="11"/>
    <w:qFormat/>
    <w:uiPriority w:val="0"/>
  </w:style>
  <w:style w:type="character" w:customStyle="1" w:styleId="24">
    <w:name w:val="sjzs"/>
    <w:basedOn w:val="11"/>
    <w:qFormat/>
    <w:uiPriority w:val="0"/>
    <w:rPr>
      <w:sz w:val="27"/>
      <w:szCs w:val="27"/>
    </w:rPr>
  </w:style>
  <w:style w:type="character" w:customStyle="1" w:styleId="25">
    <w:name w:val="quanp"/>
    <w:basedOn w:val="11"/>
    <w:qFormat/>
    <w:uiPriority w:val="0"/>
    <w:rPr>
      <w:color w:val="FFFFFF"/>
      <w:shd w:val="clear" w:fill="7CB8FE"/>
    </w:rPr>
  </w:style>
  <w:style w:type="character" w:customStyle="1" w:styleId="26">
    <w:name w:val="lname"/>
    <w:basedOn w:val="11"/>
    <w:qFormat/>
    <w:uiPriority w:val="0"/>
    <w:rPr>
      <w:color w:val="000000"/>
      <w:sz w:val="30"/>
      <w:szCs w:val="30"/>
    </w:rPr>
  </w:style>
  <w:style w:type="character" w:customStyle="1" w:styleId="27">
    <w:name w:val="first-child4"/>
    <w:basedOn w:val="11"/>
    <w:qFormat/>
    <w:uiPriority w:val="0"/>
    <w:rPr>
      <w:color w:val="BD1B09"/>
    </w:rPr>
  </w:style>
  <w:style w:type="character" w:customStyle="1" w:styleId="28">
    <w:name w:val="first-child5"/>
    <w:basedOn w:val="11"/>
    <w:qFormat/>
    <w:uiPriority w:val="0"/>
    <w:rPr>
      <w:color w:val="878787"/>
      <w:sz w:val="36"/>
      <w:szCs w:val="36"/>
      <w:shd w:val="clear" w:fill="FFFFFF"/>
    </w:rPr>
  </w:style>
  <w:style w:type="character" w:customStyle="1" w:styleId="29">
    <w:name w:val="ldjs"/>
    <w:basedOn w:val="11"/>
    <w:qFormat/>
    <w:uiPriority w:val="0"/>
    <w:rPr>
      <w:color w:val="666666"/>
      <w:sz w:val="24"/>
      <w:szCs w:val="24"/>
    </w:rPr>
  </w:style>
  <w:style w:type="character" w:customStyle="1" w:styleId="30">
    <w:name w:val="quanp2"/>
    <w:basedOn w:val="11"/>
    <w:qFormat/>
    <w:uiPriority w:val="0"/>
    <w:rPr>
      <w:color w:val="FFFFFF"/>
      <w:sz w:val="0"/>
      <w:szCs w:val="0"/>
      <w:shd w:val="clear" w:fill="7CB8FE"/>
    </w:rPr>
  </w:style>
  <w:style w:type="character" w:customStyle="1" w:styleId="31">
    <w:name w:val="jiaoluo"/>
    <w:basedOn w:val="11"/>
    <w:qFormat/>
    <w:uiPriority w:val="0"/>
  </w:style>
  <w:style w:type="character" w:customStyle="1" w:styleId="32">
    <w:name w:val="last3"/>
    <w:basedOn w:val="11"/>
    <w:qFormat/>
    <w:uiPriority w:val="0"/>
  </w:style>
  <w:style w:type="character" w:customStyle="1" w:styleId="33">
    <w:name w:val="last4"/>
    <w:basedOn w:val="11"/>
    <w:qFormat/>
    <w:uiPriority w:val="0"/>
  </w:style>
  <w:style w:type="character" w:customStyle="1" w:styleId="34">
    <w:name w:val="fanhui"/>
    <w:basedOn w:val="11"/>
    <w:qFormat/>
    <w:uiPriority w:val="0"/>
    <w:rPr>
      <w:color w:val="FFFFFF"/>
      <w:sz w:val="24"/>
      <w:szCs w:val="24"/>
    </w:rPr>
  </w:style>
  <w:style w:type="character" w:customStyle="1" w:styleId="35">
    <w:name w:val="jiaoluo2"/>
    <w:basedOn w:val="11"/>
    <w:qFormat/>
    <w:uiPriority w:val="0"/>
  </w:style>
  <w:style w:type="character" w:customStyle="1" w:styleId="36">
    <w:name w:val="zuo"/>
    <w:basedOn w:val="11"/>
    <w:qFormat/>
    <w:uiPriority w:val="0"/>
  </w:style>
  <w:style w:type="character" w:customStyle="1" w:styleId="37">
    <w:name w:val="dcs"/>
    <w:basedOn w:val="11"/>
    <w:qFormat/>
    <w:uiPriority w:val="0"/>
    <w:rPr>
      <w:color w:val="BD1B09"/>
    </w:rPr>
  </w:style>
  <w:style w:type="character" w:customStyle="1" w:styleId="38">
    <w:name w:val="time"/>
    <w:basedOn w:val="11"/>
    <w:qFormat/>
    <w:uiPriority w:val="0"/>
    <w:rPr>
      <w:color w:val="999999"/>
    </w:rPr>
  </w:style>
  <w:style w:type="character" w:customStyle="1" w:styleId="39">
    <w:name w:val="time1"/>
    <w:basedOn w:val="11"/>
    <w:qFormat/>
    <w:uiPriority w:val="0"/>
    <w:rPr>
      <w:color w:val="999999"/>
    </w:rPr>
  </w:style>
  <w:style w:type="paragraph" w:customStyle="1" w:styleId="40">
    <w:name w:val="公文标题2"/>
    <w:basedOn w:val="41"/>
    <w:next w:val="42"/>
    <w:qFormat/>
    <w:uiPriority w:val="0"/>
    <w:pPr>
      <w:numPr>
        <w:numId w:val="1"/>
      </w:numPr>
      <w:tabs>
        <w:tab w:val="left" w:pos="0"/>
      </w:tabs>
      <w:ind w:firstLine="420"/>
      <w:outlineLvl w:val="1"/>
    </w:pPr>
    <w:rPr>
      <w:rFonts w:ascii="楷体" w:hAnsi="楷体" w:eastAsia="楷体"/>
      <w:szCs w:val="22"/>
    </w:rPr>
  </w:style>
  <w:style w:type="paragraph" w:customStyle="1" w:styleId="41">
    <w:name w:val="公文标题1"/>
    <w:basedOn w:val="1"/>
    <w:next w:val="42"/>
    <w:qFormat/>
    <w:uiPriority w:val="0"/>
    <w:pPr>
      <w:numPr>
        <w:ilvl w:val="0"/>
        <w:numId w:val="2"/>
      </w:numPr>
      <w:tabs>
        <w:tab w:val="clear" w:pos="0"/>
      </w:tabs>
      <w:ind w:firstLine="720" w:firstLineChars="200"/>
      <w:outlineLvl w:val="0"/>
    </w:pPr>
    <w:rPr>
      <w:rFonts w:ascii="黑体" w:hAnsi="黑体" w:eastAsia="黑体" w:cs="黑体"/>
      <w:sz w:val="32"/>
    </w:rPr>
  </w:style>
  <w:style w:type="paragraph" w:customStyle="1" w:styleId="42">
    <w:name w:val="公文正文"/>
    <w:basedOn w:val="1"/>
    <w:link w:val="45"/>
    <w:qFormat/>
    <w:uiPriority w:val="0"/>
    <w:pPr>
      <w:ind w:firstLine="720" w:firstLineChars="200"/>
    </w:pPr>
    <w:rPr>
      <w:rFonts w:ascii="仿宋" w:hAnsi="仿宋" w:eastAsia="仿宋" w:cs="黑体"/>
      <w:sz w:val="32"/>
    </w:rPr>
  </w:style>
  <w:style w:type="character" w:customStyle="1" w:styleId="43">
    <w:name w:val="公文标题3 Char"/>
    <w:link w:val="44"/>
    <w:qFormat/>
    <w:uiPriority w:val="0"/>
    <w:rPr>
      <w:rFonts w:ascii="仿宋" w:hAnsi="仿宋" w:eastAsia="仿宋"/>
    </w:rPr>
  </w:style>
  <w:style w:type="paragraph" w:customStyle="1" w:styleId="44">
    <w:name w:val="公文标题3"/>
    <w:basedOn w:val="40"/>
    <w:link w:val="43"/>
    <w:qFormat/>
    <w:uiPriority w:val="0"/>
    <w:pPr>
      <w:numPr>
        <w:numId w:val="3"/>
      </w:numPr>
      <w:ind w:firstLine="420"/>
      <w:outlineLvl w:val="2"/>
    </w:pPr>
    <w:rPr>
      <w:rFonts w:ascii="仿宋" w:hAnsi="仿宋" w:eastAsia="仿宋"/>
    </w:rPr>
  </w:style>
  <w:style w:type="character" w:customStyle="1" w:styleId="45">
    <w:name w:val="公文正文 Char"/>
    <w:link w:val="42"/>
    <w:qFormat/>
    <w:uiPriority w:val="0"/>
    <w:rPr>
      <w:rFonts w:ascii="仿宋" w:hAnsi="仿宋" w:eastAsia="仿宋" w:cs="黑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9471</Words>
  <Characters>9910</Characters>
  <Lines>0</Lines>
  <Paragraphs>0</Paragraphs>
  <TotalTime>196</TotalTime>
  <ScaleCrop>false</ScaleCrop>
  <LinksUpToDate>false</LinksUpToDate>
  <CharactersWithSpaces>10069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宁静致远</cp:lastModifiedBy>
  <dcterms:modified xsi:type="dcterms:W3CDTF">2023-04-25T01:09:58Z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D344DF9B49AC49368C101EFFD1197D7A_13</vt:lpwstr>
  </property>
</Properties>
</file>