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宋体" w:cs="微软雅黑"/>
          <w:i w:val="0"/>
          <w:iCs w:val="0"/>
          <w:caps w:val="0"/>
          <w:color w:val="666666"/>
          <w:spacing w:val="0"/>
          <w:sz w:val="16"/>
          <w:szCs w:val="16"/>
          <w:lang w:val="en-US" w:eastAsia="zh-CN"/>
        </w:rPr>
      </w:pPr>
      <w:r>
        <w:rPr>
          <w:rFonts w:hint="eastAsia" w:ascii="宋体" w:hAnsi="宋体" w:eastAsia="宋体" w:cs="宋体"/>
          <w:i w:val="0"/>
          <w:iCs w:val="0"/>
          <w:caps w:val="0"/>
          <w:color w:val="000000"/>
          <w:spacing w:val="0"/>
          <w:sz w:val="31"/>
          <w:szCs w:val="31"/>
          <w:shd w:val="clear" w:fill="FFFFFF"/>
        </w:rPr>
        <w:t>北塔区</w:t>
      </w:r>
      <w:r>
        <w:rPr>
          <w:rFonts w:hint="eastAsia" w:ascii="宋体" w:hAnsi="宋体" w:eastAsia="宋体" w:cs="宋体"/>
          <w:i w:val="0"/>
          <w:iCs w:val="0"/>
          <w:caps w:val="0"/>
          <w:color w:val="000000"/>
          <w:spacing w:val="0"/>
          <w:sz w:val="31"/>
          <w:szCs w:val="31"/>
          <w:shd w:val="clear" w:fill="FFFFFF"/>
          <w:lang w:val="en-US" w:eastAsia="zh-CN"/>
        </w:rPr>
        <w:t>妇幼保健计划生育服务中心</w:t>
      </w:r>
      <w:r>
        <w:rPr>
          <w:rFonts w:ascii="宋体" w:hAnsi="宋体" w:eastAsia="宋体" w:cs="宋体"/>
          <w:i w:val="0"/>
          <w:iCs w:val="0"/>
          <w:caps w:val="0"/>
          <w:color w:val="000000"/>
          <w:spacing w:val="0"/>
          <w:sz w:val="31"/>
          <w:szCs w:val="31"/>
          <w:shd w:val="clear" w:fill="FFFFFF"/>
        </w:rPr>
        <w:t>2</w:t>
      </w:r>
      <w:r>
        <w:rPr>
          <w:i w:val="0"/>
          <w:iCs w:val="0"/>
          <w:caps w:val="0"/>
          <w:color w:val="000000"/>
          <w:spacing w:val="0"/>
          <w:sz w:val="31"/>
          <w:szCs w:val="31"/>
          <w:shd w:val="clear" w:fill="FFFFFF"/>
        </w:rPr>
        <w:t>02</w:t>
      </w:r>
      <w:r>
        <w:rPr>
          <w:rFonts w:hint="eastAsia"/>
          <w:i w:val="0"/>
          <w:iCs w:val="0"/>
          <w:caps w:val="0"/>
          <w:color w:val="000000"/>
          <w:spacing w:val="0"/>
          <w:sz w:val="31"/>
          <w:szCs w:val="31"/>
          <w:shd w:val="clear" w:fill="FFFFFF"/>
          <w:lang w:val="en-US" w:eastAsia="zh-CN"/>
        </w:rPr>
        <w:t>2</w:t>
      </w:r>
      <w:r>
        <w:rPr>
          <w:i w:val="0"/>
          <w:iCs w:val="0"/>
          <w:caps w:val="0"/>
          <w:color w:val="000000"/>
          <w:spacing w:val="0"/>
          <w:sz w:val="31"/>
          <w:szCs w:val="31"/>
          <w:shd w:val="clear" w:fill="FFFFFF"/>
        </w:rPr>
        <w:t>年度部门整体支出绩效评价报</w:t>
      </w:r>
      <w:r>
        <w:rPr>
          <w:rFonts w:hint="eastAsia"/>
          <w:i w:val="0"/>
          <w:iCs w:val="0"/>
          <w:caps w:val="0"/>
          <w:color w:val="000000"/>
          <w:spacing w:val="0"/>
          <w:sz w:val="31"/>
          <w:szCs w:val="31"/>
          <w:shd w:val="clear" w:fill="FFFFFF"/>
          <w:lang w:val="en-US" w:eastAsia="zh-CN"/>
        </w:rPr>
        <w:t>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sz w:val="32"/>
          <w:szCs w:val="32"/>
        </w:rPr>
      </w:pPr>
      <w:r>
        <w:rPr>
          <w:rFonts w:hint="eastAsia" w:ascii="宋体" w:hAnsi="宋体" w:eastAsia="宋体" w:cs="宋体"/>
          <w:b/>
          <w:bCs/>
          <w:i w:val="0"/>
          <w:iCs w:val="0"/>
          <w:caps w:val="0"/>
          <w:color w:val="444444"/>
          <w:spacing w:val="0"/>
          <w:sz w:val="32"/>
          <w:szCs w:val="32"/>
          <w:shd w:val="clear" w:fill="FFFFFF"/>
        </w:rPr>
        <w:t>一、部门基本情况</w:t>
      </w:r>
    </w:p>
    <w:p>
      <w:p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（一）机构设置及人员情况</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1、基本情况</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北塔区妇幼保健计划生育服务中心是全额拨款事业单位，贯彻执行党和国家、省、市、区关于妇幼保健工作法律法规和方针政策，负责全区妇女儿童保健具体工作的管理和落实。</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2、机构情况</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我单位内设4大部，3个功能科室，全部纳入事业单位2022年部门预算编制范围，单独公开2022年部门预算编制情况。内设科室分别是孕产保健部，妇女保健部，儿童保健部，计划生育部，健康教育科，出生医学证明管理科，信息管理科。</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3、人员情况   </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北塔区妇幼保健计划生育服务中心事业编制12名，在岗职工11人。设主任1名，实际人数11人，离退休7人。</w:t>
      </w:r>
    </w:p>
    <w:p>
      <w:pPr>
        <w:numPr>
          <w:ilvl w:val="0"/>
          <w:numId w:val="1"/>
        </w:num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主要工作职责</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（1）制定并落实本地区妇幼卫生事业发展规划，包括机构设置、队伍建设以及业务工作开展目标</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（2)根据国家卫生政策，结合本地区妇幼卫生工作现状，制定并落实妇幼卫生工作计划及项目实施方案；</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（3)与有关部门共同组织本地区内各级妇幼保健专业机构与综合医院妇产科、儿科开展有关妇幼医疗保健服务、教学及科学研究工作，并督促检查其质量.</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（4）制定并落实本地区妇幼卫生人才培训规划；</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（5）为妇女儿童提供妇幼保健服务，同时受卫生健康主管部门委托承担辖区妇幼保健服务业务管理</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6）掌握本辖区妇女儿童健康状况及影响因素，组织对辖区内提供妇幼保健和计划生育技术服务的各级各类医疗卫生机构进行技术指导、业务培训、质量控制和监督评价，重点加强对基层医疗卫生机构的指导和考核；</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7）贯彻落实《母婴保健法》，依法开展受卫生健康主管部门委托管理的《出生医学证明》办理工作、母婴保健技术机构和人才准入组织开展辖区孕产妇健康管理、0-6岁儿童健康管理、0-3岁儿童中医药服务管理、0-6岁儿童视力检测服务、预防艾滋病、梅毒、乙肝母婴阻断传播等公共卫生服务项目</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（8）贯彻落实《计划生育服务条例》，依法开展受卫生健康主管部门委托管理的病残儿鉴定及计划生育手术并发症鉴定工作，开展精准扶贫帮助困难家庭解决生育问题“爱心助孕”活动。</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（9）组织开展辖区妇幼卫生健康教育、适宜保健技术开发和推广，负责辖区托幼机构卫生保健工作业务指导 </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（10）组织开展辖区免费婚前医学检查、免费叶酸增补、免费孕前优生健康检查、免费孕中期产前筛查等出生缺陷防治措施</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（11）继续开展辖区免费计划生育基本技术服务、免费药具发放、妇女“两癌”筛查等妇女保健服务</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（12）统筹管理及质控辖区妇幼健康服务数据，确保数据真实性、规范性上报，及时完成上级交办的其他任务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b/>
          <w:bCs/>
          <w:i w:val="0"/>
          <w:iCs w:val="0"/>
          <w:caps w:val="0"/>
          <w:color w:val="444444"/>
          <w:spacing w:val="0"/>
          <w:sz w:val="32"/>
          <w:szCs w:val="32"/>
          <w:shd w:val="clear" w:fill="FFFFFF"/>
        </w:rPr>
      </w:pPr>
      <w:r>
        <w:rPr>
          <w:rFonts w:hint="eastAsia" w:ascii="宋体" w:hAnsi="宋体" w:eastAsia="宋体" w:cs="宋体"/>
          <w:b/>
          <w:bCs/>
          <w:i w:val="0"/>
          <w:iCs w:val="0"/>
          <w:caps w:val="0"/>
          <w:color w:val="444444"/>
          <w:spacing w:val="0"/>
          <w:sz w:val="32"/>
          <w:szCs w:val="32"/>
          <w:shd w:val="clear" w:fill="FFFFFF"/>
        </w:rPr>
        <w:t>二、部门整体支出管理及使用情况</w:t>
      </w:r>
    </w:p>
    <w:p>
      <w:p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（一）预算执行情况</w:t>
      </w:r>
    </w:p>
    <w:p>
      <w:pPr>
        <w:spacing w:line="480" w:lineRule="auto"/>
        <w:ind w:firstLine="560" w:firstLineChars="200"/>
        <w:jc w:val="left"/>
        <w:rPr>
          <w:rFonts w:hint="eastAsia"/>
          <w:highlight w:val="none"/>
          <w:lang w:val="en-US" w:eastAsia="zh-CN"/>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2022年度北塔区妇幼保健计划生育服务中心支出年初预算安排为140.94万元，本年实际支出为258.71万元，预算执行率为183.56%，主要为疫情防控支出。</w:t>
      </w: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（二）基本支出情况</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2022年度</w:t>
      </w:r>
      <w:r>
        <w:rPr>
          <w:rFonts w:hint="eastAsia" w:ascii="宋体" w:hAnsi="宋体" w:eastAsia="宋体" w:cs="宋体"/>
          <w:i w:val="0"/>
          <w:iCs w:val="0"/>
          <w:caps w:val="0"/>
          <w:color w:val="444444"/>
          <w:spacing w:val="0"/>
          <w:kern w:val="2"/>
          <w:sz w:val="28"/>
          <w:szCs w:val="28"/>
          <w:shd w:val="clear" w:fill="FFFFFF"/>
          <w:lang w:val="en-US" w:eastAsia="zh-CN" w:bidi="ar-SA"/>
        </w:rPr>
        <w:t>北塔</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区妇幼保健计划生育服务中心基本支出年初预算安排为133.24万元，本年实际支出为177.85万元，主要为人员经费支出和公用经费支出，其中人员经费支出</w:t>
      </w:r>
      <w:r>
        <w:rPr>
          <w:rFonts w:hint="eastAsia" w:ascii="宋体" w:hAnsi="宋体" w:cs="宋体"/>
          <w:color w:val="232323"/>
          <w:kern w:val="0"/>
          <w:sz w:val="24"/>
          <w:szCs w:val="24"/>
          <w:highlight w:val="none"/>
          <w:shd w:val="clear" w:color="auto" w:fill="FFFFFF"/>
          <w:lang w:val="en-US" w:eastAsia="zh-CN" w:bidi="ar"/>
        </w:rPr>
        <w:t>145.52</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万元、公用经费支出</w:t>
      </w:r>
      <w:r>
        <w:rPr>
          <w:rFonts w:hint="eastAsia" w:ascii="宋体" w:hAnsi="宋体" w:cs="宋体"/>
          <w:color w:val="232323"/>
          <w:kern w:val="0"/>
          <w:sz w:val="24"/>
          <w:szCs w:val="24"/>
          <w:highlight w:val="none"/>
          <w:shd w:val="clear" w:color="auto" w:fill="FFFFFF"/>
          <w:lang w:val="en-US" w:eastAsia="zh-CN" w:bidi="ar"/>
        </w:rPr>
        <w:t>32.33</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万元。</w:t>
      </w: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（三）项目支出情况</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right="0" w:rightChars="0" w:firstLine="560" w:firstLineChars="200"/>
        <w:jc w:val="both"/>
        <w:rPr>
          <w:rFonts w:hint="default"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本年项目支出年初预算安排为21万元，本年实际支出为0万元，</w:t>
      </w:r>
      <w:bookmarkStart w:id="0" w:name="_GoBack"/>
      <w:r>
        <w:rPr>
          <w:rFonts w:hint="eastAsia" w:ascii="宋体" w:hAnsi="宋体" w:eastAsia="宋体" w:cs="宋体"/>
          <w:i w:val="0"/>
          <w:iCs w:val="0"/>
          <w:caps w:val="0"/>
          <w:color w:val="444444"/>
          <w:spacing w:val="0"/>
          <w:kern w:val="2"/>
          <w:sz w:val="28"/>
          <w:szCs w:val="28"/>
          <w:highlight w:val="none"/>
          <w:shd w:val="clear" w:fill="FFFFFF"/>
          <w:lang w:val="en-US" w:eastAsia="zh-CN" w:bidi="ar-SA"/>
        </w:rPr>
        <w:t>因未设置专项账目处理，实际支出21万。</w:t>
      </w:r>
    </w:p>
    <w:bookmarkEnd w:id="0"/>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b/>
          <w:bCs/>
          <w:i w:val="0"/>
          <w:iCs w:val="0"/>
          <w:caps w:val="0"/>
          <w:color w:val="444444"/>
          <w:spacing w:val="0"/>
          <w:sz w:val="32"/>
          <w:szCs w:val="32"/>
          <w:highlight w:val="none"/>
          <w:shd w:val="clear" w:fill="FFFFFF"/>
        </w:rPr>
      </w:pPr>
      <w:r>
        <w:rPr>
          <w:rFonts w:hint="eastAsia" w:ascii="宋体" w:hAnsi="宋体" w:eastAsia="宋体" w:cs="宋体"/>
          <w:b/>
          <w:bCs/>
          <w:i w:val="0"/>
          <w:iCs w:val="0"/>
          <w:caps w:val="0"/>
          <w:color w:val="444444"/>
          <w:spacing w:val="0"/>
          <w:sz w:val="32"/>
          <w:szCs w:val="32"/>
          <w:highlight w:val="none"/>
          <w:shd w:val="clear" w:fill="FFFFFF"/>
          <w:lang w:val="en-US" w:eastAsia="zh-CN"/>
        </w:rPr>
        <w:t>三</w:t>
      </w:r>
      <w:r>
        <w:rPr>
          <w:rFonts w:hint="eastAsia" w:ascii="宋体" w:hAnsi="宋体" w:eastAsia="宋体" w:cs="宋体"/>
          <w:b/>
          <w:bCs/>
          <w:i w:val="0"/>
          <w:iCs w:val="0"/>
          <w:caps w:val="0"/>
          <w:color w:val="444444"/>
          <w:spacing w:val="0"/>
          <w:sz w:val="32"/>
          <w:szCs w:val="32"/>
          <w:highlight w:val="none"/>
          <w:shd w:val="clear" w:fill="FFFFFF"/>
        </w:rPr>
        <w:t>、部门整体支出绩效情况</w:t>
      </w: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（一）主要绩效指标完成情况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b/>
          <w:bCs/>
          <w:i w:val="0"/>
          <w:iCs w:val="0"/>
          <w:caps w:val="0"/>
          <w:color w:val="444444"/>
          <w:spacing w:val="0"/>
          <w:sz w:val="32"/>
          <w:szCs w:val="32"/>
          <w:highlight w:val="none"/>
          <w:shd w:val="clear" w:fill="FFFFFF"/>
        </w:rPr>
        <w:t>1、预算执行情况。</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⑴2022年度北塔区妇幼保健计划生育服务中心支出年初预算安排为140.94万元，本年实际支出为258.71万元，预算执行率为183.56%，当年预算有超支117.77万元；⑵公用经费预算13.3万元，实际支出32.33万元，公用经费控制率为243.08%；、（3）“三公经费”年初预算安排0.8万元，实际支出0.09万元，“三公经费”控制率为11.25%。（4）政府采购年初预算0万元，实际政府采购金额0万元，政府采购执行率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b/>
          <w:bCs/>
          <w:i w:val="0"/>
          <w:iCs w:val="0"/>
          <w:caps w:val="0"/>
          <w:color w:val="444444"/>
          <w:spacing w:val="0"/>
          <w:sz w:val="32"/>
          <w:szCs w:val="32"/>
          <w:highlight w:val="none"/>
          <w:shd w:val="clear" w:fill="FFFFFF"/>
        </w:rPr>
        <w:t>2、预决算信息公开情况。</w:t>
      </w:r>
      <w:r>
        <w:rPr>
          <w:rFonts w:hint="eastAsia" w:ascii="宋体" w:hAnsi="宋体" w:eastAsia="宋体" w:cs="宋体"/>
          <w:i w:val="0"/>
          <w:iCs w:val="0"/>
          <w:caps w:val="0"/>
          <w:color w:val="444444"/>
          <w:spacing w:val="0"/>
          <w:kern w:val="2"/>
          <w:sz w:val="28"/>
          <w:szCs w:val="28"/>
          <w:shd w:val="clear" w:fill="FFFFFF"/>
          <w:lang w:val="en-US" w:eastAsia="zh-CN" w:bidi="ar-SA"/>
        </w:rPr>
        <w:t>北塔区</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妇幼保健计划生育服务中心及时在区政</w:t>
      </w:r>
      <w:r>
        <w:rPr>
          <w:rFonts w:hint="eastAsia" w:ascii="宋体" w:hAnsi="宋体" w:eastAsia="宋体" w:cs="宋体"/>
          <w:i w:val="0"/>
          <w:iCs w:val="0"/>
          <w:caps w:val="0"/>
          <w:color w:val="444444"/>
          <w:spacing w:val="0"/>
          <w:kern w:val="2"/>
          <w:sz w:val="28"/>
          <w:szCs w:val="28"/>
          <w:shd w:val="clear" w:fill="FFFFFF"/>
          <w:lang w:val="en-US" w:eastAsia="zh-CN" w:bidi="ar-SA"/>
        </w:rPr>
        <w:t>府统一平台公开了部门预算、决算和绩效目标、绩效自评报告、“三公经费”等信息，接受群众和社会监督。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b/>
          <w:bCs/>
          <w:i w:val="0"/>
          <w:iCs w:val="0"/>
          <w:caps w:val="0"/>
          <w:color w:val="444444"/>
          <w:spacing w:val="0"/>
          <w:sz w:val="32"/>
          <w:szCs w:val="32"/>
          <w:shd w:val="clear" w:fill="FFFFFF"/>
          <w:lang w:val="en-US" w:eastAsia="zh-CN"/>
        </w:rPr>
        <w:t>3</w:t>
      </w:r>
      <w:r>
        <w:rPr>
          <w:rFonts w:hint="eastAsia" w:ascii="宋体" w:hAnsi="宋体" w:eastAsia="宋体" w:cs="宋体"/>
          <w:b/>
          <w:bCs/>
          <w:i w:val="0"/>
          <w:iCs w:val="0"/>
          <w:caps w:val="0"/>
          <w:color w:val="444444"/>
          <w:spacing w:val="0"/>
          <w:sz w:val="32"/>
          <w:szCs w:val="32"/>
          <w:shd w:val="clear" w:fill="FFFFFF"/>
        </w:rPr>
        <w:t>、资产管理情况。</w:t>
      </w:r>
      <w:r>
        <w:rPr>
          <w:rFonts w:hint="eastAsia" w:ascii="宋体" w:hAnsi="宋体" w:eastAsia="宋体" w:cs="宋体"/>
          <w:i w:val="0"/>
          <w:iCs w:val="0"/>
          <w:caps w:val="0"/>
          <w:color w:val="444444"/>
          <w:spacing w:val="0"/>
          <w:kern w:val="2"/>
          <w:sz w:val="28"/>
          <w:szCs w:val="28"/>
          <w:shd w:val="clear" w:fill="FFFFFF"/>
          <w:lang w:val="en-US" w:eastAsia="zh-CN" w:bidi="ar-SA"/>
        </w:rPr>
        <w:t>截止2022年12月31日，北塔区妇幼保健计划生育服务中心拥有各类资产总额17.37万元，其中流动资产0.01万元，固定资</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产17.36万元。单位为加强资产管理，内部制定了资产管理制度，</w:t>
      </w:r>
      <w:r>
        <w:rPr>
          <w:rFonts w:hint="eastAsia" w:ascii="宋体" w:hAnsi="宋体" w:eastAsia="宋体" w:cs="宋体"/>
          <w:i w:val="0"/>
          <w:iCs w:val="0"/>
          <w:caps w:val="0"/>
          <w:color w:val="444444"/>
          <w:spacing w:val="0"/>
          <w:kern w:val="2"/>
          <w:sz w:val="28"/>
          <w:szCs w:val="28"/>
          <w:shd w:val="clear" w:fill="FFFFFF"/>
          <w:lang w:val="en-US" w:eastAsia="zh-CN" w:bidi="ar-SA"/>
        </w:rPr>
        <w:t>对各类资产的购置、保管、使用、报废、处置等方面都作出了明确的规定，制度要求所有办公设备（含办公用品）的添置，先由各委室提出申请，经业务分管领导审核同意后，再由办公室及时采购并建立固定资产实物登记台账，工作人员异动，必须及时办理固定资产移交手续，不得侵占和擅自带走，各委室不得擅自购买任何办公用品和设备，否则不予报销。</w:t>
      </w:r>
    </w:p>
    <w:p>
      <w:pPr>
        <w:spacing w:line="72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（二）职责覆行和主要绩效情况</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（一）基本支出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2022年，我单位基本支出177.85万元，主要用于保障人员的工资和福利支出、正常办公所需的商品和服务支出及对个人和家庭的补助支出。按支出经济分类：其中工资福利支出139.49万元，占基本支出的78.43%；商品服务支出 32.12万元，占基本支出的18.06%；对个人家庭补助支出6.03万元，占基本支出的3.39%；资本性支出0.21万元，占基本支出的0.12%.</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（二）“三公”经费决算说明</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公务接待费严格按照《邵阳市北塔区党政机关公务接待管理实施细则》执行，厉行节约，招待费实行先申报后招待，接待经费凭据报销，报销凭证包括财务票据（发票）、公务卡结算单、派出单位公务接待函、接待清单、接待审批单，接待清单与派出单位公务接待公函一致，一起作为财务报销凭证。</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2022年我局“三公”经费决算支出数0.09万元。其中：因公出国(境)费0万元、公务接待费0.09万元（</w:t>
      </w:r>
      <w:r>
        <w:rPr>
          <w:rFonts w:hint="eastAsia" w:ascii="宋体" w:hAnsi="宋体" w:eastAsia="宋体" w:cs="宋体"/>
          <w:sz w:val="24"/>
          <w:szCs w:val="24"/>
        </w:rPr>
        <w:t>同比20</w:t>
      </w:r>
      <w:r>
        <w:rPr>
          <w:rFonts w:hint="eastAsia" w:ascii="宋体" w:hAnsi="宋体" w:eastAsia="宋体" w:cs="宋体"/>
          <w:sz w:val="24"/>
          <w:szCs w:val="24"/>
          <w:lang w:val="en-US" w:eastAsia="zh-CN"/>
        </w:rPr>
        <w:t>21</w:t>
      </w:r>
      <w:r>
        <w:rPr>
          <w:rFonts w:hint="eastAsia" w:ascii="宋体" w:hAnsi="宋体" w:eastAsia="宋体" w:cs="宋体"/>
          <w:sz w:val="24"/>
          <w:szCs w:val="24"/>
        </w:rPr>
        <w:t>年</w:t>
      </w:r>
      <w:r>
        <w:rPr>
          <w:rFonts w:hint="eastAsia" w:ascii="宋体" w:hAnsi="宋体" w:eastAsia="宋体" w:cs="宋体"/>
          <w:sz w:val="24"/>
          <w:szCs w:val="24"/>
          <w:lang w:val="en-US" w:eastAsia="zh-CN"/>
        </w:rPr>
        <w:t>0.05</w:t>
      </w:r>
      <w:r>
        <w:rPr>
          <w:rFonts w:hint="eastAsia" w:ascii="宋体" w:hAnsi="宋体" w:eastAsia="宋体" w:cs="宋体"/>
          <w:sz w:val="24"/>
          <w:szCs w:val="24"/>
        </w:rPr>
        <w:t>万元</w:t>
      </w:r>
      <w:r>
        <w:rPr>
          <w:rFonts w:hint="eastAsia" w:ascii="宋体" w:hAnsi="宋体" w:eastAsia="宋体" w:cs="宋体"/>
          <w:sz w:val="24"/>
          <w:szCs w:val="24"/>
          <w:lang w:eastAsia="zh-CN"/>
        </w:rPr>
        <w:t>增加</w:t>
      </w:r>
      <w:r>
        <w:rPr>
          <w:rFonts w:hint="eastAsia" w:ascii="宋体" w:hAnsi="宋体" w:eastAsia="宋体" w:cs="宋体"/>
          <w:sz w:val="24"/>
          <w:szCs w:val="24"/>
          <w:lang w:val="en-US" w:eastAsia="zh-CN"/>
        </w:rPr>
        <w:t>0.04</w:t>
      </w:r>
      <w:r>
        <w:rPr>
          <w:rFonts w:hint="eastAsia" w:ascii="宋体" w:hAnsi="宋体" w:eastAsia="宋体" w:cs="宋体"/>
          <w:sz w:val="24"/>
          <w:szCs w:val="24"/>
        </w:rPr>
        <w:t>万元</w:t>
      </w:r>
      <w:r>
        <w:rPr>
          <w:rFonts w:hint="eastAsia" w:ascii="宋体" w:hAnsi="宋体" w:eastAsia="宋体" w:cs="宋体"/>
          <w:i w:val="0"/>
          <w:iCs w:val="0"/>
          <w:caps w:val="0"/>
          <w:color w:val="444444"/>
          <w:spacing w:val="0"/>
          <w:kern w:val="2"/>
          <w:sz w:val="28"/>
          <w:szCs w:val="28"/>
          <w:shd w:val="clear" w:fill="FFFFFF"/>
          <w:lang w:val="en-US" w:eastAsia="zh-CN" w:bidi="ar-SA"/>
        </w:rPr>
        <w:t>）、公务用车费0万元。</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（三）基本支出的公用经费情况</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2022年我妇幼中心决算支出日常公用经费32.33万元。主要包括：办公费、差旅费、招待费、水电费、维修费、租赁费、会议费、培训费等支出。具体明细如下（单位：万元）：</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25"/>
        <w:gridCol w:w="258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b/>
                <w:bCs/>
                <w:color w:val="232323"/>
                <w:kern w:val="0"/>
                <w:sz w:val="24"/>
                <w:szCs w:val="24"/>
                <w:shd w:val="clear" w:color="auto" w:fill="FFFFFF"/>
                <w:lang w:bidi="ar"/>
              </w:rPr>
            </w:pPr>
            <w:r>
              <w:rPr>
                <w:rFonts w:hint="eastAsia" w:ascii="宋体" w:hAnsi="宋体" w:eastAsia="宋体" w:cs="宋体"/>
                <w:b/>
                <w:bCs/>
                <w:color w:val="232323"/>
                <w:kern w:val="0"/>
                <w:sz w:val="24"/>
                <w:szCs w:val="24"/>
                <w:shd w:val="clear" w:color="auto" w:fill="FFFFFF"/>
                <w:lang w:bidi="ar"/>
              </w:rPr>
              <w:t>项目</w:t>
            </w:r>
          </w:p>
        </w:tc>
        <w:tc>
          <w:tcPr>
            <w:tcW w:w="2580" w:type="dxa"/>
            <w:noWrap w:val="0"/>
            <w:vAlign w:val="center"/>
          </w:tcPr>
          <w:p>
            <w:pPr>
              <w:widowControl/>
              <w:jc w:val="center"/>
              <w:rPr>
                <w:rFonts w:hint="eastAsia" w:ascii="宋体" w:hAnsi="宋体" w:eastAsia="宋体" w:cs="宋体"/>
                <w:b/>
                <w:bCs/>
                <w:color w:val="232323"/>
                <w:kern w:val="0"/>
                <w:sz w:val="24"/>
                <w:szCs w:val="24"/>
                <w:shd w:val="clear" w:color="auto" w:fill="FFFFFF"/>
                <w:lang w:bidi="ar"/>
              </w:rPr>
            </w:pPr>
            <w:r>
              <w:rPr>
                <w:rFonts w:hint="eastAsia" w:ascii="宋体" w:hAnsi="宋体" w:eastAsia="宋体" w:cs="宋体"/>
                <w:b/>
                <w:bCs/>
                <w:color w:val="232323"/>
                <w:kern w:val="0"/>
                <w:sz w:val="24"/>
                <w:szCs w:val="24"/>
                <w:shd w:val="clear" w:color="auto" w:fill="FFFFFF"/>
                <w:lang w:bidi="ar"/>
              </w:rPr>
              <w:t>决算支出</w:t>
            </w:r>
          </w:p>
        </w:tc>
        <w:tc>
          <w:tcPr>
            <w:tcW w:w="2340" w:type="dxa"/>
            <w:noWrap w:val="0"/>
            <w:vAlign w:val="center"/>
          </w:tcPr>
          <w:p>
            <w:pPr>
              <w:widowControl/>
              <w:jc w:val="center"/>
              <w:rPr>
                <w:rFonts w:hint="eastAsia" w:ascii="宋体" w:hAnsi="宋体" w:eastAsia="宋体" w:cs="宋体"/>
                <w:b/>
                <w:bCs/>
                <w:color w:val="232323"/>
                <w:kern w:val="0"/>
                <w:sz w:val="24"/>
                <w:szCs w:val="24"/>
                <w:shd w:val="clear" w:color="auto" w:fill="FFFFFF"/>
                <w:lang w:bidi="ar"/>
              </w:rPr>
            </w:pPr>
            <w:r>
              <w:rPr>
                <w:rFonts w:hint="eastAsia" w:ascii="宋体" w:hAnsi="宋体" w:eastAsia="宋体" w:cs="宋体"/>
                <w:b/>
                <w:bCs/>
                <w:color w:val="232323"/>
                <w:kern w:val="0"/>
                <w:sz w:val="24"/>
                <w:szCs w:val="24"/>
                <w:shd w:val="clear" w:color="auto" w:fill="FFFFFF"/>
                <w:lang w:bidi="ar"/>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办公费</w:t>
            </w:r>
          </w:p>
        </w:tc>
        <w:tc>
          <w:tcPr>
            <w:tcW w:w="2580" w:type="dxa"/>
            <w:noWrap w:val="0"/>
            <w:vAlign w:val="center"/>
          </w:tcPr>
          <w:p>
            <w:pPr>
              <w:widowControl/>
              <w:jc w:val="center"/>
              <w:rPr>
                <w:rFonts w:hint="default" w:ascii="宋体" w:hAnsi="宋体" w:eastAsia="宋体" w:cs="宋体"/>
                <w:color w:val="232323"/>
                <w:kern w:val="0"/>
                <w:sz w:val="24"/>
                <w:szCs w:val="24"/>
                <w:shd w:val="clear" w:color="auto" w:fill="FFFFFF"/>
                <w:lang w:val="en-US" w:bidi="ar"/>
              </w:rPr>
            </w:pPr>
            <w:r>
              <w:rPr>
                <w:rFonts w:hint="eastAsia" w:ascii="宋体" w:hAnsi="宋体" w:eastAsia="宋体" w:cs="宋体"/>
                <w:color w:val="232323"/>
                <w:kern w:val="0"/>
                <w:sz w:val="24"/>
                <w:szCs w:val="24"/>
                <w:shd w:val="clear" w:color="auto" w:fill="FFFFFF"/>
                <w:lang w:val="en-US" w:eastAsia="zh-CN" w:bidi="ar"/>
              </w:rPr>
              <w:t>2.22</w:t>
            </w:r>
          </w:p>
        </w:tc>
        <w:tc>
          <w:tcPr>
            <w:tcW w:w="234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印刷费</w:t>
            </w:r>
          </w:p>
        </w:tc>
        <w:tc>
          <w:tcPr>
            <w:tcW w:w="2580" w:type="dxa"/>
            <w:noWrap w:val="0"/>
            <w:vAlign w:val="center"/>
          </w:tcPr>
          <w:p>
            <w:pPr>
              <w:widowControl/>
              <w:jc w:val="center"/>
              <w:rPr>
                <w:rFonts w:hint="default" w:ascii="宋体" w:hAnsi="宋体" w:eastAsia="宋体" w:cs="宋体"/>
                <w:color w:val="232323"/>
                <w:kern w:val="0"/>
                <w:sz w:val="24"/>
                <w:szCs w:val="24"/>
                <w:shd w:val="clear" w:color="auto" w:fill="FFFFFF"/>
                <w:lang w:val="en-US" w:bidi="ar"/>
              </w:rPr>
            </w:pPr>
            <w:r>
              <w:rPr>
                <w:rFonts w:hint="eastAsia" w:ascii="宋体" w:hAnsi="宋体" w:eastAsia="宋体" w:cs="宋体"/>
                <w:color w:val="232323"/>
                <w:kern w:val="0"/>
                <w:sz w:val="24"/>
                <w:szCs w:val="24"/>
                <w:shd w:val="clear" w:color="auto" w:fill="FFFFFF"/>
                <w:lang w:val="en-US" w:eastAsia="zh-CN" w:bidi="ar"/>
              </w:rPr>
              <w:t>2.3</w:t>
            </w:r>
          </w:p>
        </w:tc>
        <w:tc>
          <w:tcPr>
            <w:tcW w:w="234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水费</w:t>
            </w:r>
          </w:p>
        </w:tc>
        <w:tc>
          <w:tcPr>
            <w:tcW w:w="2580"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0</w:t>
            </w:r>
          </w:p>
        </w:tc>
        <w:tc>
          <w:tcPr>
            <w:tcW w:w="2340" w:type="dxa"/>
            <w:noWrap w:val="0"/>
            <w:vAlign w:val="center"/>
          </w:tcPr>
          <w:p>
            <w:pPr>
              <w:widowControl/>
              <w:jc w:val="center"/>
              <w:rPr>
                <w:rFonts w:hint="eastAsia"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电费</w:t>
            </w:r>
          </w:p>
        </w:tc>
        <w:tc>
          <w:tcPr>
            <w:tcW w:w="2580"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1</w:t>
            </w:r>
          </w:p>
        </w:tc>
        <w:tc>
          <w:tcPr>
            <w:tcW w:w="234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邮电费</w:t>
            </w:r>
          </w:p>
        </w:tc>
        <w:tc>
          <w:tcPr>
            <w:tcW w:w="2580"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bidi="ar"/>
              </w:rPr>
              <w:t>0</w:t>
            </w:r>
          </w:p>
        </w:tc>
        <w:tc>
          <w:tcPr>
            <w:tcW w:w="2340" w:type="dxa"/>
            <w:noWrap w:val="0"/>
            <w:vAlign w:val="center"/>
          </w:tcPr>
          <w:p>
            <w:pPr>
              <w:widowControl/>
              <w:jc w:val="center"/>
              <w:rPr>
                <w:rFonts w:hint="eastAsia"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物业管理费</w:t>
            </w:r>
          </w:p>
        </w:tc>
        <w:tc>
          <w:tcPr>
            <w:tcW w:w="2580"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bidi="ar"/>
              </w:rPr>
              <w:t>0</w:t>
            </w:r>
          </w:p>
        </w:tc>
        <w:tc>
          <w:tcPr>
            <w:tcW w:w="2340" w:type="dxa"/>
            <w:noWrap w:val="0"/>
            <w:vAlign w:val="center"/>
          </w:tcPr>
          <w:p>
            <w:pPr>
              <w:widowControl/>
              <w:jc w:val="center"/>
              <w:rPr>
                <w:rFonts w:hint="eastAsia"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差旅费</w:t>
            </w:r>
          </w:p>
        </w:tc>
        <w:tc>
          <w:tcPr>
            <w:tcW w:w="2580" w:type="dxa"/>
            <w:noWrap w:val="0"/>
            <w:vAlign w:val="center"/>
          </w:tcPr>
          <w:p>
            <w:pPr>
              <w:widowControl/>
              <w:jc w:val="center"/>
              <w:rPr>
                <w:rFonts w:hint="eastAsia"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0</w:t>
            </w:r>
          </w:p>
        </w:tc>
        <w:tc>
          <w:tcPr>
            <w:tcW w:w="2340" w:type="dxa"/>
            <w:noWrap w:val="0"/>
            <w:vAlign w:val="center"/>
          </w:tcPr>
          <w:p>
            <w:pPr>
              <w:widowControl/>
              <w:jc w:val="center"/>
              <w:rPr>
                <w:rFonts w:hint="eastAsia"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维修（护）费</w:t>
            </w:r>
          </w:p>
        </w:tc>
        <w:tc>
          <w:tcPr>
            <w:tcW w:w="2580"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0</w:t>
            </w:r>
          </w:p>
        </w:tc>
        <w:tc>
          <w:tcPr>
            <w:tcW w:w="2340" w:type="dxa"/>
            <w:noWrap w:val="0"/>
            <w:vAlign w:val="center"/>
          </w:tcPr>
          <w:p>
            <w:pPr>
              <w:widowControl/>
              <w:jc w:val="center"/>
              <w:rPr>
                <w:rFonts w:hint="eastAsia"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租赁费</w:t>
            </w:r>
          </w:p>
        </w:tc>
        <w:tc>
          <w:tcPr>
            <w:tcW w:w="2580"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bidi="ar"/>
              </w:rPr>
              <w:t>0</w:t>
            </w:r>
          </w:p>
        </w:tc>
        <w:tc>
          <w:tcPr>
            <w:tcW w:w="2340" w:type="dxa"/>
            <w:noWrap w:val="0"/>
            <w:vAlign w:val="center"/>
          </w:tcPr>
          <w:p>
            <w:pPr>
              <w:widowControl/>
              <w:jc w:val="center"/>
              <w:rPr>
                <w:rFonts w:hint="eastAsia"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会议费</w:t>
            </w:r>
          </w:p>
        </w:tc>
        <w:tc>
          <w:tcPr>
            <w:tcW w:w="258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0</w:t>
            </w:r>
          </w:p>
        </w:tc>
        <w:tc>
          <w:tcPr>
            <w:tcW w:w="234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培训费</w:t>
            </w:r>
          </w:p>
        </w:tc>
        <w:tc>
          <w:tcPr>
            <w:tcW w:w="258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0.85</w:t>
            </w:r>
          </w:p>
        </w:tc>
        <w:tc>
          <w:tcPr>
            <w:tcW w:w="234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公务接待费</w:t>
            </w:r>
          </w:p>
        </w:tc>
        <w:tc>
          <w:tcPr>
            <w:tcW w:w="258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0.08</w:t>
            </w:r>
          </w:p>
        </w:tc>
        <w:tc>
          <w:tcPr>
            <w:tcW w:w="234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专用材料费</w:t>
            </w:r>
          </w:p>
        </w:tc>
        <w:tc>
          <w:tcPr>
            <w:tcW w:w="258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2.81</w:t>
            </w:r>
          </w:p>
        </w:tc>
        <w:tc>
          <w:tcPr>
            <w:tcW w:w="234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8.69%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劳务费</w:t>
            </w:r>
          </w:p>
        </w:tc>
        <w:tc>
          <w:tcPr>
            <w:tcW w:w="258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0.2</w:t>
            </w:r>
          </w:p>
        </w:tc>
        <w:tc>
          <w:tcPr>
            <w:tcW w:w="234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委托业务费</w:t>
            </w:r>
          </w:p>
        </w:tc>
        <w:tc>
          <w:tcPr>
            <w:tcW w:w="258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7.65</w:t>
            </w:r>
          </w:p>
        </w:tc>
        <w:tc>
          <w:tcPr>
            <w:tcW w:w="234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23.66%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工会经费</w:t>
            </w:r>
          </w:p>
        </w:tc>
        <w:tc>
          <w:tcPr>
            <w:tcW w:w="258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5.43</w:t>
            </w:r>
          </w:p>
        </w:tc>
        <w:tc>
          <w:tcPr>
            <w:tcW w:w="234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福利费</w:t>
            </w:r>
          </w:p>
        </w:tc>
        <w:tc>
          <w:tcPr>
            <w:tcW w:w="258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0</w:t>
            </w:r>
          </w:p>
        </w:tc>
        <w:tc>
          <w:tcPr>
            <w:tcW w:w="234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其他交通费用</w:t>
            </w:r>
          </w:p>
        </w:tc>
        <w:tc>
          <w:tcPr>
            <w:tcW w:w="258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6.78</w:t>
            </w:r>
          </w:p>
        </w:tc>
        <w:tc>
          <w:tcPr>
            <w:tcW w:w="234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20.97%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税金及附加费用</w:t>
            </w:r>
          </w:p>
        </w:tc>
        <w:tc>
          <w:tcPr>
            <w:tcW w:w="258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0</w:t>
            </w:r>
          </w:p>
        </w:tc>
        <w:tc>
          <w:tcPr>
            <w:tcW w:w="234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其他商品和服务支出</w:t>
            </w:r>
          </w:p>
        </w:tc>
        <w:tc>
          <w:tcPr>
            <w:tcW w:w="258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2.8</w:t>
            </w:r>
          </w:p>
        </w:tc>
        <w:tc>
          <w:tcPr>
            <w:tcW w:w="234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资本性支出</w:t>
            </w:r>
          </w:p>
        </w:tc>
        <w:tc>
          <w:tcPr>
            <w:tcW w:w="258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0.21</w:t>
            </w:r>
          </w:p>
        </w:tc>
        <w:tc>
          <w:tcPr>
            <w:tcW w:w="234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bidi="ar"/>
              </w:rPr>
              <w:t>合计</w:t>
            </w:r>
          </w:p>
        </w:tc>
        <w:tc>
          <w:tcPr>
            <w:tcW w:w="258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32.33</w:t>
            </w:r>
          </w:p>
        </w:tc>
        <w:tc>
          <w:tcPr>
            <w:tcW w:w="2340"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100%</w:t>
            </w:r>
          </w:p>
        </w:tc>
      </w:tr>
    </w:tbl>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为加强对预算资金的支出管理，我局财务实行统一核算，统一账户，统一管理。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（1）财务报账手续规范，报账凭证内容必须符合有关财经法规规定和票据管理要求。</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2）进一步规范资金使用，把好“支出关”。经费开支按预算执行，基本支出的日常财务管理工作由局机关财务实行统一核算和统一管理，做到不铺张浪费，努力做到使有限的经费保证机关日常工作的正常运转。</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（3）固定资产实行统一采购、保管。办公室负责对固定资产进行定期盘点、清理核对工作。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（4）财务管理规范：会计核算严格执行《新政府会计制度》，会计档案按规定要求整理立卷，装订成册。</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4"/>
          <w:szCs w:val="24"/>
        </w:rPr>
      </w:pPr>
      <w:r>
        <w:rPr>
          <w:rFonts w:hint="eastAsia" w:ascii="宋体" w:hAnsi="宋体" w:eastAsia="宋体" w:cs="宋体"/>
          <w:i w:val="0"/>
          <w:iCs w:val="0"/>
          <w:caps w:val="0"/>
          <w:color w:val="444444"/>
          <w:spacing w:val="0"/>
          <w:kern w:val="2"/>
          <w:sz w:val="28"/>
          <w:szCs w:val="28"/>
          <w:shd w:val="clear" w:fill="FFFFFF"/>
          <w:lang w:val="en-US" w:eastAsia="zh-CN" w:bidi="ar-SA"/>
        </w:rPr>
        <w:t>（5）进一步推进预决算等重要信息的公开透明。2022年度北塔区卫生计生综合监督执法局按时按要求在政务网站上公开了部门预算、决算报表的相关信息。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643" w:firstLineChars="200"/>
        <w:jc w:val="both"/>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四、存在的问题及原因分析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560" w:firstLineChars="200"/>
        <w:jc w:val="both"/>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i w:val="0"/>
          <w:iCs w:val="0"/>
          <w:caps w:val="0"/>
          <w:color w:val="444444"/>
          <w:spacing w:val="0"/>
          <w:kern w:val="2"/>
          <w:sz w:val="28"/>
          <w:szCs w:val="28"/>
          <w:shd w:val="clear" w:fill="FFFFFF"/>
          <w:lang w:val="en-US" w:eastAsia="zh-CN" w:bidi="ar-SA"/>
        </w:rPr>
        <w:t>一是预算安排经费不够精准，使一些费用明细项实际开支时存在超支或节余的问题，导致费用调剂使用金额较大。二是专项资金监管力度不够，没有制定出高质量的专项资金考核指标。三是近两年由于新冠肺炎疫情的影响，使极个别项目实施进展缓慢。今年我们会进一步加强对各项目的督导和管理，力争每个项目都在规定时间内高质高效的完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五、改进措施及有关建议</w:t>
      </w:r>
    </w:p>
    <w:p>
      <w:pPr>
        <w:pStyle w:val="8"/>
        <w:ind w:firstLine="560" w:firstLineChars="200"/>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1、加强资金管理力度，科学编制预算，提高预算安排的准确性。</w:t>
      </w:r>
    </w:p>
    <w:p>
      <w:pPr>
        <w:pStyle w:val="8"/>
        <w:ind w:firstLine="560" w:firstLineChars="200"/>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2、要建立健全科学合理的绩效评价指标体系，进一步完善部门绩效评价的管理制度。</w:t>
      </w:r>
    </w:p>
    <w:p>
      <w:pPr>
        <w:pStyle w:val="8"/>
        <w:ind w:firstLine="560" w:firstLineChars="200"/>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3、加大对专项资金的监管力度，切实提高专项资金的使用效益。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8C2C65"/>
    <w:multiLevelType w:val="singleLevel"/>
    <w:tmpl w:val="BA8C2C65"/>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BhN2NiYzJkYmVkMjgyNGUxM2Q0NGZmOTAzNDNlMmIifQ=="/>
  </w:docVars>
  <w:rsids>
    <w:rsidRoot w:val="00000000"/>
    <w:rsid w:val="00554C33"/>
    <w:rsid w:val="00D51644"/>
    <w:rsid w:val="025D08EA"/>
    <w:rsid w:val="02A74CAA"/>
    <w:rsid w:val="05213482"/>
    <w:rsid w:val="09E17252"/>
    <w:rsid w:val="0D5E3707"/>
    <w:rsid w:val="11E84674"/>
    <w:rsid w:val="126C42B4"/>
    <w:rsid w:val="17042185"/>
    <w:rsid w:val="17C84600"/>
    <w:rsid w:val="1F010C8F"/>
    <w:rsid w:val="20F63895"/>
    <w:rsid w:val="211E4CF5"/>
    <w:rsid w:val="26166273"/>
    <w:rsid w:val="2B032004"/>
    <w:rsid w:val="2C7529D1"/>
    <w:rsid w:val="2D6C05C8"/>
    <w:rsid w:val="3619015E"/>
    <w:rsid w:val="36E22B02"/>
    <w:rsid w:val="37A26170"/>
    <w:rsid w:val="3B9303B2"/>
    <w:rsid w:val="3C8416D7"/>
    <w:rsid w:val="3FAB09ED"/>
    <w:rsid w:val="44AF5D78"/>
    <w:rsid w:val="45833892"/>
    <w:rsid w:val="45CB4E15"/>
    <w:rsid w:val="48C97EF9"/>
    <w:rsid w:val="4ACA7AAB"/>
    <w:rsid w:val="4B991F60"/>
    <w:rsid w:val="4D113C42"/>
    <w:rsid w:val="4E58558A"/>
    <w:rsid w:val="4F3501F1"/>
    <w:rsid w:val="52C04276"/>
    <w:rsid w:val="53202F66"/>
    <w:rsid w:val="55C776C9"/>
    <w:rsid w:val="575435C3"/>
    <w:rsid w:val="58CA4CA4"/>
    <w:rsid w:val="59A70B1E"/>
    <w:rsid w:val="59E60318"/>
    <w:rsid w:val="5B853FE3"/>
    <w:rsid w:val="5CBC5F90"/>
    <w:rsid w:val="5D762C66"/>
    <w:rsid w:val="5E2842B0"/>
    <w:rsid w:val="5E6D1153"/>
    <w:rsid w:val="5F83500A"/>
    <w:rsid w:val="60745B56"/>
    <w:rsid w:val="641F097E"/>
    <w:rsid w:val="65236940"/>
    <w:rsid w:val="664A41B0"/>
    <w:rsid w:val="66D16D4F"/>
    <w:rsid w:val="66FE6113"/>
    <w:rsid w:val="6B874FA2"/>
    <w:rsid w:val="6FD52562"/>
    <w:rsid w:val="70514092"/>
    <w:rsid w:val="70852420"/>
    <w:rsid w:val="73125FD0"/>
    <w:rsid w:val="743D1C12"/>
    <w:rsid w:val="76DC35F5"/>
    <w:rsid w:val="7832658D"/>
    <w:rsid w:val="79074D5F"/>
    <w:rsid w:val="790F4D60"/>
    <w:rsid w:val="7AF745AA"/>
    <w:rsid w:val="7B7D06A6"/>
    <w:rsid w:val="7D611B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semiHidden/>
    <w:qFormat/>
    <w:uiPriority w:val="99"/>
    <w:pPr>
      <w:ind w:firstLine="420" w:firstLineChars="200"/>
    </w:pPr>
  </w:style>
  <w:style w:type="paragraph" w:styleId="3">
    <w:name w:val="Body Text Indent"/>
    <w:basedOn w:val="1"/>
    <w:semiHidden/>
    <w:qFormat/>
    <w:uiPriority w:val="99"/>
    <w:pPr>
      <w:spacing w:after="120"/>
      <w:ind w:left="420" w:leftChars="200"/>
    </w:p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8">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2394</Words>
  <Characters>2540</Characters>
  <Lines>0</Lines>
  <Paragraphs>0</Paragraphs>
  <TotalTime>37</TotalTime>
  <ScaleCrop>false</ScaleCrop>
  <LinksUpToDate>false</LinksUpToDate>
  <CharactersWithSpaces>2541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2022-06-28T09:10:00Z</dcterms:created>
  <dc:creator>Administrator</dc:creator>
  <cp:lastModifiedBy>真实</cp:lastModifiedBy>
  <dcterms:modified xsi:type="dcterms:W3CDTF">2023-09-25T08:34:06Z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0AD709C33BFB471FABA6911F202AE766_13</vt:lpwstr>
  </property>
</Properties>
</file>