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FA" w:rsidRDefault="00EF097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1F11FA" w:rsidRDefault="00EF0976">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第五部分</w:t>
      </w:r>
    </w:p>
    <w:p w:rsidR="001F11FA" w:rsidRDefault="00EF097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1F11FA" w:rsidRDefault="00EF0976">
      <w:pPr>
        <w:pStyle w:val="a5"/>
        <w:widowControl/>
        <w:spacing w:after="300" w:line="600" w:lineRule="atLeast"/>
        <w:jc w:val="center"/>
      </w:pPr>
      <w:r>
        <w:rPr>
          <w:rFonts w:ascii="宋体" w:eastAsia="宋体" w:hAnsi="宋体" w:cs="宋体" w:hint="eastAsia"/>
          <w:color w:val="444444"/>
          <w:kern w:val="0"/>
          <w:sz w:val="28"/>
          <w:szCs w:val="28"/>
          <w:shd w:val="clear" w:color="auto" w:fill="FFFFFF"/>
        </w:rPr>
        <w:t>附件</w:t>
      </w:r>
    </w:p>
    <w:p w:rsidR="001F11FA" w:rsidRDefault="00EF0976">
      <w:pPr>
        <w:pStyle w:val="a5"/>
        <w:widowControl/>
        <w:spacing w:after="300" w:line="600" w:lineRule="atLeast"/>
        <w:jc w:val="left"/>
      </w:pPr>
      <w:r>
        <w:rPr>
          <w:rFonts w:ascii="宋体" w:eastAsia="宋体" w:hAnsi="宋体" w:cs="宋体" w:hint="eastAsia"/>
          <w:color w:val="444444"/>
          <w:sz w:val="28"/>
          <w:szCs w:val="28"/>
          <w:shd w:val="clear" w:color="auto" w:fill="FFFFFF"/>
        </w:rPr>
        <w:t> </w:t>
      </w:r>
    </w:p>
    <w:p w:rsidR="001F11FA" w:rsidRDefault="00EF0976">
      <w:pPr>
        <w:pStyle w:val="a5"/>
        <w:widowControl/>
        <w:spacing w:after="300" w:line="600" w:lineRule="atLeast"/>
        <w:jc w:val="center"/>
      </w:pPr>
      <w:r>
        <w:rPr>
          <w:rFonts w:ascii="宋体" w:eastAsia="宋体" w:hAnsi="宋体" w:cs="宋体" w:hint="eastAsia"/>
          <w:color w:val="444444"/>
          <w:sz w:val="28"/>
          <w:szCs w:val="28"/>
          <w:shd w:val="clear" w:color="auto" w:fill="FFFFFF"/>
        </w:rPr>
        <w:t> </w:t>
      </w:r>
    </w:p>
    <w:p w:rsidR="001F11FA" w:rsidRDefault="00EF0976">
      <w:pPr>
        <w:pStyle w:val="a5"/>
        <w:widowControl/>
        <w:spacing w:after="300" w:line="600" w:lineRule="atLeast"/>
        <w:jc w:val="center"/>
        <w:rPr>
          <w:rFonts w:eastAsia="宋体"/>
        </w:rPr>
      </w:pPr>
      <w:r>
        <w:rPr>
          <w:rFonts w:ascii="Times New Roman" w:eastAsia="微软雅黑" w:hAnsi="Times New Roman" w:cs="Times New Roman"/>
          <w:b/>
          <w:bCs/>
          <w:color w:val="444444"/>
          <w:sz w:val="28"/>
          <w:szCs w:val="28"/>
          <w:shd w:val="clear" w:color="auto" w:fill="FFFFFF"/>
        </w:rPr>
        <w:t>2021</w:t>
      </w:r>
      <w:r>
        <w:rPr>
          <w:rFonts w:ascii="宋体" w:eastAsia="宋体" w:hAnsi="宋体" w:cs="宋体" w:hint="eastAsia"/>
          <w:b/>
          <w:bCs/>
          <w:color w:val="444444"/>
          <w:sz w:val="28"/>
          <w:szCs w:val="28"/>
          <w:shd w:val="clear" w:color="auto" w:fill="FFFFFF"/>
        </w:rPr>
        <w:t>年度部门整体支出绩效评价报告</w:t>
      </w: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一、部门概况</w:t>
      </w:r>
    </w:p>
    <w:p w:rsidR="001F11FA" w:rsidRPr="00B62380" w:rsidRDefault="00EF0976">
      <w:pPr>
        <w:pStyle w:val="a5"/>
        <w:widowControl/>
        <w:spacing w:after="300" w:line="600" w:lineRule="atLeast"/>
        <w:jc w:val="left"/>
        <w:rPr>
          <w:b/>
        </w:rPr>
      </w:pPr>
      <w:r w:rsidRPr="00B62380">
        <w:rPr>
          <w:rFonts w:ascii="宋体" w:eastAsia="宋体" w:hAnsi="宋体" w:cs="宋体" w:hint="eastAsia"/>
          <w:b/>
          <w:color w:val="444444"/>
          <w:kern w:val="0"/>
          <w:sz w:val="28"/>
          <w:szCs w:val="28"/>
          <w:shd w:val="clear" w:color="auto" w:fill="FFFFFF"/>
        </w:rPr>
        <w:t>（一）基本情况。</w:t>
      </w:r>
    </w:p>
    <w:p w:rsidR="001F11FA" w:rsidRPr="00B62380" w:rsidRDefault="00EF0976">
      <w:pPr>
        <w:pStyle w:val="a5"/>
        <w:widowControl/>
        <w:spacing w:after="300" w:line="600" w:lineRule="atLeast"/>
        <w:jc w:val="left"/>
        <w:rPr>
          <w:rFonts w:ascii="宋体" w:eastAsia="宋体" w:hAnsi="宋体" w:cs="宋体"/>
          <w:b/>
          <w:color w:val="444444"/>
          <w:kern w:val="0"/>
          <w:sz w:val="28"/>
          <w:szCs w:val="28"/>
          <w:shd w:val="clear" w:color="auto" w:fill="FFFFFF"/>
        </w:rPr>
      </w:pPr>
      <w:r w:rsidRPr="00B62380">
        <w:rPr>
          <w:rFonts w:ascii="宋体" w:eastAsia="宋体" w:hAnsi="宋体" w:cs="宋体" w:hint="eastAsia"/>
          <w:b/>
          <w:color w:val="444444"/>
          <w:kern w:val="0"/>
          <w:sz w:val="28"/>
          <w:szCs w:val="28"/>
          <w:shd w:val="clear" w:color="auto" w:fill="FFFFFF"/>
        </w:rPr>
        <w:t>1．主要职能。</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1.贯彻执行国家、省、市关于促进现代服务业（特色文化）发展的方针、政策和法律、法规，根据全区国民经济和社会发展总体规划，向上争取政策和资金扶助，制定全区现代服务业(特色文化)发展中长期规划和年度计划以及有关配套政策，参与制定促进现代服务业发展的政策和措施。</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2.负责现代服务业发展的政策和措施的落实工作，做好现代服务业(特色文化)企业的管理和服务工作，负责现代服务业(特色文化)企业经济运行动态监测，负责协调解决全区现代服务业(特色文化)企业在生产、经营等发展过程中遇到的困难和问题，为现代服务业(特色文化)企业提供政策、信息、管理、法律等服务，打造现代服务业(特色文化)发展营造良好的外部环境。</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lastRenderedPageBreak/>
        <w:t>3.负责引进和培育以现代物流业、电子商务业、金融服务业、专业服务业、会展服务业、服务外包业等为代表的现代服务业企业；负责指导协调各类楼宇的二次招商和闲置楼宇的招商工作，建立招商项目库；配合相关部门做好客商接待工作。</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4.负责指导全区现代服务业(特色文化)和商务楼宇的规划布局、开发建设和发展环境优化，负责商务楼宇物业管理部门的指导和培育，搭建交流平台，组织培训各类人才，引导商务楼宇物业管理部门规范管理，提升商务楼宇档次和水平。</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5.负责组织参与各级政府举办的现代服务业(特色文化)交流和合作活动，协同相关部门做好全区的各种现代服务业招商、推介和洽谈会。</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6.负责现代服务业(特色文化)企业、创新创业人才的培养、引进及相关政策的落实。</w:t>
      </w:r>
    </w:p>
    <w:p w:rsidR="00BC5658" w:rsidRPr="00BC5658" w:rsidRDefault="00BC5658" w:rsidP="00BC5658">
      <w:pPr>
        <w:widowControl/>
        <w:shd w:val="clear" w:color="auto" w:fill="FFFFFF"/>
        <w:spacing w:before="100" w:beforeAutospacing="1" w:after="100"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7.负责全区现代服务业(特色文化)资源及发展情况的综合统计和信息发布。</w:t>
      </w:r>
    </w:p>
    <w:p w:rsidR="00BC5658" w:rsidRPr="00BC5658" w:rsidRDefault="00BC5658" w:rsidP="00BC5658">
      <w:pPr>
        <w:widowControl/>
        <w:shd w:val="clear" w:color="auto" w:fill="FFFFFF"/>
        <w:spacing w:before="100" w:beforeAutospacing="1" w:afterAutospacing="1" w:line="480" w:lineRule="atLeast"/>
        <w:ind w:firstLine="480"/>
        <w:jc w:val="left"/>
        <w:rPr>
          <w:rFonts w:ascii="宋体" w:eastAsia="宋体" w:hAnsi="宋体" w:cs="宋体"/>
          <w:color w:val="1E1E1E"/>
          <w:kern w:val="0"/>
          <w:sz w:val="24"/>
        </w:rPr>
      </w:pPr>
      <w:r w:rsidRPr="00BC5658">
        <w:rPr>
          <w:rFonts w:ascii="宋体" w:eastAsia="宋体" w:hAnsi="宋体" w:cs="宋体" w:hint="eastAsia"/>
          <w:color w:val="1E1E1E"/>
          <w:kern w:val="0"/>
          <w:sz w:val="24"/>
          <w:shd w:val="clear" w:color="auto" w:fill="FFFFFF"/>
        </w:rPr>
        <w:t>8.负责协调现代服务业(特色文化)企业入驻落户我区，并协助财税部门加强楼宇税收的征管。</w:t>
      </w:r>
    </w:p>
    <w:p w:rsidR="001F11FA" w:rsidRPr="00B62380" w:rsidRDefault="00EF0976">
      <w:pPr>
        <w:pStyle w:val="a5"/>
        <w:widowControl/>
        <w:spacing w:after="300" w:line="600" w:lineRule="atLeast"/>
        <w:jc w:val="left"/>
        <w:rPr>
          <w:rFonts w:ascii="宋体" w:eastAsia="宋体" w:hAnsi="宋体" w:cs="宋体"/>
          <w:b/>
          <w:color w:val="444444"/>
          <w:kern w:val="0"/>
          <w:sz w:val="28"/>
          <w:szCs w:val="28"/>
          <w:shd w:val="clear" w:color="auto" w:fill="FFFFFF"/>
        </w:rPr>
      </w:pPr>
      <w:r w:rsidRPr="00B62380">
        <w:rPr>
          <w:rFonts w:ascii="宋体" w:eastAsia="宋体" w:hAnsi="宋体" w:cs="宋体" w:hint="eastAsia"/>
          <w:b/>
          <w:color w:val="444444"/>
          <w:kern w:val="0"/>
          <w:sz w:val="28"/>
          <w:szCs w:val="28"/>
          <w:shd w:val="clear" w:color="auto" w:fill="FFFFFF"/>
        </w:rPr>
        <w:t>2.机构情况。</w:t>
      </w:r>
    </w:p>
    <w:p w:rsidR="00BC5658" w:rsidRPr="00BC5658" w:rsidRDefault="00103523">
      <w:pPr>
        <w:pStyle w:val="a5"/>
        <w:widowControl/>
        <w:spacing w:after="300" w:line="600" w:lineRule="atLeast"/>
        <w:jc w:val="left"/>
      </w:pPr>
      <w:r>
        <w:rPr>
          <w:rFonts w:hint="eastAsia"/>
          <w:color w:val="1E1E1E"/>
          <w:shd w:val="clear" w:color="auto" w:fill="FFFFFF"/>
        </w:rPr>
        <w:t>内设科室分别是：办公室、后勤服务</w:t>
      </w:r>
    </w:p>
    <w:p w:rsidR="001F11FA" w:rsidRDefault="00EF0976">
      <w:pPr>
        <w:pStyle w:val="a5"/>
        <w:widowControl/>
        <w:spacing w:after="300" w:line="600" w:lineRule="atLeast"/>
        <w:jc w:val="left"/>
        <w:rPr>
          <w:rFonts w:ascii="宋体" w:eastAsia="宋体" w:hAnsi="宋体" w:cs="宋体"/>
          <w:color w:val="444444"/>
          <w:kern w:val="0"/>
          <w:sz w:val="28"/>
          <w:szCs w:val="28"/>
          <w:shd w:val="clear" w:color="auto" w:fill="FFFFFF"/>
        </w:rPr>
      </w:pPr>
      <w:r w:rsidRPr="00B62380">
        <w:rPr>
          <w:rFonts w:ascii="宋体" w:eastAsia="宋体" w:hAnsi="宋体" w:cs="宋体" w:hint="eastAsia"/>
          <w:b/>
          <w:color w:val="444444"/>
          <w:kern w:val="0"/>
          <w:sz w:val="28"/>
          <w:szCs w:val="28"/>
          <w:shd w:val="clear" w:color="auto" w:fill="FFFFFF"/>
        </w:rPr>
        <w:t>3.人员情况</w:t>
      </w:r>
      <w:r>
        <w:rPr>
          <w:rFonts w:ascii="宋体" w:eastAsia="宋体" w:hAnsi="宋体" w:cs="宋体" w:hint="eastAsia"/>
          <w:color w:val="444444"/>
          <w:kern w:val="0"/>
          <w:sz w:val="28"/>
          <w:szCs w:val="28"/>
          <w:shd w:val="clear" w:color="auto" w:fill="FFFFFF"/>
        </w:rPr>
        <w:t>。</w:t>
      </w:r>
    </w:p>
    <w:p w:rsidR="00103523" w:rsidRPr="0089750B" w:rsidRDefault="00103523" w:rsidP="00103523">
      <w:pPr>
        <w:spacing w:line="480" w:lineRule="exact"/>
        <w:ind w:firstLineChars="200" w:firstLine="480"/>
        <w:rPr>
          <w:rFonts w:ascii="宋体" w:hAnsi="宋体" w:cs="宋体"/>
          <w:sz w:val="24"/>
        </w:rPr>
      </w:pPr>
      <w:r>
        <w:rPr>
          <w:rFonts w:ascii="宋体" w:hAnsi="宋体" w:cs="宋体" w:hint="eastAsia"/>
          <w:sz w:val="24"/>
        </w:rPr>
        <w:t>邵阳市北塔区特色文化服务业发展中心编制人数</w:t>
      </w:r>
      <w:r w:rsidR="00155596">
        <w:rPr>
          <w:rFonts w:ascii="宋体" w:hAnsi="宋体" w:cs="宋体" w:hint="eastAsia"/>
          <w:sz w:val="24"/>
        </w:rPr>
        <w:t>3</w:t>
      </w:r>
      <w:r>
        <w:rPr>
          <w:rFonts w:ascii="宋体" w:hAnsi="宋体" w:cs="宋体" w:hint="eastAsia"/>
          <w:sz w:val="24"/>
        </w:rPr>
        <w:t>人，实际人数4人，其中在职人数4人，离退休0人，遗属补助人数0人，小车编制数0台，无房屋。</w:t>
      </w:r>
    </w:p>
    <w:p w:rsidR="00103523" w:rsidRPr="00103523" w:rsidRDefault="00103523">
      <w:pPr>
        <w:pStyle w:val="a5"/>
        <w:widowControl/>
        <w:spacing w:after="300" w:line="600" w:lineRule="atLeast"/>
        <w:jc w:val="left"/>
      </w:pP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二、部门整体支出管理及使用情况</w:t>
      </w:r>
    </w:p>
    <w:p w:rsidR="001F11FA" w:rsidRPr="00B62380" w:rsidRDefault="00EF0976">
      <w:pPr>
        <w:pStyle w:val="a5"/>
        <w:widowControl/>
        <w:spacing w:after="300" w:line="600" w:lineRule="atLeast"/>
        <w:jc w:val="left"/>
        <w:rPr>
          <w:b/>
        </w:rPr>
      </w:pPr>
      <w:r w:rsidRPr="00B62380">
        <w:rPr>
          <w:rFonts w:ascii="宋体" w:eastAsia="宋体" w:hAnsi="宋体" w:cs="宋体" w:hint="eastAsia"/>
          <w:b/>
          <w:color w:val="444444"/>
          <w:kern w:val="0"/>
          <w:sz w:val="28"/>
          <w:szCs w:val="28"/>
          <w:shd w:val="clear" w:color="auto" w:fill="FFFFFF"/>
        </w:rPr>
        <w:lastRenderedPageBreak/>
        <w:t>（一）基本支出</w:t>
      </w:r>
    </w:p>
    <w:p w:rsidR="001F11FA" w:rsidRDefault="00EE2CEA">
      <w:pPr>
        <w:pStyle w:val="a5"/>
        <w:widowControl/>
        <w:spacing w:after="300" w:line="600" w:lineRule="atLeast"/>
        <w:jc w:val="left"/>
      </w:pPr>
      <w:r>
        <w:rPr>
          <w:rFonts w:ascii="宋体" w:eastAsia="宋体" w:hAnsi="宋体" w:cs="宋体" w:hint="eastAsia"/>
          <w:color w:val="444444"/>
          <w:kern w:val="0"/>
          <w:sz w:val="28"/>
          <w:szCs w:val="28"/>
          <w:shd w:val="clear" w:color="auto" w:fill="FFFFFF"/>
        </w:rPr>
        <w:t>基本支出系保障我单位</w:t>
      </w:r>
      <w:r w:rsidR="00EF0976">
        <w:rPr>
          <w:rFonts w:ascii="宋体" w:eastAsia="宋体" w:hAnsi="宋体" w:cs="宋体" w:hint="eastAsia"/>
          <w:color w:val="444444"/>
          <w:kern w:val="0"/>
          <w:sz w:val="28"/>
          <w:szCs w:val="28"/>
          <w:shd w:val="clear" w:color="auto"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ascii="宋体" w:eastAsia="宋体" w:hAnsi="宋体" w:cs="宋体" w:hint="eastAsia"/>
          <w:color w:val="444444"/>
          <w:kern w:val="0"/>
          <w:sz w:val="28"/>
          <w:szCs w:val="28"/>
          <w:shd w:val="clear" w:color="auto" w:fill="FFFFFF"/>
        </w:rPr>
        <w:t>单位</w:t>
      </w:r>
      <w:r w:rsidR="00EF0976">
        <w:rPr>
          <w:rFonts w:ascii="宋体" w:eastAsia="宋体" w:hAnsi="宋体" w:cs="宋体" w:hint="eastAsia"/>
          <w:color w:val="444444"/>
          <w:kern w:val="0"/>
          <w:sz w:val="28"/>
          <w:szCs w:val="28"/>
          <w:shd w:val="clear" w:color="auto" w:fill="FFFFFF"/>
        </w:rPr>
        <w:t>基本支出</w:t>
      </w:r>
      <w:r w:rsidR="00506984">
        <w:rPr>
          <w:rFonts w:ascii="宋体" w:eastAsia="宋体" w:hAnsi="宋体" w:cs="宋体" w:hint="eastAsia"/>
          <w:color w:val="444444"/>
          <w:kern w:val="0"/>
          <w:sz w:val="28"/>
          <w:szCs w:val="28"/>
          <w:shd w:val="clear" w:color="auto" w:fill="FFFFFF"/>
        </w:rPr>
        <w:t>189.13</w:t>
      </w:r>
      <w:r w:rsidR="00EF0976">
        <w:rPr>
          <w:rFonts w:ascii="宋体" w:eastAsia="宋体" w:hAnsi="宋体" w:cs="宋体" w:hint="eastAsia"/>
          <w:color w:val="444444"/>
          <w:kern w:val="0"/>
          <w:sz w:val="28"/>
          <w:szCs w:val="28"/>
          <w:shd w:val="clear" w:color="auto" w:fill="FFFFFF"/>
        </w:rPr>
        <w:t>万元，比上年同口径增加</w:t>
      </w:r>
      <w:r w:rsidR="00506984">
        <w:rPr>
          <w:rFonts w:ascii="宋体" w:eastAsia="宋体" w:hAnsi="宋体" w:cs="宋体" w:hint="eastAsia"/>
          <w:color w:val="444444"/>
          <w:kern w:val="0"/>
          <w:sz w:val="28"/>
          <w:szCs w:val="28"/>
          <w:shd w:val="clear" w:color="auto" w:fill="FFFFFF"/>
        </w:rPr>
        <w:t>20.57</w:t>
      </w:r>
      <w:r w:rsidR="00EF0976">
        <w:rPr>
          <w:rFonts w:ascii="宋体" w:eastAsia="宋体" w:hAnsi="宋体" w:cs="宋体" w:hint="eastAsia"/>
          <w:color w:val="444444"/>
          <w:kern w:val="0"/>
          <w:sz w:val="28"/>
          <w:szCs w:val="28"/>
          <w:shd w:val="clear" w:color="auto" w:fill="FFFFFF"/>
        </w:rPr>
        <w:t>万元，增长</w:t>
      </w:r>
      <w:r w:rsidR="00506984">
        <w:rPr>
          <w:rFonts w:ascii="宋体" w:eastAsia="宋体" w:hAnsi="宋体" w:cs="宋体" w:hint="eastAsia"/>
          <w:color w:val="444444"/>
          <w:kern w:val="0"/>
          <w:sz w:val="28"/>
          <w:szCs w:val="28"/>
          <w:shd w:val="clear" w:color="auto" w:fill="FFFFFF"/>
        </w:rPr>
        <w:t>12.2</w:t>
      </w:r>
      <w:r w:rsidR="00EF0976">
        <w:rPr>
          <w:rFonts w:ascii="宋体" w:eastAsia="宋体" w:hAnsi="宋体" w:cs="宋体" w:hint="eastAsia"/>
          <w:color w:val="444444"/>
          <w:kern w:val="0"/>
          <w:sz w:val="28"/>
          <w:szCs w:val="28"/>
          <w:shd w:val="clear" w:color="auto" w:fill="FFFFFF"/>
        </w:rPr>
        <w:t>%。其中：工资福利支出</w:t>
      </w:r>
      <w:r w:rsidR="00506984">
        <w:rPr>
          <w:rFonts w:ascii="宋体" w:eastAsia="宋体" w:hAnsi="宋体" w:cs="宋体" w:hint="eastAsia"/>
          <w:color w:val="444444"/>
          <w:kern w:val="0"/>
          <w:sz w:val="28"/>
          <w:szCs w:val="28"/>
          <w:shd w:val="clear" w:color="auto" w:fill="FFFFFF"/>
        </w:rPr>
        <w:t>36.75</w:t>
      </w:r>
      <w:r w:rsidR="00EF0976">
        <w:rPr>
          <w:rFonts w:ascii="宋体" w:eastAsia="宋体" w:hAnsi="宋体" w:cs="宋体" w:hint="eastAsia"/>
          <w:color w:val="444444"/>
          <w:kern w:val="0"/>
          <w:sz w:val="28"/>
          <w:szCs w:val="28"/>
          <w:shd w:val="clear" w:color="auto" w:fill="FFFFFF"/>
        </w:rPr>
        <w:t>万元，商品和服务支出</w:t>
      </w:r>
      <w:r w:rsidR="00506984">
        <w:rPr>
          <w:rFonts w:ascii="宋体" w:eastAsia="宋体" w:hAnsi="宋体" w:cs="宋体" w:hint="eastAsia"/>
          <w:color w:val="444444"/>
          <w:kern w:val="0"/>
          <w:sz w:val="28"/>
          <w:szCs w:val="28"/>
          <w:shd w:val="clear" w:color="auto" w:fill="FFFFFF"/>
        </w:rPr>
        <w:t>53.65</w:t>
      </w:r>
      <w:r w:rsidR="00EF0976">
        <w:rPr>
          <w:rFonts w:ascii="宋体" w:eastAsia="宋体" w:hAnsi="宋体" w:cs="宋体" w:hint="eastAsia"/>
          <w:color w:val="444444"/>
          <w:kern w:val="0"/>
          <w:sz w:val="28"/>
          <w:szCs w:val="28"/>
          <w:shd w:val="clear" w:color="auto" w:fill="FFFFFF"/>
        </w:rPr>
        <w:t>万元，对个人和家庭的补助X万元，资本性支出</w:t>
      </w:r>
      <w:r w:rsidR="00506984">
        <w:rPr>
          <w:rFonts w:ascii="宋体" w:eastAsia="宋体" w:hAnsi="宋体" w:cs="宋体" w:hint="eastAsia"/>
          <w:color w:val="444444"/>
          <w:kern w:val="0"/>
          <w:sz w:val="28"/>
          <w:szCs w:val="28"/>
          <w:shd w:val="clear" w:color="auto" w:fill="FFFFFF"/>
        </w:rPr>
        <w:t>98.73</w:t>
      </w:r>
      <w:r w:rsidR="00EF0976">
        <w:rPr>
          <w:rFonts w:ascii="宋体" w:eastAsia="宋体" w:hAnsi="宋体" w:cs="宋体" w:hint="eastAsia"/>
          <w:color w:val="444444"/>
          <w:kern w:val="0"/>
          <w:sz w:val="28"/>
          <w:szCs w:val="28"/>
          <w:shd w:val="clear" w:color="auto" w:fill="FFFFFF"/>
        </w:rPr>
        <w:t>万元。</w:t>
      </w: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2021年“三公”经费实际开支总额</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万元。其中：因公出国（境）费支出本年未发生。公务用车购置及运行维护费实际开支</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万元（公务用车购置费未发生，公务用车运行维护费</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万元），公务用车保有量</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辆；公务接待费实际开支</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万元，公务接待X批次</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人次。2021年“三公”经费实际开支总额比2020年同口径减少</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万元，下降</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w:t>
      </w:r>
    </w:p>
    <w:p w:rsidR="001F11FA" w:rsidRPr="00B62380" w:rsidRDefault="00EF0976">
      <w:pPr>
        <w:pStyle w:val="a5"/>
        <w:widowControl/>
        <w:spacing w:after="300" w:line="600" w:lineRule="atLeast"/>
        <w:jc w:val="left"/>
        <w:rPr>
          <w:b/>
        </w:rPr>
      </w:pPr>
      <w:r w:rsidRPr="00B62380">
        <w:rPr>
          <w:rFonts w:ascii="宋体" w:eastAsia="宋体" w:hAnsi="宋体" w:cs="宋体" w:hint="eastAsia"/>
          <w:b/>
          <w:color w:val="444444"/>
          <w:kern w:val="0"/>
          <w:sz w:val="28"/>
          <w:szCs w:val="28"/>
          <w:shd w:val="clear" w:color="auto" w:fill="FFFFFF"/>
        </w:rPr>
        <w:t>（二）专项支出</w:t>
      </w:r>
    </w:p>
    <w:p w:rsidR="00650022" w:rsidRDefault="00650022" w:rsidP="00650022">
      <w:pPr>
        <w:pStyle w:val="a5"/>
        <w:widowControl/>
        <w:spacing w:after="300" w:line="600" w:lineRule="atLeast"/>
        <w:jc w:val="left"/>
      </w:pPr>
      <w:r>
        <w:rPr>
          <w:rFonts w:hint="eastAsia"/>
          <w:color w:val="1E1E1E"/>
        </w:rPr>
        <w:t>2021</w:t>
      </w:r>
      <w:r>
        <w:rPr>
          <w:rFonts w:hint="eastAsia"/>
          <w:color w:val="1E1E1E"/>
        </w:rPr>
        <w:t>年我单位项目支出</w:t>
      </w:r>
      <w:r>
        <w:rPr>
          <w:rFonts w:hint="eastAsia"/>
          <w:color w:val="1E1E1E"/>
        </w:rPr>
        <w:t>0</w:t>
      </w:r>
      <w:r>
        <w:rPr>
          <w:rFonts w:hint="eastAsia"/>
          <w:color w:val="1E1E1E"/>
        </w:rPr>
        <w:t>万元。</w:t>
      </w: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三、资产管理情况</w:t>
      </w:r>
    </w:p>
    <w:p w:rsidR="001F11FA" w:rsidRDefault="00EF0976">
      <w:pPr>
        <w:pStyle w:val="a5"/>
        <w:widowControl/>
        <w:spacing w:after="300" w:line="600" w:lineRule="atLeast"/>
        <w:jc w:val="left"/>
        <w:rPr>
          <w:rFonts w:eastAsia="宋体"/>
        </w:rPr>
      </w:pPr>
      <w:r>
        <w:rPr>
          <w:rFonts w:ascii="仿宋" w:eastAsia="仿宋" w:hAnsi="仿宋" w:cs="仿宋"/>
          <w:sz w:val="32"/>
          <w:szCs w:val="32"/>
        </w:rPr>
        <w:t>我</w:t>
      </w:r>
      <w:r w:rsidR="00EE2CEA">
        <w:rPr>
          <w:rFonts w:ascii="仿宋" w:eastAsia="仿宋" w:hAnsi="仿宋" w:cs="仿宋" w:hint="eastAsia"/>
          <w:sz w:val="32"/>
          <w:szCs w:val="32"/>
        </w:rPr>
        <w:t>单位</w:t>
      </w:r>
      <w:r>
        <w:rPr>
          <w:rFonts w:ascii="仿宋" w:eastAsia="仿宋" w:hAnsi="仿宋" w:cs="仿宋"/>
          <w:sz w:val="32"/>
          <w:szCs w:val="32"/>
        </w:rPr>
        <w:t>资产管理由办公室负责，资产采购按程序实行报批采购，</w:t>
      </w:r>
      <w:r>
        <w:rPr>
          <w:rFonts w:ascii="仿宋" w:eastAsia="仿宋" w:hAnsi="仿宋" w:cs="仿宋" w:hint="eastAsia"/>
          <w:sz w:val="32"/>
          <w:szCs w:val="32"/>
        </w:rPr>
        <w:t>统一在政采云平台下单，</w:t>
      </w:r>
      <w:r>
        <w:rPr>
          <w:rFonts w:ascii="仿宋" w:eastAsia="仿宋" w:hAnsi="仿宋" w:cs="仿宋"/>
          <w:sz w:val="32"/>
          <w:szCs w:val="32"/>
        </w:rPr>
        <w:t>采购后登记</w:t>
      </w:r>
      <w:r>
        <w:rPr>
          <w:rFonts w:ascii="仿宋" w:eastAsia="仿宋" w:hAnsi="仿宋" w:cs="仿宋" w:hint="eastAsia"/>
          <w:sz w:val="32"/>
          <w:szCs w:val="32"/>
        </w:rPr>
        <w:t>入账，录入资产信息系统</w:t>
      </w:r>
      <w:r>
        <w:rPr>
          <w:rFonts w:ascii="仿宋" w:eastAsia="仿宋" w:hAnsi="仿宋" w:cs="仿宋"/>
          <w:sz w:val="32"/>
          <w:szCs w:val="32"/>
        </w:rPr>
        <w:t>，再派发到相关科室。</w:t>
      </w:r>
      <w:r>
        <w:rPr>
          <w:rFonts w:ascii="仿宋" w:eastAsia="仿宋" w:hAnsi="仿宋" w:cs="仿宋" w:hint="eastAsia"/>
          <w:sz w:val="32"/>
          <w:szCs w:val="32"/>
        </w:rPr>
        <w:t>一是我</w:t>
      </w:r>
      <w:r w:rsidR="00EE2CEA">
        <w:rPr>
          <w:rFonts w:ascii="仿宋" w:eastAsia="仿宋" w:hAnsi="仿宋" w:cs="仿宋" w:hint="eastAsia"/>
          <w:sz w:val="32"/>
          <w:szCs w:val="32"/>
        </w:rPr>
        <w:t>单位</w:t>
      </w:r>
      <w:r>
        <w:rPr>
          <w:rFonts w:ascii="仿宋" w:eastAsia="仿宋" w:hAnsi="仿宋" w:cs="仿宋" w:hint="eastAsia"/>
          <w:sz w:val="32"/>
          <w:szCs w:val="32"/>
        </w:rPr>
        <w:t>资产管理和使用坚持统一政策、统一领导、分级管理、责任到人、物尽其用的</w:t>
      </w:r>
      <w:r>
        <w:rPr>
          <w:rFonts w:ascii="仿宋" w:eastAsia="仿宋" w:hAnsi="仿宋" w:cs="仿宋" w:hint="eastAsia"/>
          <w:sz w:val="32"/>
          <w:szCs w:val="32"/>
        </w:rPr>
        <w:lastRenderedPageBreak/>
        <w:t>原则。</w:t>
      </w:r>
      <w:r>
        <w:rPr>
          <w:rFonts w:ascii="仿宋" w:eastAsia="仿宋" w:hAnsi="仿宋" w:cs="仿宋"/>
          <w:sz w:val="32"/>
          <w:szCs w:val="32"/>
        </w:rPr>
        <w:t>二是运用</w:t>
      </w:r>
      <w:r>
        <w:rPr>
          <w:rFonts w:ascii="仿宋" w:eastAsia="仿宋" w:hAnsi="仿宋" w:cs="仿宋" w:hint="eastAsia"/>
          <w:sz w:val="32"/>
          <w:szCs w:val="32"/>
        </w:rPr>
        <w:t>资产</w:t>
      </w:r>
      <w:r>
        <w:rPr>
          <w:rFonts w:ascii="仿宋" w:eastAsia="仿宋" w:hAnsi="仿宋" w:cs="仿宋"/>
          <w:sz w:val="32"/>
          <w:szCs w:val="32"/>
        </w:rPr>
        <w:t>信息管理系统加强资产管理。</w:t>
      </w:r>
      <w:r>
        <w:rPr>
          <w:rFonts w:ascii="仿宋" w:eastAsia="仿宋" w:hAnsi="仿宋" w:cs="仿宋" w:hint="eastAsia"/>
          <w:sz w:val="32"/>
          <w:szCs w:val="32"/>
        </w:rPr>
        <w:t>对</w:t>
      </w:r>
      <w:r>
        <w:rPr>
          <w:rFonts w:ascii="仿宋" w:eastAsia="仿宋" w:hAnsi="仿宋" w:cs="仿宋"/>
          <w:sz w:val="32"/>
          <w:szCs w:val="32"/>
        </w:rPr>
        <w:t>固定资产分别按使用部门、存放地点和</w:t>
      </w:r>
      <w:r>
        <w:rPr>
          <w:rFonts w:ascii="仿宋" w:eastAsia="仿宋" w:hAnsi="仿宋" w:cs="仿宋" w:hint="eastAsia"/>
          <w:sz w:val="32"/>
          <w:szCs w:val="32"/>
        </w:rPr>
        <w:t>使用</w:t>
      </w:r>
      <w:r>
        <w:rPr>
          <w:rFonts w:ascii="仿宋" w:eastAsia="仿宋" w:hAnsi="仿宋" w:cs="仿宋"/>
          <w:sz w:val="32"/>
          <w:szCs w:val="32"/>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ascii="仿宋" w:eastAsia="仿宋" w:hAnsi="仿宋" w:cs="仿宋" w:hint="eastAsia"/>
          <w:sz w:val="32"/>
          <w:szCs w:val="32"/>
        </w:rPr>
        <w:t>常态</w:t>
      </w:r>
      <w:r>
        <w:rPr>
          <w:rFonts w:ascii="仿宋" w:eastAsia="仿宋" w:hAnsi="仿宋" w:cs="仿宋"/>
          <w:sz w:val="32"/>
          <w:szCs w:val="32"/>
        </w:rPr>
        <w:t>化，确保账、卡、实相符。四是根据《湖南省财政厅关于做好行政事业性国有资产月报试编工作的通知》文件要求，每月及时通过财政部统一报表系统上报资产月报电子数据</w:t>
      </w:r>
      <w:r>
        <w:rPr>
          <w:rFonts w:ascii="仿宋" w:eastAsia="仿宋" w:hAnsi="仿宋" w:cs="仿宋" w:hint="eastAsia"/>
          <w:sz w:val="32"/>
          <w:szCs w:val="32"/>
        </w:rPr>
        <w:t>，每年编制一次固定资产年报</w:t>
      </w:r>
      <w:r>
        <w:rPr>
          <w:rFonts w:ascii="宋体" w:eastAsia="宋体" w:hAnsi="宋体" w:cs="宋体" w:hint="eastAsia"/>
          <w:color w:val="444444"/>
          <w:kern w:val="0"/>
          <w:sz w:val="28"/>
          <w:szCs w:val="28"/>
          <w:shd w:val="clear" w:color="auto" w:fill="FFFFFF"/>
        </w:rPr>
        <w:t>(仅供参考）</w:t>
      </w: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截至2021年12月31日，邵阳市</w:t>
      </w:r>
      <w:r w:rsidR="00EE2CEA">
        <w:rPr>
          <w:rFonts w:ascii="宋体" w:eastAsia="宋体" w:hAnsi="宋体" w:cs="宋体" w:hint="eastAsia"/>
          <w:color w:val="444444"/>
          <w:kern w:val="0"/>
          <w:sz w:val="28"/>
          <w:szCs w:val="28"/>
          <w:shd w:val="clear" w:color="auto" w:fill="FFFFFF"/>
        </w:rPr>
        <w:t>北塔区特色文化服务业发展中心</w:t>
      </w:r>
      <w:r>
        <w:rPr>
          <w:rFonts w:ascii="宋体" w:eastAsia="宋体" w:hAnsi="宋体" w:cs="宋体" w:hint="eastAsia"/>
          <w:color w:val="444444"/>
          <w:kern w:val="0"/>
          <w:sz w:val="28"/>
          <w:szCs w:val="28"/>
          <w:shd w:val="clear" w:color="auto" w:fill="FFFFFF"/>
        </w:rPr>
        <w:t>资产总额为</w:t>
      </w:r>
      <w:r w:rsidR="00506984">
        <w:rPr>
          <w:rFonts w:ascii="宋体" w:eastAsia="宋体" w:hAnsi="宋体" w:cs="宋体" w:hint="eastAsia"/>
          <w:color w:val="444444"/>
          <w:kern w:val="0"/>
          <w:sz w:val="28"/>
          <w:szCs w:val="28"/>
          <w:shd w:val="clear" w:color="auto" w:fill="FFFFFF"/>
        </w:rPr>
        <w:t>2.85</w:t>
      </w:r>
      <w:r>
        <w:rPr>
          <w:rFonts w:ascii="宋体" w:eastAsia="宋体" w:hAnsi="宋体" w:cs="宋体" w:hint="eastAsia"/>
          <w:color w:val="444444"/>
          <w:kern w:val="0"/>
          <w:sz w:val="28"/>
          <w:szCs w:val="28"/>
          <w:shd w:val="clear" w:color="auto" w:fill="FFFFFF"/>
        </w:rPr>
        <w:t>万元，主要由以下部分构成：流动资产</w:t>
      </w:r>
      <w:r w:rsidR="00294B91">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万元,占资产总额的</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%,主要为银行存款及其他应收款等;固定资产</w:t>
      </w:r>
      <w:r w:rsidR="00294B91">
        <w:rPr>
          <w:rFonts w:ascii="宋体" w:eastAsia="宋体" w:hAnsi="宋体" w:cs="宋体" w:hint="eastAsia"/>
          <w:color w:val="444444"/>
          <w:kern w:val="0"/>
          <w:sz w:val="28"/>
          <w:szCs w:val="28"/>
          <w:shd w:val="clear" w:color="auto" w:fill="FFFFFF"/>
        </w:rPr>
        <w:t>2.85</w:t>
      </w:r>
      <w:r>
        <w:rPr>
          <w:rFonts w:ascii="宋体" w:eastAsia="宋体" w:hAnsi="宋体" w:cs="宋体" w:hint="eastAsia"/>
          <w:color w:val="444444"/>
          <w:kern w:val="0"/>
          <w:sz w:val="28"/>
          <w:szCs w:val="28"/>
          <w:shd w:val="clear" w:color="auto" w:fill="FFFFFF"/>
        </w:rPr>
        <w:t>万元,占资产总额的</w:t>
      </w:r>
      <w:r w:rsidR="00294B91">
        <w:rPr>
          <w:rFonts w:ascii="宋体" w:eastAsia="宋体" w:hAnsi="宋体" w:cs="宋体" w:hint="eastAsia"/>
          <w:color w:val="444444"/>
          <w:kern w:val="0"/>
          <w:sz w:val="28"/>
          <w:szCs w:val="28"/>
          <w:shd w:val="clear" w:color="auto" w:fill="FFFFFF"/>
        </w:rPr>
        <w:t>10</w:t>
      </w:r>
      <w:r w:rsidR="00506984">
        <w:rPr>
          <w:rFonts w:ascii="宋体" w:eastAsia="宋体" w:hAnsi="宋体" w:cs="宋体" w:hint="eastAsia"/>
          <w:color w:val="444444"/>
          <w:kern w:val="0"/>
          <w:sz w:val="28"/>
          <w:szCs w:val="28"/>
          <w:shd w:val="clear" w:color="auto" w:fill="FFFFFF"/>
        </w:rPr>
        <w:t>0</w:t>
      </w:r>
      <w:r>
        <w:rPr>
          <w:rFonts w:ascii="宋体" w:eastAsia="宋体" w:hAnsi="宋体" w:cs="宋体" w:hint="eastAsia"/>
          <w:color w:val="444444"/>
          <w:kern w:val="0"/>
          <w:sz w:val="28"/>
          <w:szCs w:val="28"/>
          <w:shd w:val="clear" w:color="auto" w:fill="FFFFFF"/>
        </w:rPr>
        <w:t>%，主要包括办公设备等。</w:t>
      </w:r>
      <w:r>
        <w:rPr>
          <w:rFonts w:ascii="微软雅黑" w:eastAsia="微软雅黑" w:hAnsi="微软雅黑" w:cs="微软雅黑" w:hint="eastAsia"/>
          <w:color w:val="444444"/>
          <w:sz w:val="28"/>
          <w:szCs w:val="28"/>
          <w:shd w:val="clear" w:color="auto" w:fill="FFFFFF"/>
        </w:rPr>
        <w:t> </w:t>
      </w:r>
    </w:p>
    <w:p w:rsidR="001F11FA" w:rsidRDefault="00EF0976">
      <w:pPr>
        <w:pStyle w:val="a5"/>
        <w:widowControl/>
        <w:spacing w:after="300" w:line="600" w:lineRule="atLeast"/>
        <w:jc w:val="left"/>
        <w:rPr>
          <w:rFonts w:ascii="宋体" w:eastAsia="宋体" w:hAnsi="宋体" w:cs="宋体"/>
          <w:color w:val="444444"/>
          <w:kern w:val="0"/>
          <w:sz w:val="28"/>
          <w:szCs w:val="28"/>
          <w:shd w:val="clear" w:color="auto" w:fill="FFFFFF"/>
        </w:rPr>
      </w:pPr>
      <w:r>
        <w:rPr>
          <w:rFonts w:ascii="宋体" w:eastAsia="宋体" w:hAnsi="宋体" w:cs="宋体" w:hint="eastAsia"/>
          <w:color w:val="444444"/>
          <w:kern w:val="0"/>
          <w:sz w:val="28"/>
          <w:szCs w:val="28"/>
          <w:shd w:val="clear" w:color="auto" w:fill="FFFFFF"/>
        </w:rPr>
        <w:t>四、部门整体支出绩效情况</w:t>
      </w:r>
    </w:p>
    <w:p w:rsidR="00140423" w:rsidRPr="00101252" w:rsidRDefault="00140423" w:rsidP="00140423">
      <w:pPr>
        <w:shd w:val="clear" w:color="auto" w:fill="FFFFFF"/>
        <w:spacing w:before="100" w:beforeAutospacing="1" w:after="100" w:afterAutospacing="1" w:line="480" w:lineRule="exact"/>
        <w:ind w:firstLineChars="200" w:firstLine="482"/>
        <w:rPr>
          <w:rFonts w:ascii="宋体" w:eastAsia="宋体" w:hAnsi="宋体" w:cs="宋体"/>
          <w:color w:val="1E1E1E"/>
          <w:kern w:val="0"/>
          <w:sz w:val="24"/>
        </w:rPr>
      </w:pPr>
      <w:r w:rsidRPr="00101252">
        <w:rPr>
          <w:rFonts w:ascii="宋体" w:eastAsia="宋体" w:hAnsi="宋体" w:cs="宋体" w:hint="eastAsia"/>
          <w:b/>
          <w:bCs/>
          <w:color w:val="1E1E1E"/>
          <w:sz w:val="24"/>
        </w:rPr>
        <w:t>（一）预算配置</w:t>
      </w:r>
    </w:p>
    <w:p w:rsidR="00140423" w:rsidRPr="00101252" w:rsidRDefault="00140423" w:rsidP="00140423">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101252">
        <w:rPr>
          <w:rFonts w:ascii="宋体" w:eastAsia="宋体" w:hAnsi="宋体" w:cs="宋体" w:hint="eastAsia"/>
          <w:color w:val="1E1E1E"/>
          <w:sz w:val="24"/>
        </w:rPr>
        <w:t>202</w:t>
      </w:r>
      <w:r>
        <w:rPr>
          <w:rFonts w:ascii="宋体" w:eastAsia="宋体" w:hAnsi="宋体" w:cs="宋体" w:hint="eastAsia"/>
          <w:color w:val="1E1E1E"/>
          <w:sz w:val="24"/>
        </w:rPr>
        <w:t>1</w:t>
      </w:r>
      <w:r w:rsidRPr="00101252">
        <w:rPr>
          <w:rFonts w:ascii="宋体" w:eastAsia="宋体" w:hAnsi="宋体" w:cs="宋体" w:hint="eastAsia"/>
          <w:color w:val="1E1E1E"/>
          <w:sz w:val="24"/>
        </w:rPr>
        <w:t>年，我</w:t>
      </w:r>
      <w:r>
        <w:rPr>
          <w:rFonts w:ascii="宋体" w:eastAsia="宋体" w:hAnsi="宋体" w:cs="宋体" w:hint="eastAsia"/>
          <w:color w:val="1E1E1E"/>
          <w:sz w:val="24"/>
        </w:rPr>
        <w:t>单位</w:t>
      </w:r>
      <w:r w:rsidRPr="00101252">
        <w:rPr>
          <w:rFonts w:ascii="宋体" w:eastAsia="宋体" w:hAnsi="宋体" w:cs="宋体" w:hint="eastAsia"/>
          <w:color w:val="1E1E1E"/>
          <w:sz w:val="24"/>
        </w:rPr>
        <w:t>在职人员编制数为</w:t>
      </w:r>
      <w:r>
        <w:rPr>
          <w:rFonts w:ascii="宋体" w:eastAsia="宋体" w:hAnsi="宋体" w:cs="宋体" w:hint="eastAsia"/>
          <w:color w:val="1E1E1E"/>
          <w:sz w:val="24"/>
        </w:rPr>
        <w:t>4</w:t>
      </w:r>
      <w:r w:rsidRPr="00101252">
        <w:rPr>
          <w:rFonts w:ascii="宋体" w:eastAsia="宋体" w:hAnsi="宋体" w:cs="宋体" w:hint="eastAsia"/>
          <w:color w:val="1E1E1E"/>
          <w:sz w:val="24"/>
        </w:rPr>
        <w:t>人，年末实际在职人数为</w:t>
      </w:r>
      <w:r>
        <w:rPr>
          <w:rFonts w:ascii="宋体" w:eastAsia="宋体" w:hAnsi="宋体" w:cs="宋体" w:hint="eastAsia"/>
          <w:color w:val="1E1E1E"/>
          <w:sz w:val="24"/>
        </w:rPr>
        <w:t>4</w:t>
      </w:r>
      <w:r w:rsidRPr="00101252">
        <w:rPr>
          <w:rFonts w:ascii="宋体" w:eastAsia="宋体" w:hAnsi="宋体" w:cs="宋体" w:hint="eastAsia"/>
          <w:color w:val="1E1E1E"/>
          <w:sz w:val="24"/>
        </w:rPr>
        <w:t>人，财政在职人员控制率为</w:t>
      </w:r>
      <w:r>
        <w:rPr>
          <w:rFonts w:ascii="宋体" w:eastAsia="宋体" w:hAnsi="宋体" w:cs="宋体" w:hint="eastAsia"/>
          <w:color w:val="1E1E1E"/>
          <w:sz w:val="24"/>
        </w:rPr>
        <w:t>100</w:t>
      </w:r>
      <w:r w:rsidRPr="00101252">
        <w:rPr>
          <w:rFonts w:ascii="宋体" w:eastAsia="宋体" w:hAnsi="宋体" w:cs="宋体" w:hint="eastAsia"/>
          <w:color w:val="1E1E1E"/>
          <w:sz w:val="24"/>
        </w:rPr>
        <w:t>%。年初预算收入</w:t>
      </w:r>
      <w:r>
        <w:rPr>
          <w:rFonts w:ascii="宋体" w:eastAsia="宋体" w:hAnsi="宋体" w:cs="宋体" w:hint="eastAsia"/>
          <w:color w:val="1E1E1E"/>
          <w:sz w:val="24"/>
        </w:rPr>
        <w:t>34.67</w:t>
      </w:r>
      <w:r w:rsidRPr="00101252">
        <w:rPr>
          <w:rFonts w:ascii="宋体" w:eastAsia="宋体" w:hAnsi="宋体" w:cs="宋体" w:hint="eastAsia"/>
          <w:color w:val="1E1E1E"/>
          <w:sz w:val="24"/>
        </w:rPr>
        <w:t>万元，年末决算收入</w:t>
      </w:r>
      <w:r>
        <w:rPr>
          <w:rFonts w:ascii="宋体" w:eastAsia="宋体" w:hAnsi="宋体" w:cs="宋体" w:hint="eastAsia"/>
          <w:color w:val="1E1E1E"/>
          <w:sz w:val="24"/>
        </w:rPr>
        <w:t>189.13</w:t>
      </w:r>
      <w:r w:rsidRPr="00101252">
        <w:rPr>
          <w:rFonts w:ascii="宋体" w:eastAsia="宋体" w:hAnsi="宋体" w:cs="宋体" w:hint="eastAsia"/>
          <w:color w:val="1E1E1E"/>
          <w:sz w:val="24"/>
        </w:rPr>
        <w:t>万元；年末决算支出</w:t>
      </w:r>
      <w:r>
        <w:rPr>
          <w:rFonts w:ascii="宋体" w:eastAsia="宋体" w:hAnsi="宋体" w:cs="宋体" w:hint="eastAsia"/>
          <w:color w:val="1E1E1E"/>
          <w:sz w:val="24"/>
        </w:rPr>
        <w:t>189.13</w:t>
      </w:r>
      <w:r w:rsidRPr="00101252">
        <w:rPr>
          <w:rFonts w:ascii="宋体" w:eastAsia="宋体" w:hAnsi="宋体" w:cs="宋体" w:hint="eastAsia"/>
          <w:color w:val="1E1E1E"/>
          <w:sz w:val="24"/>
        </w:rPr>
        <w:t>万元，项目资金结转结余0万元。</w:t>
      </w:r>
    </w:p>
    <w:p w:rsidR="00140423" w:rsidRPr="00140423" w:rsidRDefault="00140423">
      <w:pPr>
        <w:pStyle w:val="a5"/>
        <w:widowControl/>
        <w:spacing w:after="300" w:line="600" w:lineRule="atLeast"/>
        <w:jc w:val="left"/>
        <w:rPr>
          <w:rFonts w:ascii="宋体" w:eastAsia="宋体" w:hAnsi="宋体" w:cs="宋体"/>
          <w:color w:val="444444"/>
          <w:kern w:val="0"/>
          <w:sz w:val="28"/>
          <w:szCs w:val="28"/>
          <w:shd w:val="clear" w:color="auto" w:fill="FFFFFF"/>
        </w:rPr>
      </w:pPr>
    </w:p>
    <w:p w:rsidR="00140423" w:rsidRPr="00A16CAE" w:rsidRDefault="00140423" w:rsidP="00140423">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A16CAE">
        <w:rPr>
          <w:rFonts w:ascii="宋体" w:eastAsia="宋体" w:hAnsi="宋体" w:cs="宋体" w:hint="eastAsia"/>
          <w:b/>
          <w:bCs/>
          <w:color w:val="1E1E1E"/>
          <w:sz w:val="24"/>
        </w:rPr>
        <w:t>（二）预算执行</w:t>
      </w:r>
    </w:p>
    <w:p w:rsidR="00140423" w:rsidRPr="00A16CAE" w:rsidRDefault="00140423" w:rsidP="00140423">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A16CAE">
        <w:rPr>
          <w:rFonts w:ascii="宋体" w:eastAsia="宋体" w:hAnsi="宋体" w:cs="宋体" w:hint="eastAsia"/>
          <w:color w:val="1E1E1E"/>
          <w:sz w:val="24"/>
        </w:rPr>
        <w:lastRenderedPageBreak/>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rsidR="00140423" w:rsidRPr="00A16CAE" w:rsidRDefault="00140423" w:rsidP="00140423">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A16CAE">
        <w:rPr>
          <w:rFonts w:ascii="宋体" w:eastAsia="宋体" w:hAnsi="宋体" w:cs="宋体" w:hint="eastAsia"/>
          <w:b/>
          <w:bCs/>
          <w:color w:val="1E1E1E"/>
          <w:sz w:val="24"/>
        </w:rPr>
        <w:t>（三）预算管理</w:t>
      </w:r>
    </w:p>
    <w:p w:rsidR="00140423" w:rsidRDefault="00140423" w:rsidP="00140423">
      <w:pPr>
        <w:pStyle w:val="a5"/>
        <w:widowControl/>
        <w:spacing w:after="300" w:line="600" w:lineRule="atLeast"/>
        <w:jc w:val="left"/>
        <w:rPr>
          <w:rFonts w:ascii="宋体" w:eastAsia="宋体" w:hAnsi="宋体" w:cs="宋体"/>
          <w:color w:val="444444"/>
          <w:kern w:val="0"/>
          <w:sz w:val="28"/>
          <w:szCs w:val="28"/>
          <w:shd w:val="clear" w:color="auto" w:fill="FFFFFF"/>
        </w:rPr>
      </w:pPr>
      <w:r w:rsidRPr="00A16CAE">
        <w:rPr>
          <w:rFonts w:ascii="宋体" w:eastAsia="宋体" w:hAnsi="宋体" w:cs="宋体" w:hint="eastAsia"/>
          <w:color w:val="1E1E1E"/>
        </w:rPr>
        <w:t>为规范机</w:t>
      </w:r>
      <w:r>
        <w:rPr>
          <w:rFonts w:ascii="宋体" w:eastAsia="宋体" w:hAnsi="宋体" w:cs="宋体" w:hint="eastAsia"/>
          <w:color w:val="1E1E1E"/>
        </w:rPr>
        <w:t>关财务管理，建立健全财务管理制度，我联制订了《邵阳市北塔区特色文化服务业中心</w:t>
      </w:r>
      <w:r w:rsidRPr="00A16CAE">
        <w:rPr>
          <w:rFonts w:ascii="宋体" w:eastAsia="宋体" w:hAnsi="宋体" w:cs="宋体" w:hint="eastAsia"/>
          <w:color w:val="1E1E1E"/>
        </w:rPr>
        <w:t>内部管理制度》等一系列合法合规、较为完整的、具有很强的可操作性财务管理制度。坚持经费预算科学化、精细化，执行控制规范化、责任化，监督检</w:t>
      </w:r>
    </w:p>
    <w:p w:rsidR="00140423" w:rsidRDefault="00140423">
      <w:pPr>
        <w:pStyle w:val="a5"/>
        <w:widowControl/>
        <w:spacing w:after="300" w:line="600" w:lineRule="atLeast"/>
        <w:jc w:val="left"/>
      </w:pPr>
    </w:p>
    <w:p w:rsidR="001F11FA" w:rsidRPr="00B62380" w:rsidRDefault="00EF0976">
      <w:pPr>
        <w:pStyle w:val="a5"/>
        <w:widowControl/>
        <w:spacing w:after="300" w:line="600" w:lineRule="atLeast"/>
        <w:jc w:val="left"/>
        <w:rPr>
          <w:b/>
        </w:rPr>
      </w:pPr>
      <w:r w:rsidRPr="00B62380">
        <w:rPr>
          <w:rFonts w:ascii="宋体" w:eastAsia="宋体" w:hAnsi="宋体" w:cs="宋体" w:hint="eastAsia"/>
          <w:b/>
          <w:color w:val="444444"/>
          <w:kern w:val="0"/>
          <w:sz w:val="28"/>
          <w:szCs w:val="28"/>
          <w:shd w:val="clear" w:color="auto" w:fill="FFFFFF"/>
        </w:rPr>
        <w:t>五、综合评价情况及评价结论</w:t>
      </w:r>
    </w:p>
    <w:p w:rsidR="001F11FA" w:rsidRDefault="00EF0976">
      <w:pPr>
        <w:pStyle w:val="a5"/>
        <w:widowControl/>
        <w:spacing w:after="300" w:line="600" w:lineRule="atLeast"/>
        <w:jc w:val="left"/>
      </w:pPr>
      <w:r>
        <w:rPr>
          <w:rFonts w:ascii="宋体" w:eastAsia="宋体" w:hAnsi="宋体" w:cs="宋体" w:hint="eastAsia"/>
          <w:color w:val="444444"/>
          <w:kern w:val="0"/>
          <w:sz w:val="28"/>
          <w:szCs w:val="28"/>
          <w:shd w:val="clear" w:color="auto" w:fill="FFFFFF"/>
        </w:rPr>
        <w:t>2021年我</w:t>
      </w:r>
      <w:r w:rsidR="00EE2CEA">
        <w:rPr>
          <w:rFonts w:ascii="宋体" w:eastAsia="宋体" w:hAnsi="宋体" w:cs="宋体" w:hint="eastAsia"/>
          <w:color w:val="444444"/>
          <w:kern w:val="0"/>
          <w:sz w:val="28"/>
          <w:szCs w:val="28"/>
          <w:shd w:val="clear" w:color="auto" w:fill="FFFFFF"/>
        </w:rPr>
        <w:t>单位</w:t>
      </w:r>
      <w:r>
        <w:rPr>
          <w:rFonts w:ascii="宋体" w:eastAsia="宋体" w:hAnsi="宋体" w:cs="宋体" w:hint="eastAsia"/>
          <w:color w:val="444444"/>
          <w:kern w:val="0"/>
          <w:sz w:val="28"/>
          <w:szCs w:val="28"/>
          <w:shd w:val="clear" w:color="auto"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w:t>
      </w:r>
      <w:r>
        <w:rPr>
          <w:rFonts w:ascii="宋体" w:eastAsia="宋体" w:hAnsi="宋体" w:cs="宋体" w:hint="eastAsia"/>
          <w:color w:val="444444"/>
          <w:kern w:val="0"/>
          <w:sz w:val="28"/>
          <w:szCs w:val="28"/>
          <w:shd w:val="clear" w:color="auto" w:fill="FFFFFF"/>
        </w:rPr>
        <w:lastRenderedPageBreak/>
        <w:t>阳市财政局《部门整体支出绩效评价指标评分表》评分体系，我</w:t>
      </w:r>
      <w:r w:rsidR="00140423">
        <w:rPr>
          <w:rFonts w:ascii="宋体" w:eastAsia="宋体" w:hAnsi="宋体" w:cs="宋体" w:hint="eastAsia"/>
          <w:color w:val="444444"/>
          <w:kern w:val="0"/>
          <w:sz w:val="28"/>
          <w:szCs w:val="28"/>
          <w:shd w:val="clear" w:color="auto" w:fill="FFFFFF"/>
        </w:rPr>
        <w:t>单位</w:t>
      </w:r>
      <w:r>
        <w:rPr>
          <w:rFonts w:ascii="宋体" w:eastAsia="宋体" w:hAnsi="宋体" w:cs="宋体" w:hint="eastAsia"/>
          <w:color w:val="444444"/>
          <w:kern w:val="0"/>
          <w:sz w:val="28"/>
          <w:szCs w:val="28"/>
          <w:shd w:val="clear" w:color="auto" w:fill="FFFFFF"/>
        </w:rPr>
        <w:t>整体支出绩效自评</w:t>
      </w:r>
      <w:r w:rsidR="00507D34">
        <w:rPr>
          <w:rFonts w:ascii="宋体" w:eastAsia="宋体" w:hAnsi="宋体" w:cs="宋体" w:hint="eastAsia"/>
          <w:color w:val="444444"/>
          <w:kern w:val="0"/>
          <w:sz w:val="28"/>
          <w:szCs w:val="28"/>
          <w:shd w:val="clear" w:color="auto" w:fill="FFFFFF"/>
        </w:rPr>
        <w:t>90</w:t>
      </w:r>
      <w:r>
        <w:rPr>
          <w:rFonts w:ascii="宋体" w:eastAsia="宋体" w:hAnsi="宋体" w:cs="宋体" w:hint="eastAsia"/>
          <w:color w:val="444444"/>
          <w:kern w:val="0"/>
          <w:sz w:val="28"/>
          <w:szCs w:val="28"/>
          <w:shd w:val="clear" w:color="auto" w:fill="FFFFFF"/>
        </w:rPr>
        <w:t>分，自评结果为</w:t>
      </w:r>
      <w:r w:rsidR="00507D34">
        <w:rPr>
          <w:rFonts w:ascii="宋体" w:eastAsia="宋体" w:hAnsi="宋体" w:cs="宋体" w:hint="eastAsia"/>
          <w:color w:val="444444"/>
          <w:kern w:val="0"/>
          <w:sz w:val="28"/>
          <w:szCs w:val="28"/>
          <w:shd w:val="clear" w:color="auto" w:fill="FFFFFF"/>
        </w:rPr>
        <w:t>良好</w:t>
      </w:r>
      <w:r>
        <w:rPr>
          <w:rFonts w:ascii="宋体" w:eastAsia="宋体" w:hAnsi="宋体" w:cs="宋体" w:hint="eastAsia"/>
          <w:color w:val="444444"/>
          <w:kern w:val="0"/>
          <w:sz w:val="28"/>
          <w:szCs w:val="28"/>
          <w:shd w:val="clear" w:color="auto" w:fill="FFFFFF"/>
        </w:rPr>
        <w:t>。</w:t>
      </w:r>
    </w:p>
    <w:p w:rsidR="001F11FA" w:rsidRPr="00B62380" w:rsidRDefault="00EF0976">
      <w:pPr>
        <w:pStyle w:val="a5"/>
        <w:widowControl/>
        <w:spacing w:after="300" w:line="600" w:lineRule="atLeast"/>
        <w:jc w:val="left"/>
        <w:rPr>
          <w:rFonts w:ascii="宋体" w:eastAsia="宋体" w:hAnsi="宋体" w:cs="宋体"/>
          <w:b/>
          <w:color w:val="444444"/>
          <w:kern w:val="0"/>
          <w:sz w:val="28"/>
          <w:szCs w:val="28"/>
          <w:shd w:val="clear" w:color="auto" w:fill="FFFFFF"/>
        </w:rPr>
      </w:pPr>
      <w:r w:rsidRPr="00B62380">
        <w:rPr>
          <w:rFonts w:ascii="宋体" w:eastAsia="宋体" w:hAnsi="宋体" w:cs="宋体" w:hint="eastAsia"/>
          <w:b/>
          <w:color w:val="444444"/>
          <w:kern w:val="0"/>
          <w:sz w:val="28"/>
          <w:szCs w:val="28"/>
          <w:shd w:val="clear" w:color="auto" w:fill="FFFFFF"/>
        </w:rPr>
        <w:t>六、存在的问题及原因分析</w:t>
      </w:r>
    </w:p>
    <w:p w:rsidR="00140423" w:rsidRPr="007771C0" w:rsidRDefault="00140423" w:rsidP="00140423">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1、绩效评价工作机制有待进一步完善，由于在平时工作中未加强对绩效监控工作的重视，绩效监控工作容易滞后，未形成对绩效目标进行监控的习惯。</w:t>
      </w:r>
    </w:p>
    <w:p w:rsidR="00140423" w:rsidRPr="007771C0" w:rsidRDefault="00140423" w:rsidP="00140423">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2、在编制部门年度预算时，虽然根据本单位职能职责和年度工作计划编制，但在2020年部门预算执行过程中，仍然存在一些问题，如年初预算编制不合理或部分经费计划比较紧张，往往需要在年度中间进行预算追加和调整。</w:t>
      </w:r>
    </w:p>
    <w:p w:rsidR="00140423" w:rsidRPr="00140423" w:rsidRDefault="00140423">
      <w:pPr>
        <w:pStyle w:val="a5"/>
        <w:widowControl/>
        <w:spacing w:after="300" w:line="600" w:lineRule="atLeast"/>
        <w:jc w:val="left"/>
      </w:pPr>
    </w:p>
    <w:p w:rsidR="001F11FA" w:rsidRPr="00B62380" w:rsidRDefault="00EF0976">
      <w:pPr>
        <w:pStyle w:val="a5"/>
        <w:widowControl/>
        <w:spacing w:after="300" w:line="600" w:lineRule="atLeast"/>
        <w:jc w:val="left"/>
        <w:rPr>
          <w:rFonts w:ascii="宋体" w:eastAsia="宋体" w:hAnsi="宋体" w:cs="宋体"/>
          <w:b/>
          <w:color w:val="444444"/>
          <w:kern w:val="0"/>
          <w:sz w:val="28"/>
          <w:szCs w:val="28"/>
          <w:shd w:val="clear" w:color="auto" w:fill="FFFFFF"/>
        </w:rPr>
      </w:pPr>
      <w:r w:rsidRPr="00B62380">
        <w:rPr>
          <w:rFonts w:ascii="宋体" w:eastAsia="宋体" w:hAnsi="宋体" w:cs="宋体" w:hint="eastAsia"/>
          <w:b/>
          <w:color w:val="444444"/>
          <w:kern w:val="0"/>
          <w:sz w:val="28"/>
          <w:szCs w:val="28"/>
          <w:shd w:val="clear" w:color="auto" w:fill="FFFFFF"/>
        </w:rPr>
        <w:t>七、下一步改进措施</w:t>
      </w:r>
    </w:p>
    <w:p w:rsidR="00140423" w:rsidRPr="007771C0" w:rsidRDefault="00140423" w:rsidP="00140423">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（一）进一步加强项目资金管理</w:t>
      </w:r>
    </w:p>
    <w:p w:rsidR="00140423" w:rsidRPr="007771C0" w:rsidRDefault="00140423" w:rsidP="00140423">
      <w:pPr>
        <w:shd w:val="clear" w:color="auto" w:fill="FFFFFF"/>
        <w:spacing w:before="100" w:beforeAutospacing="1" w:after="100"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rsidR="00140423" w:rsidRPr="007771C0" w:rsidRDefault="00140423" w:rsidP="00140423">
      <w:pPr>
        <w:shd w:val="clear" w:color="auto" w:fill="FFFFFF"/>
        <w:spacing w:before="100" w:beforeAutospacing="1" w:after="100" w:afterAutospacing="1" w:line="480" w:lineRule="exact"/>
        <w:ind w:firstLineChars="200" w:firstLine="482"/>
        <w:jc w:val="left"/>
        <w:rPr>
          <w:rFonts w:ascii="宋体" w:eastAsia="宋体" w:hAnsi="宋体" w:cs="宋体"/>
          <w:color w:val="1E1E1E"/>
          <w:kern w:val="0"/>
          <w:sz w:val="24"/>
        </w:rPr>
      </w:pPr>
      <w:r w:rsidRPr="007771C0">
        <w:rPr>
          <w:rFonts w:ascii="宋体" w:eastAsia="宋体" w:hAnsi="宋体" w:cs="宋体" w:hint="eastAsia"/>
          <w:b/>
          <w:bCs/>
          <w:color w:val="1E1E1E"/>
          <w:sz w:val="24"/>
        </w:rPr>
        <w:t>（二）进一步提高绩效管理水平</w:t>
      </w:r>
    </w:p>
    <w:p w:rsidR="00140423" w:rsidRPr="007771C0" w:rsidRDefault="00140423" w:rsidP="00140423">
      <w:pPr>
        <w:shd w:val="clear" w:color="auto" w:fill="FFFFFF"/>
        <w:spacing w:before="100" w:beforeAutospacing="1" w:afterAutospacing="1" w:line="480" w:lineRule="exact"/>
        <w:ind w:firstLineChars="200" w:firstLine="480"/>
        <w:jc w:val="left"/>
        <w:rPr>
          <w:rFonts w:ascii="宋体" w:eastAsia="宋体" w:hAnsi="宋体" w:cs="宋体"/>
          <w:color w:val="1E1E1E"/>
          <w:kern w:val="0"/>
          <w:sz w:val="24"/>
        </w:rPr>
      </w:pPr>
      <w:r w:rsidRPr="007771C0">
        <w:rPr>
          <w:rFonts w:ascii="宋体" w:eastAsia="宋体" w:hAnsi="宋体" w:cs="宋体" w:hint="eastAsia"/>
          <w:color w:val="1E1E1E"/>
          <w:sz w:val="24"/>
        </w:rPr>
        <w:t>加强预算执行的准确性，开展好支出绩效管理工作，运用好绩效评价结果，不断提升绩效管理水平。</w:t>
      </w:r>
    </w:p>
    <w:p w:rsidR="00140423" w:rsidRPr="00140423" w:rsidRDefault="00140423">
      <w:pPr>
        <w:pStyle w:val="a5"/>
        <w:widowControl/>
        <w:spacing w:after="300" w:line="600" w:lineRule="atLeast"/>
        <w:jc w:val="left"/>
        <w:rPr>
          <w:rFonts w:ascii="宋体" w:eastAsia="宋体" w:hAnsi="宋体" w:cs="宋体"/>
          <w:color w:val="444444"/>
          <w:kern w:val="0"/>
          <w:sz w:val="28"/>
          <w:szCs w:val="28"/>
          <w:shd w:val="clear" w:color="auto" w:fill="FFFFFF"/>
        </w:rPr>
      </w:pPr>
    </w:p>
    <w:p w:rsidR="00140423" w:rsidRDefault="00140423">
      <w:pPr>
        <w:pStyle w:val="a5"/>
        <w:widowControl/>
        <w:spacing w:after="300" w:line="600" w:lineRule="atLeast"/>
        <w:jc w:val="left"/>
      </w:pPr>
    </w:p>
    <w:p w:rsidR="001F11FA" w:rsidRDefault="00EF0976">
      <w:pPr>
        <w:spacing w:line="600" w:lineRule="exact"/>
        <w:rPr>
          <w:rFonts w:ascii="宋体" w:hAnsi="宋体" w:cs="宋体"/>
          <w:kern w:val="0"/>
          <w:sz w:val="32"/>
          <w:szCs w:val="32"/>
        </w:rPr>
      </w:pPr>
      <w:bookmarkStart w:id="0" w:name="RANGE!A1:H22"/>
      <w:r>
        <w:rPr>
          <w:rFonts w:ascii="黑体" w:eastAsia="黑体" w:hAnsi="宋体" w:cs="宋体" w:hint="eastAsia"/>
          <w:kern w:val="0"/>
          <w:sz w:val="32"/>
          <w:szCs w:val="32"/>
        </w:rPr>
        <w:lastRenderedPageBreak/>
        <w:t>附件</w:t>
      </w:r>
      <w:bookmarkEnd w:id="0"/>
      <w:r>
        <w:rPr>
          <w:rFonts w:ascii="黑体" w:eastAsia="黑体" w:hAnsi="宋体" w:cs="宋体" w:hint="eastAsia"/>
          <w:kern w:val="0"/>
          <w:sz w:val="32"/>
          <w:szCs w:val="32"/>
        </w:rPr>
        <w:t>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1F11FA" w:rsidRDefault="00EF0976">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567"/>
        <w:gridCol w:w="851"/>
        <w:gridCol w:w="567"/>
        <w:gridCol w:w="3118"/>
        <w:gridCol w:w="3472"/>
        <w:gridCol w:w="617"/>
      </w:tblGrid>
      <w:tr w:rsidR="001F11FA">
        <w:trPr>
          <w:trHeight w:val="757"/>
          <w:tblHeader/>
          <w:jc w:val="center"/>
        </w:trPr>
        <w:tc>
          <w:tcPr>
            <w:tcW w:w="411"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noWrap/>
            <w:vAlign w:val="center"/>
          </w:tcPr>
          <w:p w:rsidR="001F11FA" w:rsidRDefault="00EF0976">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noWrap/>
            <w:vAlign w:val="center"/>
          </w:tcPr>
          <w:p w:rsidR="001F11FA" w:rsidRDefault="00EF0976">
            <w:pPr>
              <w:widowControl/>
              <w:jc w:val="center"/>
              <w:rPr>
                <w:rFonts w:ascii="宋体" w:eastAsia="宋体" w:hAnsi="宋体" w:cs="宋体"/>
                <w:b/>
                <w:bCs/>
                <w:kern w:val="0"/>
                <w:sz w:val="24"/>
              </w:rPr>
            </w:pPr>
            <w:r>
              <w:rPr>
                <w:rFonts w:ascii="宋体" w:hAnsi="宋体" w:cs="宋体" w:hint="eastAsia"/>
                <w:b/>
                <w:bCs/>
                <w:kern w:val="0"/>
                <w:sz w:val="20"/>
                <w:szCs w:val="20"/>
              </w:rPr>
              <w:t>得分</w:t>
            </w:r>
          </w:p>
        </w:tc>
      </w:tr>
      <w:tr w:rsidR="001F11FA">
        <w:trPr>
          <w:trHeight w:val="2182"/>
          <w:jc w:val="center"/>
        </w:trPr>
        <w:tc>
          <w:tcPr>
            <w:tcW w:w="411" w:type="dxa"/>
            <w:vMerge w:val="restart"/>
            <w:noWrap/>
            <w:textDirection w:val="tbRlV"/>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3</w:t>
            </w:r>
          </w:p>
        </w:tc>
      </w:tr>
      <w:tr w:rsidR="001F11FA">
        <w:trPr>
          <w:trHeight w:val="1830"/>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noWrap/>
            <w:vAlign w:val="center"/>
          </w:tcPr>
          <w:p w:rsidR="001F11FA" w:rsidRDefault="001F11FA">
            <w:pPr>
              <w:widowControl/>
              <w:jc w:val="left"/>
              <w:rPr>
                <w:rFonts w:ascii="仿宋_GB2312" w:eastAsia="仿宋_GB2312" w:hAnsi="宋体" w:cs="宋体"/>
                <w:kern w:val="0"/>
                <w:sz w:val="20"/>
                <w:szCs w:val="20"/>
              </w:rPr>
            </w:pP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3</w:t>
            </w:r>
          </w:p>
        </w:tc>
      </w:tr>
      <w:tr w:rsidR="001F11FA">
        <w:trPr>
          <w:trHeight w:val="1545"/>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850"/>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551"/>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2240"/>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399"/>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noWrap/>
            <w:vAlign w:val="center"/>
          </w:tcPr>
          <w:p w:rsidR="001F11FA" w:rsidRDefault="001F11FA">
            <w:pPr>
              <w:widowControl/>
              <w:jc w:val="left"/>
              <w:rPr>
                <w:rFonts w:ascii="仿宋_GB2312" w:eastAsia="仿宋_GB2312" w:hAnsi="宋体" w:cs="宋体"/>
                <w:kern w:val="0"/>
                <w:sz w:val="20"/>
                <w:szCs w:val="20"/>
              </w:rPr>
            </w:pP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619"/>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noWrap/>
            <w:vAlign w:val="center"/>
          </w:tcPr>
          <w:p w:rsidR="001F11FA" w:rsidRDefault="001F11FA">
            <w:pPr>
              <w:widowControl/>
              <w:jc w:val="center"/>
              <w:rPr>
                <w:rFonts w:ascii="仿宋_GB2312" w:eastAsia="仿宋_GB2312" w:hAnsi="宋体" w:cs="宋体"/>
                <w:kern w:val="0"/>
                <w:sz w:val="20"/>
                <w:szCs w:val="20"/>
              </w:rPr>
            </w:pPr>
          </w:p>
        </w:tc>
        <w:tc>
          <w:tcPr>
            <w:tcW w:w="567" w:type="dxa"/>
            <w:vMerge/>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非税收入完成率=（2021年度非税实际收入完成数/2021年度非税收入预算数）×100%，有减免因素的，以非税局确定的为准。</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740"/>
          <w:jc w:val="center"/>
        </w:trPr>
        <w:tc>
          <w:tcPr>
            <w:tcW w:w="411" w:type="dxa"/>
            <w:vMerge w:val="restart"/>
            <w:noWrap/>
            <w:textDirection w:val="tbRlV"/>
            <w:vAlign w:val="center"/>
          </w:tcPr>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1F11FA" w:rsidRDefault="001F11FA">
            <w:pPr>
              <w:widowControl/>
              <w:ind w:left="113" w:right="113"/>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1F11FA">
            <w:pPr>
              <w:widowControl/>
              <w:jc w:val="center"/>
              <w:rPr>
                <w:rFonts w:ascii="仿宋_GB2312" w:eastAsia="仿宋_GB2312" w:hAnsi="宋体" w:cs="宋体"/>
                <w:kern w:val="0"/>
                <w:sz w:val="20"/>
                <w:szCs w:val="20"/>
              </w:rPr>
            </w:pPr>
          </w:p>
          <w:p w:rsidR="001F11FA" w:rsidRDefault="00EF097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1F11FA" w:rsidRDefault="001F11FA">
            <w:pPr>
              <w:widowControl/>
              <w:jc w:val="left"/>
              <w:rPr>
                <w:rFonts w:ascii="仿宋_GB2312" w:eastAsia="仿宋_GB2312" w:hAnsi="宋体" w:cs="宋体"/>
                <w:kern w:val="0"/>
                <w:sz w:val="20"/>
                <w:szCs w:val="20"/>
              </w:rPr>
            </w:pPr>
          </w:p>
        </w:tc>
        <w:tc>
          <w:tcPr>
            <w:tcW w:w="3472" w:type="dxa"/>
            <w:noWrap/>
            <w:vAlign w:val="center"/>
          </w:tcPr>
          <w:p w:rsidR="001F11FA" w:rsidRDefault="00EF0976">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224"/>
          <w:jc w:val="center"/>
        </w:trPr>
        <w:tc>
          <w:tcPr>
            <w:tcW w:w="411" w:type="dxa"/>
            <w:vMerge/>
            <w:noWrap/>
            <w:vAlign w:val="center"/>
          </w:tcPr>
          <w:p w:rsidR="001F11FA" w:rsidRDefault="001F11FA">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2008"/>
          <w:jc w:val="center"/>
        </w:trPr>
        <w:tc>
          <w:tcPr>
            <w:tcW w:w="411" w:type="dxa"/>
            <w:vMerge/>
            <w:noWrap/>
            <w:vAlign w:val="center"/>
          </w:tcPr>
          <w:p w:rsidR="001F11FA" w:rsidRDefault="001F11FA">
            <w:pPr>
              <w:jc w:val="center"/>
              <w:rPr>
                <w:rFonts w:ascii="仿宋_GB2312" w:eastAsia="仿宋_GB2312" w:hAnsi="宋体" w:cs="宋体"/>
                <w:kern w:val="0"/>
                <w:sz w:val="20"/>
                <w:szCs w:val="20"/>
              </w:rPr>
            </w:pPr>
          </w:p>
        </w:tc>
        <w:tc>
          <w:tcPr>
            <w:tcW w:w="429" w:type="dxa"/>
            <w:vMerge/>
            <w:tcBorders>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2211"/>
          <w:jc w:val="center"/>
        </w:trPr>
        <w:tc>
          <w:tcPr>
            <w:tcW w:w="411" w:type="dxa"/>
            <w:vMerge/>
            <w:noWrap/>
            <w:vAlign w:val="center"/>
          </w:tcPr>
          <w:p w:rsidR="001F11FA" w:rsidRDefault="001F11FA">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4335"/>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noWrap/>
            <w:vAlign w:val="center"/>
          </w:tcPr>
          <w:p w:rsidR="001F11FA" w:rsidRDefault="00EF097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noWrap/>
            <w:vAlign w:val="center"/>
          </w:tcPr>
          <w:p w:rsidR="001F11FA" w:rsidRDefault="00EF097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1F11FA" w:rsidRDefault="001F11FA">
            <w:pPr>
              <w:widowControl/>
              <w:rPr>
                <w:rFonts w:ascii="仿宋_GB2312" w:eastAsia="仿宋_GB2312" w:hAnsi="宋体" w:cs="宋体"/>
                <w:kern w:val="0"/>
                <w:sz w:val="20"/>
                <w:szCs w:val="20"/>
              </w:rPr>
            </w:pPr>
          </w:p>
        </w:tc>
        <w:tc>
          <w:tcPr>
            <w:tcW w:w="3118" w:type="dxa"/>
            <w:tcBorders>
              <w:top w:val="single" w:sz="4" w:space="0" w:color="auto"/>
            </w:tcBorders>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1F11FA" w:rsidRDefault="00EF0976">
            <w:pPr>
              <w:widowControl/>
              <w:jc w:val="left"/>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noWrap/>
            <w:vAlign w:val="center"/>
          </w:tcPr>
          <w:p w:rsidR="001F11FA" w:rsidRDefault="001F11FA">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5</w:t>
            </w:r>
          </w:p>
        </w:tc>
      </w:tr>
      <w:tr w:rsidR="001F11FA">
        <w:trPr>
          <w:trHeight w:val="110"/>
          <w:jc w:val="center"/>
        </w:trPr>
        <w:tc>
          <w:tcPr>
            <w:tcW w:w="411" w:type="dxa"/>
            <w:vMerge/>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851" w:type="dxa"/>
            <w:tcBorders>
              <w:top w:val="single" w:sz="4" w:space="0" w:color="auto"/>
            </w:tcBorders>
            <w:noWrap/>
            <w:vAlign w:val="center"/>
          </w:tcPr>
          <w:p w:rsidR="001F11FA" w:rsidRDefault="00EF0976">
            <w:pP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noWrap/>
            <w:vAlign w:val="center"/>
          </w:tcPr>
          <w:p w:rsidR="001F11FA" w:rsidRDefault="00EF0976">
            <w:pP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noWrap/>
            <w:vAlign w:val="center"/>
          </w:tcPr>
          <w:p w:rsidR="001F11FA" w:rsidRDefault="00EF097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noWrap/>
            <w:vAlign w:val="center"/>
          </w:tcPr>
          <w:p w:rsidR="001F11FA" w:rsidRDefault="001F11FA">
            <w:pPr>
              <w:widowControl/>
              <w:jc w:val="left"/>
              <w:rPr>
                <w:rFonts w:ascii="仿宋_GB2312" w:eastAsia="仿宋_GB2312" w:hAnsi="宋体" w:cs="宋体"/>
                <w:kern w:val="0"/>
                <w:sz w:val="20"/>
                <w:szCs w:val="20"/>
              </w:rPr>
            </w:pPr>
          </w:p>
        </w:tc>
        <w:tc>
          <w:tcPr>
            <w:tcW w:w="617" w:type="dxa"/>
            <w:tcBorders>
              <w:top w:val="single" w:sz="4" w:space="0" w:color="auto"/>
            </w:tcBorders>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3</w:t>
            </w:r>
          </w:p>
        </w:tc>
      </w:tr>
      <w:tr w:rsidR="001F11FA">
        <w:trPr>
          <w:trHeight w:val="6097"/>
          <w:jc w:val="center"/>
        </w:trPr>
        <w:tc>
          <w:tcPr>
            <w:tcW w:w="411" w:type="dxa"/>
            <w:vMerge w:val="restart"/>
            <w:tcBorders>
              <w:top w:val="nil"/>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vMerge/>
            <w:tcBorders>
              <w:lef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1F11FA" w:rsidRDefault="00EF097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1F11FA" w:rsidRDefault="00EF097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1F11FA" w:rsidRDefault="00EF097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1F11FA" w:rsidRDefault="00EF0976">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1F11FA" w:rsidRDefault="00EF0976">
            <w:pPr>
              <w:widowControl/>
              <w:jc w:val="left"/>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12</w:t>
            </w:r>
          </w:p>
        </w:tc>
      </w:tr>
      <w:tr w:rsidR="001F11FA">
        <w:trPr>
          <w:trHeight w:val="2036"/>
          <w:jc w:val="center"/>
        </w:trPr>
        <w:tc>
          <w:tcPr>
            <w:tcW w:w="411" w:type="dxa"/>
            <w:vMerge/>
            <w:tcBorders>
              <w:top w:val="nil"/>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noWrap/>
            <w:vAlign w:val="center"/>
          </w:tcPr>
          <w:p w:rsidR="001F11FA" w:rsidRDefault="001F11FA">
            <w:pPr>
              <w:widowControl/>
              <w:jc w:val="center"/>
              <w:rPr>
                <w:rFonts w:ascii="宋体" w:eastAsia="宋体" w:hAnsi="宋体" w:cs="宋体"/>
                <w:kern w:val="0"/>
                <w:sz w:val="24"/>
              </w:rPr>
            </w:pPr>
          </w:p>
        </w:tc>
      </w:tr>
      <w:tr w:rsidR="001F11FA">
        <w:trPr>
          <w:trHeight w:val="1615"/>
          <w:jc w:val="center"/>
        </w:trPr>
        <w:tc>
          <w:tcPr>
            <w:tcW w:w="411" w:type="dxa"/>
            <w:vMerge/>
            <w:tcBorders>
              <w:top w:val="nil"/>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rsidR="001F11FA" w:rsidRDefault="001F11FA">
            <w:pPr>
              <w:widowControl/>
              <w:jc w:val="center"/>
              <w:rPr>
                <w:rFonts w:ascii="宋体" w:eastAsia="宋体" w:hAnsi="宋体" w:cs="宋体"/>
                <w:kern w:val="0"/>
                <w:sz w:val="24"/>
              </w:rPr>
            </w:pPr>
          </w:p>
        </w:tc>
      </w:tr>
      <w:tr w:rsidR="001F11FA">
        <w:trPr>
          <w:trHeight w:val="3603"/>
          <w:jc w:val="center"/>
        </w:trPr>
        <w:tc>
          <w:tcPr>
            <w:tcW w:w="411" w:type="dxa"/>
            <w:vMerge/>
            <w:tcBorders>
              <w:top w:val="nil"/>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rsidR="001F11FA" w:rsidRDefault="001F11FA">
            <w:pPr>
              <w:widowControl/>
              <w:jc w:val="center"/>
              <w:rPr>
                <w:rFonts w:ascii="宋体" w:eastAsia="宋体" w:hAnsi="宋体" w:cs="宋体"/>
                <w:kern w:val="0"/>
                <w:sz w:val="24"/>
              </w:rPr>
            </w:pPr>
          </w:p>
        </w:tc>
      </w:tr>
      <w:tr w:rsidR="001F11FA">
        <w:trPr>
          <w:trHeight w:val="738"/>
          <w:jc w:val="center"/>
        </w:trPr>
        <w:tc>
          <w:tcPr>
            <w:tcW w:w="411" w:type="dxa"/>
            <w:vMerge/>
            <w:tcBorders>
              <w:top w:val="nil"/>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noWrap/>
            <w:vAlign w:val="center"/>
          </w:tcPr>
          <w:p w:rsidR="001F11FA" w:rsidRDefault="001F11FA">
            <w:pPr>
              <w:widowControl/>
              <w:jc w:val="center"/>
              <w:rPr>
                <w:rFonts w:ascii="宋体" w:eastAsia="宋体" w:hAnsi="宋体" w:cs="宋体"/>
                <w:kern w:val="0"/>
                <w:sz w:val="24"/>
              </w:rPr>
            </w:pPr>
          </w:p>
        </w:tc>
      </w:tr>
      <w:tr w:rsidR="001F11FA">
        <w:trPr>
          <w:trHeight w:val="1785"/>
          <w:jc w:val="center"/>
        </w:trPr>
        <w:tc>
          <w:tcPr>
            <w:tcW w:w="411" w:type="dxa"/>
            <w:vMerge/>
            <w:tcBorders>
              <w:top w:val="nil"/>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noWrap/>
            <w:vAlign w:val="center"/>
          </w:tcPr>
          <w:p w:rsidR="001F11FA" w:rsidRDefault="00EF097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rsidR="001F11FA" w:rsidRDefault="001F11FA">
            <w:pPr>
              <w:widowControl/>
              <w:jc w:val="left"/>
              <w:rPr>
                <w:rFonts w:ascii="仿宋_GB2312" w:eastAsia="仿宋_GB2312" w:hAnsi="宋体" w:cs="宋体"/>
                <w:kern w:val="0"/>
                <w:sz w:val="20"/>
                <w:szCs w:val="20"/>
              </w:rPr>
            </w:pP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7</w:t>
            </w:r>
          </w:p>
        </w:tc>
      </w:tr>
      <w:tr w:rsidR="001F11FA">
        <w:trPr>
          <w:trHeight w:val="1786"/>
          <w:jc w:val="center"/>
        </w:trPr>
        <w:tc>
          <w:tcPr>
            <w:tcW w:w="411" w:type="dxa"/>
            <w:vMerge/>
            <w:tcBorders>
              <w:top w:val="nil"/>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w:t>
            </w:r>
            <w:r>
              <w:rPr>
                <w:rFonts w:ascii="仿宋_GB2312" w:eastAsia="仿宋_GB2312" w:hAnsi="宋体" w:cs="宋体" w:hint="eastAsia"/>
                <w:kern w:val="0"/>
                <w:sz w:val="20"/>
                <w:szCs w:val="20"/>
              </w:rPr>
              <w:lastRenderedPageBreak/>
              <w:t>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noWrap/>
            <w:vAlign w:val="center"/>
          </w:tcPr>
          <w:p w:rsidR="001F11FA" w:rsidRDefault="001F11FA">
            <w:pPr>
              <w:widowControl/>
              <w:jc w:val="left"/>
              <w:rPr>
                <w:rFonts w:ascii="仿宋_GB2312" w:eastAsia="仿宋_GB2312" w:hAnsi="宋体" w:cs="宋体"/>
                <w:kern w:val="0"/>
                <w:sz w:val="20"/>
                <w:szCs w:val="20"/>
              </w:rPr>
            </w:pP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6</w:t>
            </w:r>
          </w:p>
        </w:tc>
      </w:tr>
      <w:tr w:rsidR="001F11FA">
        <w:trPr>
          <w:trHeight w:val="1375"/>
          <w:jc w:val="center"/>
        </w:trPr>
        <w:tc>
          <w:tcPr>
            <w:tcW w:w="411" w:type="dxa"/>
            <w:tcBorders>
              <w:top w:val="nil"/>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noWrap/>
            <w:vAlign w:val="center"/>
          </w:tcPr>
          <w:p w:rsidR="001F11FA" w:rsidRDefault="001F11FA">
            <w:pPr>
              <w:jc w:val="center"/>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noWrap/>
            <w:vAlign w:val="center"/>
          </w:tcPr>
          <w:p w:rsidR="001F11FA" w:rsidRDefault="001F11FA">
            <w:pPr>
              <w:jc w:val="left"/>
              <w:rPr>
                <w:rFonts w:ascii="仿宋_GB2312" w:eastAsia="仿宋_GB2312" w:hAnsi="宋体" w:cs="宋体"/>
                <w:kern w:val="0"/>
                <w:sz w:val="20"/>
                <w:szCs w:val="20"/>
              </w:rPr>
            </w:pP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1615"/>
          <w:jc w:val="center"/>
        </w:trPr>
        <w:tc>
          <w:tcPr>
            <w:tcW w:w="411" w:type="dxa"/>
            <w:vMerge w:val="restart"/>
            <w:tcBorders>
              <w:top w:val="single" w:sz="4" w:space="0" w:color="auto"/>
            </w:tcBorders>
            <w:noWrap/>
            <w:textDirection w:val="tbRlV"/>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noWrap/>
            <w:vAlign w:val="center"/>
          </w:tcPr>
          <w:p w:rsidR="001F11FA" w:rsidRDefault="00EF0976">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978"/>
          <w:jc w:val="center"/>
        </w:trPr>
        <w:tc>
          <w:tcPr>
            <w:tcW w:w="411" w:type="dxa"/>
            <w:vMerge/>
            <w:tcBorders>
              <w:bottom w:val="single" w:sz="4" w:space="0" w:color="auto"/>
            </w:tcBorders>
            <w:noWrap/>
            <w:textDirection w:val="tbRlV"/>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1F11FA" w:rsidRDefault="00EF0976">
            <w:pP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noWrap/>
            <w:vAlign w:val="center"/>
          </w:tcPr>
          <w:p w:rsidR="001F11FA" w:rsidRDefault="00EF0976">
            <w:pP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noWrap/>
            <w:vAlign w:val="center"/>
          </w:tcPr>
          <w:p w:rsidR="001F11FA" w:rsidRDefault="00EF097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noWrap/>
            <w:vAlign w:val="center"/>
          </w:tcPr>
          <w:p w:rsidR="001F11FA" w:rsidRDefault="001F11FA">
            <w:pPr>
              <w:autoSpaceDN w:val="0"/>
              <w:jc w:val="left"/>
              <w:textAlignment w:val="center"/>
              <w:rPr>
                <w:rFonts w:ascii="仿宋_GB2312" w:eastAsia="仿宋_GB2312" w:hAnsi="宋体" w:cs="宋体"/>
                <w:kern w:val="0"/>
                <w:sz w:val="20"/>
                <w:szCs w:val="20"/>
              </w:rPr>
            </w:pPr>
          </w:p>
        </w:tc>
        <w:tc>
          <w:tcPr>
            <w:tcW w:w="617" w:type="dxa"/>
            <w:noWrap/>
            <w:vAlign w:val="center"/>
          </w:tcPr>
          <w:p w:rsidR="001F11FA" w:rsidRDefault="00507D34">
            <w:pPr>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667"/>
          <w:jc w:val="center"/>
        </w:trPr>
        <w:tc>
          <w:tcPr>
            <w:tcW w:w="411" w:type="dxa"/>
            <w:vMerge w:val="restart"/>
            <w:tcBorders>
              <w:top w:val="single" w:sz="4" w:space="0" w:color="auto"/>
              <w:bottom w:val="single" w:sz="4" w:space="0" w:color="auto"/>
            </w:tcBorders>
            <w:noWrap/>
            <w:textDirection w:val="tbRlV"/>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noWrap/>
            <w:vAlign w:val="center"/>
          </w:tcPr>
          <w:p w:rsidR="001F11FA" w:rsidRDefault="00EF097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此三项指标可根据部门实际并结合2021年度部门整体支出绩效目标设立情况有选择的进行评价。</w:t>
            </w:r>
          </w:p>
        </w:tc>
        <w:tc>
          <w:tcPr>
            <w:tcW w:w="617" w:type="dxa"/>
            <w:vMerge w:val="restart"/>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702"/>
          <w:jc w:val="center"/>
        </w:trPr>
        <w:tc>
          <w:tcPr>
            <w:tcW w:w="411"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noWrap/>
            <w:vAlign w:val="center"/>
          </w:tcPr>
          <w:p w:rsidR="001F11FA" w:rsidRDefault="001F11FA">
            <w:pPr>
              <w:widowControl/>
              <w:rPr>
                <w:rFonts w:ascii="仿宋_GB2312" w:eastAsia="仿宋_GB2312" w:hAnsi="宋体" w:cs="宋体"/>
                <w:kern w:val="0"/>
                <w:sz w:val="20"/>
                <w:szCs w:val="20"/>
              </w:rPr>
            </w:pPr>
          </w:p>
        </w:tc>
        <w:tc>
          <w:tcPr>
            <w:tcW w:w="6590" w:type="dxa"/>
            <w:gridSpan w:val="2"/>
            <w:vMerge/>
            <w:noWrap/>
            <w:vAlign w:val="center"/>
          </w:tcPr>
          <w:p w:rsidR="001F11FA" w:rsidRDefault="001F11FA">
            <w:pPr>
              <w:widowControl/>
              <w:jc w:val="left"/>
              <w:rPr>
                <w:rFonts w:ascii="仿宋_GB2312" w:eastAsia="仿宋_GB2312" w:hAnsi="宋体" w:cs="宋体"/>
                <w:kern w:val="0"/>
                <w:sz w:val="20"/>
                <w:szCs w:val="20"/>
              </w:rPr>
            </w:pPr>
          </w:p>
        </w:tc>
        <w:tc>
          <w:tcPr>
            <w:tcW w:w="617" w:type="dxa"/>
            <w:vMerge/>
            <w:noWrap/>
            <w:vAlign w:val="center"/>
          </w:tcPr>
          <w:p w:rsidR="001F11FA" w:rsidRDefault="001F11FA">
            <w:pPr>
              <w:widowControl/>
              <w:jc w:val="center"/>
              <w:rPr>
                <w:rFonts w:ascii="宋体" w:eastAsia="宋体" w:hAnsi="宋体" w:cs="宋体"/>
                <w:kern w:val="0"/>
                <w:sz w:val="24"/>
              </w:rPr>
            </w:pPr>
          </w:p>
        </w:tc>
      </w:tr>
      <w:tr w:rsidR="001F11FA">
        <w:trPr>
          <w:trHeight w:val="738"/>
          <w:jc w:val="center"/>
        </w:trPr>
        <w:tc>
          <w:tcPr>
            <w:tcW w:w="411"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noWrap/>
            <w:vAlign w:val="center"/>
          </w:tcPr>
          <w:p w:rsidR="001F11FA" w:rsidRDefault="001F11FA">
            <w:pPr>
              <w:widowControl/>
              <w:rPr>
                <w:rFonts w:ascii="仿宋_GB2312" w:eastAsia="仿宋_GB2312" w:hAnsi="宋体" w:cs="宋体"/>
                <w:kern w:val="0"/>
                <w:sz w:val="20"/>
                <w:szCs w:val="20"/>
              </w:rPr>
            </w:pPr>
          </w:p>
        </w:tc>
        <w:tc>
          <w:tcPr>
            <w:tcW w:w="6590" w:type="dxa"/>
            <w:gridSpan w:val="2"/>
            <w:vMerge/>
            <w:noWrap/>
            <w:vAlign w:val="center"/>
          </w:tcPr>
          <w:p w:rsidR="001F11FA" w:rsidRDefault="001F11FA">
            <w:pPr>
              <w:widowControl/>
              <w:jc w:val="left"/>
              <w:rPr>
                <w:rFonts w:ascii="仿宋_GB2312" w:eastAsia="仿宋_GB2312" w:hAnsi="宋体" w:cs="宋体"/>
                <w:kern w:val="0"/>
                <w:sz w:val="20"/>
                <w:szCs w:val="20"/>
              </w:rPr>
            </w:pPr>
          </w:p>
        </w:tc>
        <w:tc>
          <w:tcPr>
            <w:tcW w:w="617" w:type="dxa"/>
            <w:vMerge/>
            <w:noWrap/>
            <w:vAlign w:val="center"/>
          </w:tcPr>
          <w:p w:rsidR="001F11FA" w:rsidRDefault="001F11FA">
            <w:pPr>
              <w:widowControl/>
              <w:jc w:val="center"/>
              <w:rPr>
                <w:rFonts w:ascii="宋体" w:eastAsia="宋体" w:hAnsi="宋体" w:cs="宋体"/>
                <w:kern w:val="0"/>
                <w:sz w:val="24"/>
              </w:rPr>
            </w:pPr>
          </w:p>
        </w:tc>
      </w:tr>
      <w:tr w:rsidR="001F11FA">
        <w:trPr>
          <w:trHeight w:val="1720"/>
          <w:jc w:val="center"/>
        </w:trPr>
        <w:tc>
          <w:tcPr>
            <w:tcW w:w="411"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567" w:type="dxa"/>
            <w:vMerge/>
            <w:tcBorders>
              <w:top w:val="single" w:sz="4" w:space="0" w:color="auto"/>
              <w:bottom w:val="single" w:sz="4" w:space="0" w:color="auto"/>
            </w:tcBorders>
            <w:noWrap/>
            <w:vAlign w:val="center"/>
          </w:tcPr>
          <w:p w:rsidR="001F11FA" w:rsidRDefault="001F11FA">
            <w:pPr>
              <w:widowControl/>
              <w:jc w:val="center"/>
              <w:rPr>
                <w:rFonts w:ascii="仿宋_GB2312" w:eastAsia="仿宋_GB2312" w:hAnsi="宋体" w:cs="宋体"/>
                <w:kern w:val="0"/>
                <w:sz w:val="20"/>
                <w:szCs w:val="20"/>
              </w:rPr>
            </w:pPr>
          </w:p>
        </w:tc>
        <w:tc>
          <w:tcPr>
            <w:tcW w:w="851"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noWrap/>
            <w:vAlign w:val="center"/>
          </w:tcPr>
          <w:p w:rsidR="001F11FA" w:rsidRDefault="00EF097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noWrap/>
            <w:vAlign w:val="center"/>
          </w:tcPr>
          <w:p w:rsidR="001F11FA" w:rsidRDefault="00EF097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noWrap/>
            <w:vAlign w:val="center"/>
          </w:tcPr>
          <w:p w:rsidR="001F11FA" w:rsidRDefault="00507D34">
            <w:pPr>
              <w:widowControl/>
              <w:jc w:val="center"/>
              <w:rPr>
                <w:rFonts w:ascii="宋体" w:eastAsia="宋体" w:hAnsi="宋体" w:cs="宋体"/>
                <w:kern w:val="0"/>
                <w:sz w:val="24"/>
              </w:rPr>
            </w:pPr>
            <w:r>
              <w:rPr>
                <w:rFonts w:ascii="宋体" w:eastAsia="宋体" w:hAnsi="宋体" w:cs="宋体" w:hint="eastAsia"/>
                <w:kern w:val="0"/>
                <w:sz w:val="24"/>
              </w:rPr>
              <w:t>2</w:t>
            </w:r>
          </w:p>
        </w:tc>
      </w:tr>
      <w:tr w:rsidR="001F11FA">
        <w:trPr>
          <w:trHeight w:val="666"/>
          <w:jc w:val="center"/>
        </w:trPr>
        <w:tc>
          <w:tcPr>
            <w:tcW w:w="840" w:type="dxa"/>
            <w:gridSpan w:val="2"/>
            <w:noWrap/>
            <w:vAlign w:val="center"/>
          </w:tcPr>
          <w:p w:rsidR="001F11FA" w:rsidRDefault="00EF0976">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noWrap/>
            <w:vAlign w:val="center"/>
          </w:tcPr>
          <w:p w:rsidR="001F11FA" w:rsidRDefault="001F11FA">
            <w:pPr>
              <w:widowControl/>
              <w:jc w:val="left"/>
              <w:rPr>
                <w:rFonts w:ascii="仿宋_GB2312" w:eastAsia="仿宋_GB2312" w:hAnsi="宋体" w:cs="宋体"/>
                <w:kern w:val="0"/>
                <w:sz w:val="20"/>
                <w:szCs w:val="20"/>
              </w:rPr>
            </w:pPr>
          </w:p>
        </w:tc>
        <w:tc>
          <w:tcPr>
            <w:tcW w:w="617" w:type="dxa"/>
            <w:noWrap/>
            <w:vAlign w:val="center"/>
          </w:tcPr>
          <w:p w:rsidR="001F11FA" w:rsidRDefault="00ED04F2">
            <w:pPr>
              <w:widowControl/>
              <w:jc w:val="center"/>
              <w:rPr>
                <w:rFonts w:ascii="宋体" w:eastAsia="宋体" w:hAnsi="宋体" w:cs="宋体"/>
                <w:kern w:val="0"/>
                <w:sz w:val="24"/>
              </w:rPr>
            </w:pPr>
            <w:r>
              <w:rPr>
                <w:rFonts w:ascii="宋体" w:eastAsia="宋体" w:hAnsi="宋体" w:cs="宋体" w:hint="eastAsia"/>
                <w:kern w:val="0"/>
                <w:sz w:val="24"/>
              </w:rPr>
              <w:t>90</w:t>
            </w:r>
          </w:p>
        </w:tc>
      </w:tr>
    </w:tbl>
    <w:p w:rsidR="001F11FA" w:rsidRDefault="001F11FA">
      <w:pPr>
        <w:spacing w:line="600" w:lineRule="exact"/>
        <w:rPr>
          <w:rFonts w:ascii="宋体" w:hAnsi="宋体" w:cs="宋体"/>
          <w:kern w:val="0"/>
          <w:sz w:val="32"/>
          <w:szCs w:val="32"/>
        </w:rPr>
      </w:pPr>
    </w:p>
    <w:p w:rsidR="001F11FA" w:rsidRDefault="001F11FA"/>
    <w:p w:rsidR="001F11FA" w:rsidRDefault="001F11FA">
      <w:bookmarkStart w:id="1" w:name="_GoBack"/>
      <w:bookmarkEnd w:id="1"/>
    </w:p>
    <w:sectPr w:rsidR="001F11FA" w:rsidSect="001F1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E1" w:rsidRDefault="00D551E1" w:rsidP="00BC5658">
      <w:r>
        <w:separator/>
      </w:r>
    </w:p>
  </w:endnote>
  <w:endnote w:type="continuationSeparator" w:id="1">
    <w:p w:rsidR="00D551E1" w:rsidRDefault="00D551E1" w:rsidP="00BC5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E1" w:rsidRDefault="00D551E1" w:rsidP="00BC5658">
      <w:r>
        <w:separator/>
      </w:r>
    </w:p>
  </w:footnote>
  <w:footnote w:type="continuationSeparator" w:id="1">
    <w:p w:rsidR="00D551E1" w:rsidRDefault="00D551E1" w:rsidP="00BC5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E2DDA3"/>
    <w:multiLevelType w:val="singleLevel"/>
    <w:tmpl w:val="8DE2DDA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zY2E2NThmNTlmNmMzMDE1ZGUyMTE2NzZkNjRjMDEifQ=="/>
  </w:docVars>
  <w:rsids>
    <w:rsidRoot w:val="001F11FA"/>
    <w:rsid w:val="00103523"/>
    <w:rsid w:val="00140423"/>
    <w:rsid w:val="00155596"/>
    <w:rsid w:val="001F11FA"/>
    <w:rsid w:val="00224694"/>
    <w:rsid w:val="00294B91"/>
    <w:rsid w:val="003A3582"/>
    <w:rsid w:val="004C3DA7"/>
    <w:rsid w:val="00506984"/>
    <w:rsid w:val="00507D34"/>
    <w:rsid w:val="00621C23"/>
    <w:rsid w:val="00650022"/>
    <w:rsid w:val="00A83CA5"/>
    <w:rsid w:val="00B57FF3"/>
    <w:rsid w:val="00B62380"/>
    <w:rsid w:val="00BC5658"/>
    <w:rsid w:val="00D551E1"/>
    <w:rsid w:val="00D61907"/>
    <w:rsid w:val="00ED04F2"/>
    <w:rsid w:val="00EE2CEA"/>
    <w:rsid w:val="00EF0976"/>
    <w:rsid w:val="1EAC476E"/>
    <w:rsid w:val="45AD0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1F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F11FA"/>
    <w:pPr>
      <w:tabs>
        <w:tab w:val="center" w:pos="4153"/>
        <w:tab w:val="right" w:pos="8306"/>
      </w:tabs>
      <w:snapToGrid w:val="0"/>
      <w:jc w:val="left"/>
    </w:pPr>
    <w:rPr>
      <w:sz w:val="18"/>
    </w:rPr>
  </w:style>
  <w:style w:type="paragraph" w:styleId="a4">
    <w:name w:val="header"/>
    <w:basedOn w:val="a"/>
    <w:qFormat/>
    <w:rsid w:val="001F11F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rsid w:val="001F11FA"/>
    <w:rPr>
      <w:sz w:val="24"/>
    </w:rPr>
  </w:style>
  <w:style w:type="character" w:styleId="a6">
    <w:name w:val="page number"/>
    <w:basedOn w:val="a0"/>
    <w:qFormat/>
    <w:rsid w:val="001F11FA"/>
  </w:style>
  <w:style w:type="character" w:styleId="a7">
    <w:name w:val="FollowedHyperlink"/>
    <w:basedOn w:val="a0"/>
    <w:rsid w:val="001F11FA"/>
    <w:rPr>
      <w:color w:val="444444"/>
      <w:u w:val="none"/>
    </w:rPr>
  </w:style>
  <w:style w:type="character" w:styleId="a8">
    <w:name w:val="Hyperlink"/>
    <w:basedOn w:val="a0"/>
    <w:rsid w:val="001F11FA"/>
    <w:rPr>
      <w:color w:val="444444"/>
      <w:u w:val="none"/>
    </w:rPr>
  </w:style>
  <w:style w:type="character" w:customStyle="1" w:styleId="gai">
    <w:name w:val="gai"/>
    <w:basedOn w:val="a0"/>
    <w:rsid w:val="001F11FA"/>
  </w:style>
  <w:style w:type="character" w:customStyle="1" w:styleId="gai1">
    <w:name w:val="gai1"/>
    <w:basedOn w:val="a0"/>
    <w:rsid w:val="001F11FA"/>
  </w:style>
  <w:style w:type="character" w:customStyle="1" w:styleId="gai2">
    <w:name w:val="gai2"/>
    <w:basedOn w:val="a0"/>
    <w:qFormat/>
    <w:rsid w:val="001F11FA"/>
  </w:style>
  <w:style w:type="character" w:customStyle="1" w:styleId="gai3">
    <w:name w:val="gai3"/>
    <w:basedOn w:val="a0"/>
    <w:rsid w:val="001F11FA"/>
  </w:style>
  <w:style w:type="character" w:customStyle="1" w:styleId="gai4">
    <w:name w:val="gai4"/>
    <w:basedOn w:val="a0"/>
    <w:rsid w:val="001F11FA"/>
  </w:style>
  <w:style w:type="character" w:customStyle="1" w:styleId="you">
    <w:name w:val="you"/>
    <w:basedOn w:val="a0"/>
    <w:rsid w:val="001F11FA"/>
  </w:style>
  <w:style w:type="character" w:customStyle="1" w:styleId="info-valid">
    <w:name w:val="info-valid"/>
    <w:basedOn w:val="a0"/>
    <w:rsid w:val="001F11FA"/>
    <w:rPr>
      <w:color w:val="444444"/>
    </w:rPr>
  </w:style>
  <w:style w:type="character" w:customStyle="1" w:styleId="tit2">
    <w:name w:val="tit2"/>
    <w:basedOn w:val="a0"/>
    <w:qFormat/>
    <w:rsid w:val="001F11FA"/>
    <w:rPr>
      <w:color w:val="1D0000"/>
      <w:sz w:val="33"/>
      <w:szCs w:val="33"/>
    </w:rPr>
  </w:style>
  <w:style w:type="character" w:customStyle="1" w:styleId="tianqi">
    <w:name w:val="tianqi"/>
    <w:basedOn w:val="a0"/>
    <w:rsid w:val="001F11FA"/>
  </w:style>
  <w:style w:type="character" w:customStyle="1" w:styleId="sjzs">
    <w:name w:val="sjzs"/>
    <w:basedOn w:val="a0"/>
    <w:qFormat/>
    <w:rsid w:val="001F11FA"/>
    <w:rPr>
      <w:sz w:val="27"/>
      <w:szCs w:val="27"/>
    </w:rPr>
  </w:style>
  <w:style w:type="character" w:customStyle="1" w:styleId="quanp">
    <w:name w:val="quanp"/>
    <w:basedOn w:val="a0"/>
    <w:qFormat/>
    <w:rsid w:val="001F11FA"/>
    <w:rPr>
      <w:color w:val="FFFFFF"/>
      <w:shd w:val="clear" w:color="auto" w:fill="7CB8FE"/>
    </w:rPr>
  </w:style>
  <w:style w:type="character" w:customStyle="1" w:styleId="lname">
    <w:name w:val="lname"/>
    <w:basedOn w:val="a0"/>
    <w:qFormat/>
    <w:rsid w:val="001F11FA"/>
    <w:rPr>
      <w:color w:val="000000"/>
      <w:sz w:val="30"/>
      <w:szCs w:val="30"/>
    </w:rPr>
  </w:style>
  <w:style w:type="character" w:customStyle="1" w:styleId="first-child4">
    <w:name w:val="first-child4"/>
    <w:basedOn w:val="a0"/>
    <w:qFormat/>
    <w:rsid w:val="001F11FA"/>
    <w:rPr>
      <w:color w:val="BD1B09"/>
    </w:rPr>
  </w:style>
  <w:style w:type="character" w:customStyle="1" w:styleId="first-child5">
    <w:name w:val="first-child5"/>
    <w:basedOn w:val="a0"/>
    <w:qFormat/>
    <w:rsid w:val="001F11FA"/>
    <w:rPr>
      <w:color w:val="878787"/>
      <w:sz w:val="36"/>
      <w:szCs w:val="36"/>
      <w:shd w:val="clear" w:color="auto" w:fill="FFFFFF"/>
    </w:rPr>
  </w:style>
  <w:style w:type="character" w:customStyle="1" w:styleId="ldjs">
    <w:name w:val="ldjs"/>
    <w:basedOn w:val="a0"/>
    <w:qFormat/>
    <w:rsid w:val="001F11FA"/>
    <w:rPr>
      <w:color w:val="666666"/>
      <w:sz w:val="24"/>
      <w:szCs w:val="24"/>
    </w:rPr>
  </w:style>
  <w:style w:type="character" w:customStyle="1" w:styleId="quanp2">
    <w:name w:val="quanp2"/>
    <w:basedOn w:val="a0"/>
    <w:qFormat/>
    <w:rsid w:val="001F11FA"/>
    <w:rPr>
      <w:color w:val="FFFFFF"/>
      <w:sz w:val="0"/>
      <w:szCs w:val="0"/>
      <w:shd w:val="clear" w:color="auto" w:fill="7CB8FE"/>
    </w:rPr>
  </w:style>
  <w:style w:type="character" w:customStyle="1" w:styleId="jiaoluo">
    <w:name w:val="jiaoluo"/>
    <w:basedOn w:val="a0"/>
    <w:qFormat/>
    <w:rsid w:val="001F11FA"/>
  </w:style>
  <w:style w:type="character" w:customStyle="1" w:styleId="last3">
    <w:name w:val="last3"/>
    <w:basedOn w:val="a0"/>
    <w:qFormat/>
    <w:rsid w:val="001F11FA"/>
  </w:style>
  <w:style w:type="character" w:customStyle="1" w:styleId="last4">
    <w:name w:val="last4"/>
    <w:basedOn w:val="a0"/>
    <w:qFormat/>
    <w:rsid w:val="001F11FA"/>
  </w:style>
  <w:style w:type="character" w:customStyle="1" w:styleId="fanhui">
    <w:name w:val="fanhui"/>
    <w:basedOn w:val="a0"/>
    <w:qFormat/>
    <w:rsid w:val="001F11FA"/>
    <w:rPr>
      <w:color w:val="FFFFFF"/>
      <w:sz w:val="24"/>
      <w:szCs w:val="24"/>
    </w:rPr>
  </w:style>
  <w:style w:type="character" w:customStyle="1" w:styleId="jiaoluo2">
    <w:name w:val="jiaoluo2"/>
    <w:basedOn w:val="a0"/>
    <w:qFormat/>
    <w:rsid w:val="001F11FA"/>
  </w:style>
  <w:style w:type="character" w:customStyle="1" w:styleId="zuo">
    <w:name w:val="zuo"/>
    <w:basedOn w:val="a0"/>
    <w:qFormat/>
    <w:rsid w:val="001F11FA"/>
  </w:style>
  <w:style w:type="character" w:customStyle="1" w:styleId="dcs">
    <w:name w:val="dcs"/>
    <w:basedOn w:val="a0"/>
    <w:qFormat/>
    <w:rsid w:val="001F11FA"/>
    <w:rPr>
      <w:color w:val="BD1B09"/>
    </w:rPr>
  </w:style>
  <w:style w:type="character" w:customStyle="1" w:styleId="time">
    <w:name w:val="time"/>
    <w:basedOn w:val="a0"/>
    <w:qFormat/>
    <w:rsid w:val="001F11FA"/>
    <w:rPr>
      <w:color w:val="999999"/>
    </w:rPr>
  </w:style>
  <w:style w:type="character" w:customStyle="1" w:styleId="time1">
    <w:name w:val="time1"/>
    <w:basedOn w:val="a0"/>
    <w:qFormat/>
    <w:rsid w:val="001F11FA"/>
    <w:rPr>
      <w:color w:val="999999"/>
    </w:rPr>
  </w:style>
</w:styles>
</file>

<file path=word/webSettings.xml><?xml version="1.0" encoding="utf-8"?>
<w:webSettings xmlns:r="http://schemas.openxmlformats.org/officeDocument/2006/relationships" xmlns:w="http://schemas.openxmlformats.org/wordprocessingml/2006/main">
  <w:divs>
    <w:div w:id="1577671409">
      <w:bodyDiv w:val="1"/>
      <w:marLeft w:val="0"/>
      <w:marRight w:val="0"/>
      <w:marTop w:val="0"/>
      <w:marBottom w:val="0"/>
      <w:divBdr>
        <w:top w:val="none" w:sz="0" w:space="0" w:color="auto"/>
        <w:left w:val="none" w:sz="0" w:space="0" w:color="auto"/>
        <w:bottom w:val="none" w:sz="0" w:space="0" w:color="auto"/>
        <w:right w:val="none" w:sz="0" w:space="0" w:color="auto"/>
      </w:divBdr>
      <w:divsChild>
        <w:div w:id="374693837">
          <w:marLeft w:val="0"/>
          <w:marRight w:val="0"/>
          <w:marTop w:val="0"/>
          <w:marBottom w:val="0"/>
          <w:divBdr>
            <w:top w:val="none" w:sz="0" w:space="0" w:color="auto"/>
            <w:left w:val="none" w:sz="0" w:space="0" w:color="auto"/>
            <w:bottom w:val="none" w:sz="0" w:space="0" w:color="auto"/>
            <w:right w:val="none" w:sz="0" w:space="0" w:color="auto"/>
          </w:divBdr>
          <w:divsChild>
            <w:div w:id="599604639">
              <w:marLeft w:val="0"/>
              <w:marRight w:val="0"/>
              <w:marTop w:val="100"/>
              <w:marBottom w:val="100"/>
              <w:divBdr>
                <w:top w:val="none" w:sz="0" w:space="0" w:color="auto"/>
                <w:left w:val="none" w:sz="0" w:space="0" w:color="auto"/>
                <w:bottom w:val="none" w:sz="0" w:space="0" w:color="auto"/>
                <w:right w:val="none" w:sz="0" w:space="0" w:color="auto"/>
              </w:divBdr>
              <w:divsChild>
                <w:div w:id="731854953">
                  <w:marLeft w:val="0"/>
                  <w:marRight w:val="0"/>
                  <w:marTop w:val="100"/>
                  <w:marBottom w:val="100"/>
                  <w:divBdr>
                    <w:top w:val="none" w:sz="0" w:space="0" w:color="auto"/>
                    <w:left w:val="none" w:sz="0" w:space="0" w:color="auto"/>
                    <w:bottom w:val="none" w:sz="0" w:space="0" w:color="auto"/>
                    <w:right w:val="none" w:sz="0" w:space="0" w:color="auto"/>
                  </w:divBdr>
                  <w:divsChild>
                    <w:div w:id="632254820">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965</Words>
  <Characters>5506</Characters>
  <Application>Microsoft Office Word</Application>
  <DocSecurity>0</DocSecurity>
  <Lines>45</Lines>
  <Paragraphs>12</Paragraphs>
  <ScaleCrop>false</ScaleCrop>
  <Company>微软中国</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2023-04-17T07:51:00Z</dcterms:created>
  <dcterms:modified xsi:type="dcterms:W3CDTF">2023-04-17T07:52:00Z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2F54F18A2CE84DADA1B21E746E2F1685</vt:lpwstr>
  </property>
</Properties>
</file>