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纳入2022年部门决算编报的单位1个，包含邵阳市北塔区劳动保障监察大队本级，内设机构有：综合办公室、来信来访受理立案股、劳动监察股、两网化办公室。北塔区劳动监察大队事业编制4人，实有人数6人，其中在职人员3人，退休人员1人，其他人员2人。</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 xml:space="preserve"> </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（二）主要工作职责</w:t>
      </w:r>
    </w:p>
    <w:p>
      <w:pPr>
        <w:pStyle w:val="10"/>
        <w:spacing w:before="0" w:beforeAutospacing="0" w:after="2" w:afterAutospacing="0"/>
        <w:ind w:left="0" w:firstLine="641"/>
        <w:rPr>
          <w:sz w:val="27"/>
          <w:szCs w:val="27"/>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宣传并督促用人单位贯彻执行劳动保障法律、法规和规章；监察用人单位、就业服务机构遵守劳动保障法律、法规或规章的情况；受理对违反劳动保障法律、法规或者规章的行为的举报、投诉；依法纠正和查处用人单位违反劳动保障法律、法规或者规章的行为。</w:t>
      </w:r>
      <w:r>
        <w:rPr>
          <w:color w:val="000000"/>
          <w:sz w:val="32"/>
          <w:szCs w:val="32"/>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321" w:firstLineChars="10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2022年邵阳市北塔区劳动监察大队预算批复数59.92万元，其中一般公共预算拨款59.92万元；决算批复数62.61万元，其中一般公共预算财政拨款收入62.61万元，政府性基金预算财政拨款收入0万元，其他收入0万元</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基本支出年初预算安排为59.92万元（包含保运转的项目支出6万元），本年实际支出为62.61万元，主要为人员经费支出和公用经费支出，其中人员经费支出48.95万元、公用经费支出13.66万元。2022年决算基本支出35.06万元，其中：工资及福利支出48.95万元，商品和服务支出13.66万元，对个人和家庭的补助0万元，资本性支出0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2022年决算项目支出0万元，其中：文化旅游体育与传媒支出0万元；城乡社区支出0万元；农林水支出0万元；其他支出0万元。本年项目支出年初预算安排为0万元，本年实际支出为0万元，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（四）“三公”经费使用和管理情况</w:t>
      </w:r>
    </w:p>
    <w:p>
      <w:pPr>
        <w:widowControl/>
        <w:spacing w:line="600" w:lineRule="exact"/>
        <w:ind w:firstLine="560" w:firstLineChars="200"/>
        <w:jc w:val="left"/>
        <w:rPr>
          <w:rFonts w:hint="eastAsia" w:ascii="仿宋_GB2312" w:hAnsi="Times New Roman" w:eastAsia="仿宋_GB2312" w:cs="Times New Roman"/>
          <w:sz w:val="32"/>
          <w:szCs w:val="32"/>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2022年，我单位“三公经费”预算金额0万元，其中公务接待费0万元，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0万元。“三公”经费支出0万元，其中公务接待费0万元，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支出0万元</w:t>
      </w:r>
      <w:r>
        <w:rPr>
          <w:rFonts w:hint="eastAsia" w:ascii="仿宋_GB2312" w:hAnsi="Times New Roman" w:eastAsia="仿宋_GB2312" w:cs="Times New Roman"/>
          <w:sz w:val="32"/>
          <w:szCs w:val="32"/>
          <w:lang w:val="en-US" w:eastAsia="zh-CN"/>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1、预算执行情况。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⑴2022年财政拨款预算执行数62.61万元，预算安排数59.92万元，预算执行率为104.48%，当年预算调整2.69万元；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⑵公用经费预算11.27万元，实际支出13.66万元，公用经费控制率为121.2%；</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“三公经费”年初预算安排0万元，实际支出0万元，“三公经费”控制率为100%。</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rightChars="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（4）政府采购年初预算6万元，实际政府采购金额8.62万元，政府采购执行率143.66%。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2、预决算信息公开情况。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840" w:firstLineChars="3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资产管理情况。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拥有各类资产总额0.54万元，其中流动资产0万元，固定资产0.54万元。单位为加强资产管理，内部制定了资产管理制度，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经单位负责人审核同意后，再由办公室及时采购并建立固定资产实物登记台账，工作人员异动，必须及时办理固定资产移交手续，不得侵占和擅自带走，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宣传有深度。一是召开联席会议。召开北塔区就业和农民工工作暨根治拖欠农民工工资工作领导小组联席会议，部署全区保障农民工工资支付考核工作及北塔区“用心用情•湘薪湘护”根治欠薪制度落实专项行动工作，明确成员单位职责，形成齐抓共管的工作机制。二是开展现场宣传。抓住春节、专项行动等关键时间节点，进镇（街道）、社区、企业等开展十余场《保障农民工工资支付条例》宣传活动，现场发放《条例》、《职工维权手册》、《劳动合同法》等宣传手册。活动过程中，工作人员耐心地向群众宣传政策法规，有效提高农民工的维权意识。</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巡查有广度。一是监察执法从“事后查处”向“事先预防”转变，</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确定了先服务、后规范的工作思路，提高用人单位依法用工的责任意识。劳动保障监察充分利用日常巡查、专项行动、双随机一公开等，加大对重点行业、重点企业的监管力度。下达《劳动保障监察调查询问通知书》30份、《劳动保障监察限期改正指令书》25份，受理完成群众投诉举报劳动保障违法案件37起，共为120名劳动者追讨工资72万余元，立案移交公安1起。办理“全国根治欠薪线索反映平台”欠薪线索件件有落实，件件有回复，实时办结率100%。二是对区内18家企业4053名从业人员进行“企业薪酬调查”抽样调查；“双随机一公开”执法行动抽查检查5次，抽取检查对象21家，按规定将相关情况在网站上向社会公布；4月开展辖区内在建工程项目进行风险排查，对9家在建工程项目进行保障农民工工资支付核查。三是完成市保障农民工工资支付检查领导小组对辖区内3家政</w:t>
      </w:r>
      <w:r>
        <w:rPr>
          <w:rFonts w:hint="eastAsia" w:ascii="宋体" w:hAnsi="宋体" w:eastAsia="宋体" w:cs="宋体"/>
          <w:i w:val="0"/>
          <w:iCs w:val="0"/>
          <w:caps w:val="0"/>
          <w:color w:val="000000" w:themeColor="text1"/>
          <w:spacing w:val="0"/>
          <w:kern w:val="2"/>
          <w:sz w:val="28"/>
          <w:szCs w:val="28"/>
          <w:highlight w:val="none"/>
          <w:shd w:val="clear" w:fill="FFFFFF"/>
          <w:lang w:val="en-US" w:eastAsia="zh-CN" w:bidi="ar-SA"/>
          <w14:textFill>
            <w14:solidFill>
              <w14:schemeClr w14:val="tx1"/>
            </w14:solidFill>
          </w14:textFill>
        </w:rPr>
        <w:t>府投资、3家社会投资</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项目现场核查的迎检工作，并根据检查组反馈的问题，深入抓好整改，制定具体整改措施，逐项对标落实。四是人社、住建、农水等部门联合开展“用心用情 湘薪湘护”等根治欠薪专项行动4次,深入辖区内15家建筑工地开展劳动用工检查及宣传，主要检查建设项目开设农民工工资专用账户、缴纳工资保证金、总包代发工资、农民工实名制管理等情况，对于发现的各类问题，检查组立即向用人单位下达限期改正指令书，并由区根治欠薪领导小组办向行业主管部门进行交办，今年来领导小组办共下达督办函4份，做到部门联动、精准治欠，形成了问题“发现、反馈、整改、回头看”的全流程闭环监管模式。</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落实有力度。严格落实保障农民工工资支付的各项制度。强化实名制管理，完善劳动合同管理，督促企业落实与农民工先签劳动合同后进场施工的规定,在建项目的劳动合同签订。落实农民</w:t>
      </w:r>
      <w:r>
        <w:rPr>
          <w:rFonts w:hint="eastAsia" w:ascii="宋体" w:hAnsi="宋体" w:eastAsia="宋体" w:cs="宋体"/>
          <w:i w:val="0"/>
          <w:iCs w:val="0"/>
          <w:caps w:val="0"/>
          <w:color w:val="444444"/>
          <w:spacing w:val="0"/>
          <w:kern w:val="2"/>
          <w:sz w:val="28"/>
          <w:szCs w:val="28"/>
          <w:shd w:val="clear" w:fill="FFFFFF"/>
          <w:lang w:val="en-US" w:eastAsia="zh-CN" w:bidi="ar-SA"/>
        </w:rPr>
        <w:t>工工资专用账户管理制度。坚持农民工工资与工程款分账拨付，消除由于工程款不到位导致的欠薪问题。实行分包企业委托总包企业直接向农民工代发工资的办法，防范农民工工资款项被中途截留，杜绝因此产生的欠薪纠纷。住建、交通、水利等行业主管部门切实履行职责，加大对工程建设领域市场秩序的整顿力度,严厉打击工程建设领域各类违法行为，重点依法查处挂靠承包、违法分包、转包等违法行为，从源头上遏制欠薪问题。</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1、预算编制不够明确和细化，预算编制的合理性需要提高，预算执行力度还要进一步加强。资金使用效益有待进一步提高，绩效目标设立不够明确、细化和量化。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2、财务制度方面不够规范，没有建立健全完善的机制体系，对绩效评价认识不足。</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3、人员素质有待提高。由于人员变动，单位对相关绩效管理业务不熟练，加上缺乏系统的培训，业务操作水平有限。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1、细化预算编制工作，认真做好预算的编制。进一步加强内设机构的预算管理意识，严格按照预算编制的相关制度和要求进行预算编制。</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3、加强政策学习，提高思想认识。组织相关人员认真学习《会计法》、《预算法》等相关法规、制度，提高业务人员的业务水平及思想认识，为绩效评价工作夯实基础。</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6"/>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90</w:t>
            </w:r>
          </w:p>
        </w:tc>
      </w:tr>
    </w:tbl>
    <w:p>
      <w:pPr>
        <w:spacing w:line="600" w:lineRule="exact"/>
        <w:rPr>
          <w:rFonts w:ascii="宋体" w:hAnsi="宋体" w:cs="宋体"/>
          <w:kern w:val="0"/>
          <w:sz w:val="32"/>
          <w:szCs w:val="32"/>
        </w:rPr>
      </w:pP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5B908"/>
    <w:multiLevelType w:val="singleLevel"/>
    <w:tmpl w:val="D8E5B908"/>
    <w:lvl w:ilvl="0" w:tentative="0">
      <w:start w:val="3"/>
      <w:numFmt w:val="decimal"/>
      <w:suff w:val="nothing"/>
      <w:lvlText w:val="%1、"/>
      <w:lvlJc w:val="left"/>
    </w:lvl>
  </w:abstractNum>
  <w:abstractNum w:abstractNumId="1">
    <w:nsid w:val="0CAA2408"/>
    <w:multiLevelType w:val="singleLevel"/>
    <w:tmpl w:val="0CAA2408"/>
    <w:lvl w:ilvl="0" w:tentative="0">
      <w:start w:val="2"/>
      <w:numFmt w:val="chineseCounting"/>
      <w:suff w:val="nothing"/>
      <w:lvlText w:val="（%1）"/>
      <w:lvlJc w:val="left"/>
      <w:rPr>
        <w:rFonts w:hint="eastAsia"/>
      </w:rPr>
    </w:lvl>
  </w:abstractNum>
  <w:abstractNum w:abstractNumId="2">
    <w:nsid w:val="52ACC286"/>
    <w:multiLevelType w:val="singleLevel"/>
    <w:tmpl w:val="52ACC286"/>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8C30309"/>
    <w:rsid w:val="09E17252"/>
    <w:rsid w:val="0D5E3707"/>
    <w:rsid w:val="0F1F0340"/>
    <w:rsid w:val="11E84674"/>
    <w:rsid w:val="126C42B4"/>
    <w:rsid w:val="17042185"/>
    <w:rsid w:val="1F010C8F"/>
    <w:rsid w:val="20F63895"/>
    <w:rsid w:val="225F3847"/>
    <w:rsid w:val="23A71DFE"/>
    <w:rsid w:val="2575216F"/>
    <w:rsid w:val="26166273"/>
    <w:rsid w:val="2B032004"/>
    <w:rsid w:val="2C7529D1"/>
    <w:rsid w:val="2D6C05C8"/>
    <w:rsid w:val="33CC08DA"/>
    <w:rsid w:val="3619015E"/>
    <w:rsid w:val="36E22B02"/>
    <w:rsid w:val="37A26170"/>
    <w:rsid w:val="3B9303B2"/>
    <w:rsid w:val="3C8416D7"/>
    <w:rsid w:val="3EE66A72"/>
    <w:rsid w:val="3FAB09ED"/>
    <w:rsid w:val="41635215"/>
    <w:rsid w:val="41C17D29"/>
    <w:rsid w:val="4343688D"/>
    <w:rsid w:val="44161BF7"/>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 w:val="7DAF7C17"/>
    <w:rsid w:val="7E09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unhideWhenUsed/>
    <w:qFormat/>
    <w:uiPriority w:val="99"/>
    <w:pPr>
      <w:spacing w:after="0" w:line="660" w:lineRule="exact"/>
      <w:ind w:left="0" w:leftChars="0" w:firstLine="420" w:firstLineChars="200"/>
    </w:pPr>
    <w:rPr>
      <w:rFonts w:ascii="仿宋_GB2312" w:eastAsia="仿宋_GB2312"/>
      <w:snapToGrid w:val="0"/>
      <w:sz w:val="32"/>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9">
    <w:name w:val="List Paragraph"/>
    <w:basedOn w:val="1"/>
    <w:qFormat/>
    <w:uiPriority w:val="99"/>
    <w:pPr>
      <w:ind w:firstLine="420" w:firstLineChars="200"/>
    </w:pPr>
    <w:rPr>
      <w:rFonts w:ascii="Times New Roman" w:hAnsi="Times New Roman"/>
      <w:szCs w:val="24"/>
    </w:rPr>
  </w:style>
  <w:style w:type="paragraph" w:customStyle="1" w:styleId="10">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2976</Words>
  <Characters>3208</Characters>
  <Lines>0</Lines>
  <Paragraphs>0</Paragraphs>
  <TotalTime>0</TotalTime>
  <ScaleCrop>false</ScaleCrop>
  <LinksUpToDate>false</LinksUpToDate>
  <CharactersWithSpaces>3213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0DE5FAEE9D0C4B4CA48BDC526B7C8689_13</vt:lpwstr>
  </property>
</Properties>
</file>