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北塔区就业服务中心2020年度部门整体支出绩效评价报告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邵阳市北塔区财政单位关于开展2020年度项目和整体支出绩效自评的通知》（邵北财绩〔2021〕3号）文件精神，我单位对2020年度部门整体支出绩效进行了全面综合评价。整体支出分基本支出和项目支出两部分，基本支出的评价重点是厉行节约保运转，降低行政运行成本；项目支出的评价重点是规范管理促发展，专款专用，提高资金使用效益。现将绩效评价情况及评价结果报告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一、部门概况</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（一）基本情况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北塔区就业服务中心为区政府工作部门，为副科级公益一类全额拨款事业单位，由区人社单位统一领导和管理。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1、主要职能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落实职业介绍补贴、职业培训补贴、公益性岗位补贴、社保保险补贴、职业技能鉴定补贴、就业见习补贴、特定政策补助及小额补助及小额贷款担保基金赫尔微利项目的小额担保贷款贴息，扶持公共就业服务，扶持创业带动就业，落实高技能人才培训基础能力建设等政策，提供就业政策法规咨询服务；开展统筹城乡就业工作，统筹做好城乡各类群体的就业服务工作；建立就业困难人员和农村贫困户数据库，对就业困难人员和农村贫困户实施就业援助，建议就业援助长效机制；组织实施劳动力资源调查和就业与失业情况统计分析工作，提供就业培训、创业培训、小额担保贷款、劳动保障事务代理等服务；负责办理就业登记、失业登记等事务，管理辖区内失业人员档案；负责本行政区域内公共就业服务体系的建设和业务工作、就业服务功能的扩展，定期对工作人员进行业务知识培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2、机构情况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核定事业编制2名，设主任1名。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3、人员情况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北塔区就业服务中心编制人数2人，在职人数2人，离退休2人。</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（二）2020年重点工作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2020年，我单位扎实推进了以下重点工作，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切实开展就业基层数据大调研，务实信息质量基础。2、做好北塔区退捕渔民转产专业和就业服务相关工作。3、促进贫困劳动力就地就近就业，多渠道提供就业岗位。4、认真组织就业技能培训调研，加大就业技能培训力度。5、拓展线上线下招聘渠道，为劳动力就业搭建就业平台。6、有组织劳务输出，“点对点”输送劳动力。</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（三）整体支出情况 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整体收支决算情况2020年决算收入273.66万元，其中年初结转和结余3.65万元，财政拨款7.78万元，其他收入262.23万元；决算支出273.66万元，年末结转和结余累计0万元。2020年预、决算收入、支出及年末结转和结余明细如下（单位：万元）：</w:t>
      </w:r>
    </w:p>
    <w:tbl>
      <w:tblPr>
        <w:tblStyle w:val="7"/>
        <w:tblW w:w="10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125"/>
        <w:gridCol w:w="930"/>
        <w:gridCol w:w="987"/>
        <w:gridCol w:w="1098"/>
        <w:gridCol w:w="1110"/>
        <w:gridCol w:w="1017"/>
        <w:gridCol w:w="1278"/>
        <w:gridCol w:w="852"/>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6" w:type="dxa"/>
            <w:vMerge w:val="restart"/>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项目</w:t>
            </w:r>
          </w:p>
        </w:tc>
        <w:tc>
          <w:tcPr>
            <w:tcW w:w="1125" w:type="dxa"/>
            <w:vMerge w:val="restart"/>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合计</w:t>
            </w:r>
          </w:p>
        </w:tc>
        <w:tc>
          <w:tcPr>
            <w:tcW w:w="3015" w:type="dxa"/>
            <w:gridSpan w:val="3"/>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收入</w:t>
            </w:r>
          </w:p>
        </w:tc>
        <w:tc>
          <w:tcPr>
            <w:tcW w:w="4257" w:type="dxa"/>
            <w:gridSpan w:val="4"/>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支出</w:t>
            </w:r>
          </w:p>
        </w:tc>
        <w:tc>
          <w:tcPr>
            <w:tcW w:w="869" w:type="dxa"/>
            <w:vMerge w:val="restart"/>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年末结转结余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96" w:type="dxa"/>
            <w:vMerge w:val="continue"/>
            <w:noWrap w:val="0"/>
            <w:vAlign w:val="center"/>
          </w:tcPr>
          <w:p>
            <w:pPr>
              <w:jc w:val="center"/>
              <w:rPr>
                <w:rFonts w:hint="eastAsia" w:ascii="宋体" w:hAnsi="宋体" w:eastAsia="宋体" w:cs="宋体"/>
                <w:b/>
                <w:bCs/>
                <w:vertAlign w:val="baseline"/>
              </w:rPr>
            </w:pPr>
          </w:p>
        </w:tc>
        <w:tc>
          <w:tcPr>
            <w:tcW w:w="1125" w:type="dxa"/>
            <w:vMerge w:val="continue"/>
            <w:noWrap w:val="0"/>
            <w:vAlign w:val="center"/>
          </w:tcPr>
          <w:p>
            <w:pPr>
              <w:jc w:val="center"/>
              <w:rPr>
                <w:rFonts w:hint="eastAsia" w:ascii="宋体" w:hAnsi="宋体" w:eastAsia="宋体" w:cs="宋体"/>
                <w:b/>
                <w:bCs/>
                <w:vertAlign w:val="baseline"/>
              </w:rPr>
            </w:pPr>
          </w:p>
        </w:tc>
        <w:tc>
          <w:tcPr>
            <w:tcW w:w="930" w:type="dxa"/>
            <w:vMerge w:val="restart"/>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年初结转、结余</w:t>
            </w:r>
          </w:p>
        </w:tc>
        <w:tc>
          <w:tcPr>
            <w:tcW w:w="987" w:type="dxa"/>
            <w:vMerge w:val="restart"/>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财政拨款</w:t>
            </w:r>
          </w:p>
        </w:tc>
        <w:tc>
          <w:tcPr>
            <w:tcW w:w="1098" w:type="dxa"/>
            <w:vMerge w:val="restart"/>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其他收入</w:t>
            </w:r>
          </w:p>
        </w:tc>
        <w:tc>
          <w:tcPr>
            <w:tcW w:w="1110" w:type="dxa"/>
            <w:vMerge w:val="restart"/>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小计</w:t>
            </w:r>
          </w:p>
        </w:tc>
        <w:tc>
          <w:tcPr>
            <w:tcW w:w="2295" w:type="dxa"/>
            <w:gridSpan w:val="2"/>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基本支出</w:t>
            </w:r>
          </w:p>
        </w:tc>
        <w:tc>
          <w:tcPr>
            <w:tcW w:w="852" w:type="dxa"/>
            <w:vMerge w:val="restart"/>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项目支出</w:t>
            </w:r>
          </w:p>
        </w:tc>
        <w:tc>
          <w:tcPr>
            <w:tcW w:w="869" w:type="dxa"/>
            <w:vMerge w:val="continue"/>
            <w:noWrap w:val="0"/>
            <w:vAlign w:val="center"/>
          </w:tcPr>
          <w:p>
            <w:pPr>
              <w:jc w:val="center"/>
              <w:rPr>
                <w:rFonts w:hint="eastAsia" w:ascii="宋体" w:hAnsi="宋体" w:eastAsia="宋体" w:cs="宋体"/>
                <w:b/>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6" w:type="dxa"/>
            <w:vMerge w:val="continue"/>
            <w:noWrap w:val="0"/>
            <w:vAlign w:val="center"/>
          </w:tcPr>
          <w:p>
            <w:pPr>
              <w:jc w:val="center"/>
              <w:rPr>
                <w:rFonts w:hint="eastAsia" w:ascii="宋体" w:hAnsi="宋体" w:eastAsia="宋体" w:cs="宋体"/>
                <w:b/>
                <w:bCs/>
                <w:vertAlign w:val="baseline"/>
              </w:rPr>
            </w:pPr>
          </w:p>
        </w:tc>
        <w:tc>
          <w:tcPr>
            <w:tcW w:w="1125" w:type="dxa"/>
            <w:vMerge w:val="continue"/>
            <w:noWrap w:val="0"/>
            <w:vAlign w:val="center"/>
          </w:tcPr>
          <w:p>
            <w:pPr>
              <w:jc w:val="center"/>
              <w:rPr>
                <w:rFonts w:hint="eastAsia" w:ascii="宋体" w:hAnsi="宋体" w:eastAsia="宋体" w:cs="宋体"/>
                <w:b/>
                <w:bCs/>
                <w:vertAlign w:val="baseline"/>
              </w:rPr>
            </w:pPr>
          </w:p>
        </w:tc>
        <w:tc>
          <w:tcPr>
            <w:tcW w:w="930" w:type="dxa"/>
            <w:vMerge w:val="continue"/>
            <w:noWrap w:val="0"/>
            <w:vAlign w:val="center"/>
          </w:tcPr>
          <w:p>
            <w:pPr>
              <w:jc w:val="center"/>
              <w:rPr>
                <w:rFonts w:hint="eastAsia" w:ascii="宋体" w:hAnsi="宋体" w:eastAsia="宋体" w:cs="宋体"/>
                <w:b/>
                <w:bCs/>
                <w:vertAlign w:val="baseline"/>
              </w:rPr>
            </w:pPr>
          </w:p>
        </w:tc>
        <w:tc>
          <w:tcPr>
            <w:tcW w:w="987" w:type="dxa"/>
            <w:vMerge w:val="continue"/>
            <w:noWrap w:val="0"/>
            <w:vAlign w:val="center"/>
          </w:tcPr>
          <w:p>
            <w:pPr>
              <w:jc w:val="center"/>
              <w:rPr>
                <w:rFonts w:hint="eastAsia" w:ascii="宋体" w:hAnsi="宋体" w:eastAsia="宋体" w:cs="宋体"/>
                <w:b/>
                <w:bCs/>
                <w:vertAlign w:val="baseline"/>
              </w:rPr>
            </w:pPr>
          </w:p>
        </w:tc>
        <w:tc>
          <w:tcPr>
            <w:tcW w:w="1098" w:type="dxa"/>
            <w:vMerge w:val="continue"/>
            <w:noWrap w:val="0"/>
            <w:vAlign w:val="center"/>
          </w:tcPr>
          <w:p>
            <w:pPr>
              <w:jc w:val="center"/>
              <w:rPr>
                <w:rFonts w:hint="eastAsia" w:ascii="宋体" w:hAnsi="宋体" w:eastAsia="宋体" w:cs="宋体"/>
                <w:b/>
                <w:bCs/>
                <w:vertAlign w:val="baseline"/>
              </w:rPr>
            </w:pPr>
          </w:p>
        </w:tc>
        <w:tc>
          <w:tcPr>
            <w:tcW w:w="1110" w:type="dxa"/>
            <w:vMerge w:val="continue"/>
            <w:noWrap w:val="0"/>
            <w:vAlign w:val="center"/>
          </w:tcPr>
          <w:p>
            <w:pPr>
              <w:jc w:val="center"/>
              <w:rPr>
                <w:rFonts w:hint="eastAsia" w:ascii="宋体" w:hAnsi="宋体" w:eastAsia="宋体" w:cs="宋体"/>
                <w:b/>
                <w:bCs/>
                <w:vertAlign w:val="baseline"/>
              </w:rPr>
            </w:pPr>
          </w:p>
        </w:tc>
        <w:tc>
          <w:tcPr>
            <w:tcW w:w="1017" w:type="dxa"/>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人员经费</w:t>
            </w:r>
          </w:p>
        </w:tc>
        <w:tc>
          <w:tcPr>
            <w:tcW w:w="1278" w:type="dxa"/>
            <w:noWrap w:val="0"/>
            <w:vAlign w:val="center"/>
          </w:tcPr>
          <w:p>
            <w:pPr>
              <w:keepNext w:val="0"/>
              <w:keepLines w:val="0"/>
              <w:widowControl/>
              <w:suppressLineNumbers w:val="0"/>
              <w:jc w:val="center"/>
              <w:textAlignment w:val="center"/>
              <w:rPr>
                <w:rFonts w:hint="eastAsia" w:ascii="宋体" w:hAnsi="宋体" w:eastAsia="宋体" w:cs="宋体"/>
                <w:b/>
                <w:bCs/>
                <w:vertAlign w:val="baseline"/>
              </w:rPr>
            </w:pPr>
            <w:r>
              <w:rPr>
                <w:rFonts w:hint="eastAsia" w:ascii="宋体" w:hAnsi="宋体" w:eastAsia="宋体" w:cs="宋体"/>
                <w:b/>
                <w:bCs/>
                <w:i w:val="0"/>
                <w:iCs w:val="0"/>
                <w:color w:val="auto"/>
                <w:kern w:val="0"/>
                <w:sz w:val="22"/>
                <w:szCs w:val="22"/>
                <w:u w:val="none"/>
                <w:lang w:val="en-US" w:eastAsia="zh-CN" w:bidi="ar"/>
              </w:rPr>
              <w:t>公用经费</w:t>
            </w:r>
          </w:p>
        </w:tc>
        <w:tc>
          <w:tcPr>
            <w:tcW w:w="852" w:type="dxa"/>
            <w:vMerge w:val="continue"/>
            <w:noWrap w:val="0"/>
            <w:vAlign w:val="center"/>
          </w:tcPr>
          <w:p>
            <w:pPr>
              <w:jc w:val="center"/>
              <w:rPr>
                <w:rFonts w:hint="eastAsia" w:ascii="宋体" w:hAnsi="宋体" w:eastAsia="宋体" w:cs="宋体"/>
                <w:b/>
                <w:bCs/>
                <w:vertAlign w:val="baseline"/>
              </w:rPr>
            </w:pPr>
          </w:p>
        </w:tc>
        <w:tc>
          <w:tcPr>
            <w:tcW w:w="869" w:type="dxa"/>
            <w:vMerge w:val="continue"/>
            <w:noWrap w:val="0"/>
            <w:vAlign w:val="center"/>
          </w:tcPr>
          <w:p>
            <w:pPr>
              <w:jc w:val="center"/>
              <w:rPr>
                <w:rFonts w:hint="eastAsia" w:ascii="宋体" w:hAnsi="宋体" w:eastAsia="宋体" w:cs="宋体"/>
                <w:b/>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6" w:type="dxa"/>
            <w:noWrap w:val="0"/>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auto"/>
                <w:kern w:val="0"/>
                <w:sz w:val="22"/>
                <w:szCs w:val="22"/>
                <w:u w:val="none"/>
                <w:lang w:val="en-US" w:eastAsia="zh-CN" w:bidi="ar"/>
              </w:rPr>
              <w:t>预算</w:t>
            </w:r>
          </w:p>
        </w:tc>
        <w:tc>
          <w:tcPr>
            <w:tcW w:w="1125"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9.15</w:t>
            </w:r>
          </w:p>
        </w:tc>
        <w:tc>
          <w:tcPr>
            <w:tcW w:w="930"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3.65</w:t>
            </w:r>
          </w:p>
        </w:tc>
        <w:tc>
          <w:tcPr>
            <w:tcW w:w="987"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5.5</w:t>
            </w:r>
          </w:p>
        </w:tc>
        <w:tc>
          <w:tcPr>
            <w:tcW w:w="1098" w:type="dxa"/>
            <w:noWrap w:val="0"/>
            <w:vAlign w:val="center"/>
          </w:tcPr>
          <w:p>
            <w:pPr>
              <w:widowControl/>
              <w:jc w:val="center"/>
              <w:rPr>
                <w:rFonts w:hint="eastAsia" w:ascii="宋体" w:hAnsi="宋体" w:eastAsia="宋体" w:cs="宋体"/>
                <w:sz w:val="21"/>
                <w:szCs w:val="21"/>
                <w:vertAlign w:val="baseline"/>
                <w:lang w:val="en-US" w:eastAsia="zh-CN"/>
              </w:rPr>
            </w:pPr>
          </w:p>
        </w:tc>
        <w:tc>
          <w:tcPr>
            <w:tcW w:w="1110"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5.5</w:t>
            </w:r>
          </w:p>
        </w:tc>
        <w:tc>
          <w:tcPr>
            <w:tcW w:w="1017"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0.5</w:t>
            </w:r>
          </w:p>
        </w:tc>
        <w:tc>
          <w:tcPr>
            <w:tcW w:w="1278"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5</w:t>
            </w:r>
          </w:p>
        </w:tc>
        <w:tc>
          <w:tcPr>
            <w:tcW w:w="852" w:type="dxa"/>
            <w:noWrap w:val="0"/>
            <w:vAlign w:val="center"/>
          </w:tcPr>
          <w:p>
            <w:pPr>
              <w:widowControl/>
              <w:jc w:val="center"/>
              <w:rPr>
                <w:rFonts w:hint="eastAsia" w:ascii="宋体" w:hAnsi="宋体" w:eastAsia="宋体" w:cs="宋体"/>
                <w:sz w:val="21"/>
                <w:szCs w:val="21"/>
                <w:vertAlign w:val="baseline"/>
                <w:lang w:val="en-US" w:eastAsia="zh-CN"/>
              </w:rPr>
            </w:pPr>
          </w:p>
        </w:tc>
        <w:tc>
          <w:tcPr>
            <w:tcW w:w="869"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6" w:type="dxa"/>
            <w:noWrap w:val="0"/>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auto"/>
                <w:kern w:val="0"/>
                <w:sz w:val="22"/>
                <w:szCs w:val="22"/>
                <w:u w:val="none"/>
                <w:lang w:val="en-US" w:eastAsia="zh-CN" w:bidi="ar"/>
              </w:rPr>
              <w:t>决算</w:t>
            </w:r>
          </w:p>
        </w:tc>
        <w:tc>
          <w:tcPr>
            <w:tcW w:w="1125"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273.66</w:t>
            </w:r>
          </w:p>
        </w:tc>
        <w:tc>
          <w:tcPr>
            <w:tcW w:w="930"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3.65</w:t>
            </w:r>
          </w:p>
        </w:tc>
        <w:tc>
          <w:tcPr>
            <w:tcW w:w="987"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7.78</w:t>
            </w:r>
          </w:p>
        </w:tc>
        <w:tc>
          <w:tcPr>
            <w:tcW w:w="1098"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262.23</w:t>
            </w:r>
          </w:p>
        </w:tc>
        <w:tc>
          <w:tcPr>
            <w:tcW w:w="1110"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273.66</w:t>
            </w:r>
          </w:p>
        </w:tc>
        <w:tc>
          <w:tcPr>
            <w:tcW w:w="1017"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10.49</w:t>
            </w:r>
          </w:p>
        </w:tc>
        <w:tc>
          <w:tcPr>
            <w:tcW w:w="1278"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1.76</w:t>
            </w:r>
          </w:p>
        </w:tc>
        <w:tc>
          <w:tcPr>
            <w:tcW w:w="852"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261.41</w:t>
            </w:r>
          </w:p>
        </w:tc>
        <w:tc>
          <w:tcPr>
            <w:tcW w:w="869"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6" w:type="dxa"/>
            <w:noWrap w:val="0"/>
            <w:vAlign w:val="center"/>
          </w:tcPr>
          <w:p>
            <w:pPr>
              <w:keepNext w:val="0"/>
              <w:keepLines w:val="0"/>
              <w:widowControl/>
              <w:suppressLineNumbers w:val="0"/>
              <w:jc w:val="center"/>
              <w:textAlignment w:val="center"/>
              <w:rPr>
                <w:rFonts w:hint="eastAsia" w:ascii="宋体" w:hAnsi="宋体" w:eastAsia="宋体" w:cs="宋体"/>
                <w:vertAlign w:val="baseline"/>
              </w:rPr>
            </w:pPr>
            <w:r>
              <w:rPr>
                <w:rFonts w:hint="eastAsia" w:ascii="宋体" w:hAnsi="宋体" w:eastAsia="宋体" w:cs="宋体"/>
                <w:i w:val="0"/>
                <w:iCs w:val="0"/>
                <w:color w:val="auto"/>
                <w:kern w:val="0"/>
                <w:sz w:val="22"/>
                <w:szCs w:val="22"/>
                <w:u w:val="none"/>
                <w:lang w:val="en-US" w:eastAsia="zh-CN" w:bidi="ar"/>
              </w:rPr>
              <w:t>差异率</w:t>
            </w:r>
          </w:p>
        </w:tc>
        <w:tc>
          <w:tcPr>
            <w:tcW w:w="1125"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2890.81%</w:t>
            </w:r>
          </w:p>
        </w:tc>
        <w:tc>
          <w:tcPr>
            <w:tcW w:w="930"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0%</w:t>
            </w:r>
          </w:p>
        </w:tc>
        <w:tc>
          <w:tcPr>
            <w:tcW w:w="987"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41.45%</w:t>
            </w:r>
          </w:p>
        </w:tc>
        <w:tc>
          <w:tcPr>
            <w:tcW w:w="1098"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0</w:t>
            </w:r>
          </w:p>
        </w:tc>
        <w:tc>
          <w:tcPr>
            <w:tcW w:w="1110"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4875.63%</w:t>
            </w:r>
          </w:p>
        </w:tc>
        <w:tc>
          <w:tcPr>
            <w:tcW w:w="1017"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1998%</w:t>
            </w:r>
          </w:p>
        </w:tc>
        <w:tc>
          <w:tcPr>
            <w:tcW w:w="1278"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-64.8%</w:t>
            </w:r>
          </w:p>
        </w:tc>
        <w:tc>
          <w:tcPr>
            <w:tcW w:w="852"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0%</w:t>
            </w:r>
          </w:p>
        </w:tc>
        <w:tc>
          <w:tcPr>
            <w:tcW w:w="869" w:type="dxa"/>
            <w:noWrap w:val="0"/>
            <w:vAlign w:val="center"/>
          </w:tcPr>
          <w:p>
            <w:pPr>
              <w:widowControl/>
              <w:jc w:val="center"/>
              <w:rPr>
                <w:rFonts w:hint="eastAsia" w:ascii="宋体" w:hAnsi="宋体" w:eastAsia="宋体" w:cs="宋体"/>
                <w:sz w:val="21"/>
                <w:szCs w:val="21"/>
                <w:vertAlign w:val="baseline"/>
                <w:lang w:val="en-US" w:eastAsia="zh-CN"/>
              </w:rPr>
            </w:pPr>
            <w:r>
              <w:rPr>
                <w:rFonts w:hint="eastAsia" w:ascii="宋体" w:hAnsi="宋体" w:eastAsia="宋体" w:cs="宋体"/>
                <w:color w:val="232323"/>
                <w:kern w:val="0"/>
                <w:sz w:val="21"/>
                <w:szCs w:val="21"/>
                <w:shd w:val="clear" w:color="auto" w:fill="FFFFFF"/>
              </w:rPr>
              <w:t>0%</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2、支出决算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2020年度决算支出273.66万元，其中基本支出12.25万元，占总支出的4.47%；项目支出261.41万元，占总支出的95.53%。部门支出决算明细如下（单位：万元）：</w:t>
      </w:r>
    </w:p>
    <w:tbl>
      <w:tblPr>
        <w:tblStyle w:val="6"/>
        <w:tblW w:w="7962" w:type="dxa"/>
        <w:jc w:val="center"/>
        <w:tblLayout w:type="fixed"/>
        <w:tblCellMar>
          <w:top w:w="0" w:type="dxa"/>
          <w:left w:w="0" w:type="dxa"/>
          <w:bottom w:w="0" w:type="dxa"/>
          <w:right w:w="0" w:type="dxa"/>
        </w:tblCellMar>
      </w:tblPr>
      <w:tblGrid>
        <w:gridCol w:w="2550"/>
        <w:gridCol w:w="2562"/>
        <w:gridCol w:w="2850"/>
      </w:tblGrid>
      <w:tr>
        <w:tblPrEx>
          <w:tblCellMar>
            <w:top w:w="0" w:type="dxa"/>
            <w:left w:w="0" w:type="dxa"/>
            <w:bottom w:w="0" w:type="dxa"/>
            <w:right w:w="0" w:type="dxa"/>
          </w:tblCellMar>
        </w:tblPrEx>
        <w:trPr>
          <w:trHeight w:val="567" w:hRule="atLeast"/>
          <w:jc w:val="center"/>
        </w:trPr>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heme="minorEastAsia" w:hAnsiTheme="minorEastAsia" w:eastAsiaTheme="minorEastAsia" w:cstheme="minorEastAsia"/>
                <w:b/>
                <w:bCs/>
                <w:i w:val="0"/>
                <w:color w:val="000000"/>
                <w:sz w:val="24"/>
                <w:szCs w:val="24"/>
                <w:u w:val="none"/>
              </w:rPr>
            </w:pPr>
            <w:r>
              <w:rPr>
                <w:rFonts w:hint="eastAsia" w:asciiTheme="minorEastAsia" w:hAnsiTheme="minorEastAsia" w:eastAsiaTheme="minorEastAsia" w:cstheme="minorEastAsia"/>
                <w:b/>
                <w:bCs/>
                <w:sz w:val="24"/>
                <w:szCs w:val="24"/>
              </w:rPr>
              <w:br w:type="page"/>
            </w:r>
            <w:r>
              <w:rPr>
                <w:rFonts w:hint="eastAsia" w:asciiTheme="minorEastAsia" w:hAnsiTheme="minorEastAsia" w:eastAsiaTheme="minorEastAsia" w:cstheme="minorEastAsia"/>
                <w:b/>
                <w:bCs/>
                <w:i w:val="0"/>
                <w:color w:val="000000"/>
                <w:sz w:val="24"/>
                <w:szCs w:val="24"/>
                <w:u w:val="none"/>
                <w:lang w:val="en-US" w:eastAsia="zh-CN"/>
              </w:rPr>
              <w:t>项目</w:t>
            </w:r>
          </w:p>
        </w:tc>
        <w:tc>
          <w:tcPr>
            <w:tcW w:w="2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4"/>
                <w:szCs w:val="24"/>
                <w:u w:val="none"/>
              </w:rPr>
            </w:pPr>
            <w:r>
              <w:rPr>
                <w:rFonts w:hint="eastAsia" w:asciiTheme="minorEastAsia" w:hAnsiTheme="minorEastAsia" w:eastAsiaTheme="minorEastAsia" w:cstheme="minorEastAsia"/>
                <w:b/>
                <w:bCs/>
                <w:i w:val="0"/>
                <w:color w:val="000000"/>
                <w:sz w:val="24"/>
                <w:szCs w:val="24"/>
                <w:u w:val="none"/>
                <w:lang w:val="en-US" w:eastAsia="zh-CN"/>
              </w:rPr>
              <w:t>财政拨款一基本支出</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4"/>
                <w:szCs w:val="24"/>
                <w:u w:val="none"/>
              </w:rPr>
            </w:pPr>
            <w:r>
              <w:rPr>
                <w:rFonts w:hint="eastAsia" w:asciiTheme="minorEastAsia" w:hAnsiTheme="minorEastAsia" w:eastAsiaTheme="minorEastAsia" w:cstheme="minorEastAsia"/>
                <w:b/>
                <w:bCs/>
                <w:i w:val="0"/>
                <w:color w:val="000000"/>
                <w:sz w:val="24"/>
                <w:szCs w:val="24"/>
                <w:u w:val="none"/>
                <w:lang w:val="en-US" w:eastAsia="zh-CN"/>
              </w:rPr>
              <w:t>财政拨款一项目支出</w:t>
            </w:r>
          </w:p>
        </w:tc>
      </w:tr>
      <w:tr>
        <w:tblPrEx>
          <w:tblCellMar>
            <w:top w:w="0" w:type="dxa"/>
            <w:left w:w="0" w:type="dxa"/>
            <w:bottom w:w="0" w:type="dxa"/>
            <w:right w:w="0" w:type="dxa"/>
          </w:tblCellMar>
        </w:tblPrEx>
        <w:trPr>
          <w:trHeight w:val="567" w:hRule="atLeast"/>
          <w:jc w:val="center"/>
        </w:trPr>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sz w:val="24"/>
                <w:szCs w:val="24"/>
                <w:u w:val="none"/>
                <w:lang w:val="en-US" w:eastAsia="zh-CN"/>
              </w:rPr>
              <w:t>工资福利支出</w:t>
            </w:r>
          </w:p>
        </w:tc>
        <w:tc>
          <w:tcPr>
            <w:tcW w:w="2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color w:val="232323"/>
                <w:kern w:val="0"/>
                <w:sz w:val="22"/>
                <w:szCs w:val="22"/>
                <w:shd w:val="clear" w:color="auto" w:fill="FFFFFF"/>
              </w:rPr>
              <w:t>8.84</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eastAsia="宋体" w:cs="宋体"/>
                <w:i w:val="0"/>
                <w:color w:val="000000"/>
                <w:sz w:val="22"/>
                <w:szCs w:val="22"/>
                <w:u w:val="none"/>
                <w:lang w:val="en-US" w:eastAsia="zh-CN"/>
              </w:rPr>
            </w:pPr>
          </w:p>
        </w:tc>
      </w:tr>
      <w:tr>
        <w:tblPrEx>
          <w:tblCellMar>
            <w:top w:w="0" w:type="dxa"/>
            <w:left w:w="0" w:type="dxa"/>
            <w:bottom w:w="0" w:type="dxa"/>
            <w:right w:w="0" w:type="dxa"/>
          </w:tblCellMar>
        </w:tblPrEx>
        <w:trPr>
          <w:trHeight w:val="567" w:hRule="atLeast"/>
          <w:jc w:val="center"/>
        </w:trPr>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sz w:val="24"/>
                <w:szCs w:val="24"/>
                <w:u w:val="none"/>
                <w:lang w:val="en-US" w:eastAsia="zh-CN"/>
              </w:rPr>
              <w:t>商品和服务支出</w:t>
            </w:r>
          </w:p>
        </w:tc>
        <w:tc>
          <w:tcPr>
            <w:tcW w:w="2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color w:val="232323"/>
                <w:kern w:val="0"/>
                <w:sz w:val="22"/>
                <w:szCs w:val="22"/>
                <w:shd w:val="clear" w:color="auto" w:fill="FFFFFF"/>
              </w:rPr>
              <w:t>1.76</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color w:val="232323"/>
                <w:kern w:val="0"/>
                <w:sz w:val="22"/>
                <w:szCs w:val="22"/>
                <w:shd w:val="clear" w:color="auto" w:fill="FFFFFF"/>
              </w:rPr>
              <w:t>261.41</w:t>
            </w:r>
          </w:p>
        </w:tc>
      </w:tr>
      <w:tr>
        <w:tblPrEx>
          <w:tblCellMar>
            <w:top w:w="0" w:type="dxa"/>
            <w:left w:w="0" w:type="dxa"/>
            <w:bottom w:w="0" w:type="dxa"/>
            <w:right w:w="0" w:type="dxa"/>
          </w:tblCellMar>
        </w:tblPrEx>
        <w:trPr>
          <w:trHeight w:val="567" w:hRule="atLeast"/>
          <w:jc w:val="center"/>
        </w:trPr>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sz w:val="24"/>
                <w:szCs w:val="24"/>
                <w:u w:val="none"/>
                <w:lang w:val="en-US" w:eastAsia="zh-CN"/>
              </w:rPr>
              <w:t>对个人和家庭的补助</w:t>
            </w:r>
          </w:p>
        </w:tc>
        <w:tc>
          <w:tcPr>
            <w:tcW w:w="2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color w:val="232323"/>
                <w:kern w:val="0"/>
                <w:sz w:val="22"/>
                <w:szCs w:val="22"/>
                <w:shd w:val="clear" w:color="auto" w:fill="FFFFFF"/>
              </w:rPr>
              <w:t>1.65</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eastAsia="宋体" w:cs="宋体"/>
                <w:i w:val="0"/>
                <w:color w:val="000000"/>
                <w:sz w:val="22"/>
                <w:szCs w:val="22"/>
                <w:u w:val="none"/>
                <w:lang w:val="en-US" w:eastAsia="zh-CN"/>
              </w:rPr>
            </w:pPr>
          </w:p>
        </w:tc>
      </w:tr>
      <w:tr>
        <w:tblPrEx>
          <w:tblCellMar>
            <w:top w:w="0" w:type="dxa"/>
            <w:left w:w="0" w:type="dxa"/>
            <w:bottom w:w="0" w:type="dxa"/>
            <w:right w:w="0" w:type="dxa"/>
          </w:tblCellMar>
        </w:tblPrEx>
        <w:trPr>
          <w:trHeight w:val="567" w:hRule="atLeast"/>
          <w:jc w:val="center"/>
        </w:trPr>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sz w:val="24"/>
                <w:szCs w:val="24"/>
                <w:u w:val="none"/>
                <w:lang w:val="en-US" w:eastAsia="zh-CN"/>
              </w:rPr>
              <w:t>资本性支出</w:t>
            </w:r>
          </w:p>
        </w:tc>
        <w:tc>
          <w:tcPr>
            <w:tcW w:w="2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eastAsia="宋体" w:cs="宋体"/>
                <w:i w:val="0"/>
                <w:color w:val="000000"/>
                <w:sz w:val="22"/>
                <w:szCs w:val="22"/>
                <w:u w:val="none"/>
                <w:lang w:val="en-US" w:eastAsia="zh-CN"/>
              </w:rPr>
            </w:pP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eastAsia="宋体" w:cs="宋体"/>
                <w:i w:val="0"/>
                <w:color w:val="000000"/>
                <w:sz w:val="22"/>
                <w:szCs w:val="22"/>
                <w:u w:val="none"/>
                <w:lang w:val="en-US" w:eastAsia="zh-CN"/>
              </w:rPr>
            </w:pPr>
          </w:p>
        </w:tc>
      </w:tr>
      <w:tr>
        <w:tblPrEx>
          <w:tblCellMar>
            <w:top w:w="0" w:type="dxa"/>
            <w:left w:w="0" w:type="dxa"/>
            <w:bottom w:w="0" w:type="dxa"/>
            <w:right w:w="0" w:type="dxa"/>
          </w:tblCellMar>
        </w:tblPrEx>
        <w:trPr>
          <w:trHeight w:val="567" w:hRule="atLeast"/>
          <w:jc w:val="center"/>
        </w:trPr>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sz w:val="24"/>
                <w:szCs w:val="24"/>
                <w:u w:val="none"/>
                <w:lang w:val="en-US" w:eastAsia="zh-CN"/>
              </w:rPr>
              <w:t>合计</w:t>
            </w:r>
          </w:p>
        </w:tc>
        <w:tc>
          <w:tcPr>
            <w:tcW w:w="2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color w:val="232323"/>
                <w:kern w:val="0"/>
                <w:sz w:val="22"/>
                <w:szCs w:val="22"/>
                <w:shd w:val="clear" w:color="auto" w:fill="FFFFFF"/>
              </w:rPr>
              <w:t>12.25</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color w:val="232323"/>
                <w:kern w:val="0"/>
                <w:sz w:val="22"/>
                <w:szCs w:val="22"/>
                <w:shd w:val="clear" w:color="auto" w:fill="FFFFFF"/>
              </w:rPr>
              <w:t>261.41</w:t>
            </w:r>
          </w:p>
        </w:tc>
      </w:tr>
    </w:tbl>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二、整体支出管理及使用情况</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（一）基本支出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我单位基本支出12.25万元，其中包括预算下达就业再就业工作经费5万、主要用于保障人员的工资和福利支出、正常办公所需的商品和服务支出及对个人和家庭的补助支出。按支出经济分类：其中工资福利支出8.84万元，占基本支出的72.16%；商品服务支出1.76万元，占基本支出的14.37%；对个人家庭补助支出1.65万元，占基本支出的13.47%；资本性支出0万元，占基本支出的0%。</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（二）项目支出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我单位项目支出261.41万元，主要用于扶持公共就业服务项目。按支出经济分类：其中商品和服务支出261.41万元，占项目支出的100%；对个人家庭补助支出0万元，占项目支出的0%；资本性支出0万元，占项目支出的0%。</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（三）项目资金结转和结余情况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2020年项目资金结转和结余0万元，在2020年度内完成支付。</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（四）“三公”经费决算说明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务接待费严格按照规章制度执行，厉行节约，招待费实行先申报后招待，接待经费凭据报销，报销凭证包括财务票据（发票）、公务卡结算单、派出单位公务接待函、接待清单、接待审批单，接待清单与派出单位公务接待公函一致，一起作为财务报销凭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2020年我单位“三公”经费决算支出数0万元。其中：因公出国(境)费0万元、公务接待费0万元、公务用车费0万元。</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（五）基本支出的公用经费情况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我单位决算支出日常公用经费12.25万元。主要包括：基本工资、津贴补贴、奖金、伙食补助费、住房公积金、其他工资福利支出、办公费、印刷费、电费、邮电费、奖励金等支出。具体明细如下（单位：万元）：</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5"/>
        <w:gridCol w:w="258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25" w:type="dxa"/>
            <w:noWrap w:val="0"/>
            <w:vAlign w:val="center"/>
          </w:tcPr>
          <w:p>
            <w:pPr>
              <w:keepNext w:val="0"/>
              <w:keepLines w:val="0"/>
              <w:pageBreakBefore w:val="0"/>
              <w:widowControl/>
              <w:kinsoku/>
              <w:overflowPunct/>
              <w:topLinePunct w:val="0"/>
              <w:autoSpaceDE/>
              <w:autoSpaceDN/>
              <w:bidi w:val="0"/>
              <w:spacing w:line="240" w:lineRule="auto"/>
              <w:jc w:val="center"/>
              <w:textAlignment w:val="auto"/>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项目</w:t>
            </w:r>
          </w:p>
        </w:tc>
        <w:tc>
          <w:tcPr>
            <w:tcW w:w="2580" w:type="dxa"/>
            <w:noWrap w:val="0"/>
            <w:vAlign w:val="center"/>
          </w:tcPr>
          <w:p>
            <w:pPr>
              <w:keepNext w:val="0"/>
              <w:keepLines w:val="0"/>
              <w:pageBreakBefore w:val="0"/>
              <w:widowControl/>
              <w:kinsoku/>
              <w:overflowPunct/>
              <w:topLinePunct w:val="0"/>
              <w:autoSpaceDE/>
              <w:autoSpaceDN/>
              <w:bidi w:val="0"/>
              <w:spacing w:line="240" w:lineRule="auto"/>
              <w:jc w:val="center"/>
              <w:textAlignment w:val="auto"/>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决算支出</w:t>
            </w:r>
          </w:p>
        </w:tc>
        <w:tc>
          <w:tcPr>
            <w:tcW w:w="2340" w:type="dxa"/>
            <w:noWrap w:val="0"/>
            <w:vAlign w:val="center"/>
          </w:tcPr>
          <w:p>
            <w:pPr>
              <w:keepNext w:val="0"/>
              <w:keepLines w:val="0"/>
              <w:pageBreakBefore w:val="0"/>
              <w:widowControl/>
              <w:kinsoku/>
              <w:overflowPunct/>
              <w:topLinePunct w:val="0"/>
              <w:autoSpaceDE/>
              <w:autoSpaceDN/>
              <w:bidi w:val="0"/>
              <w:spacing w:line="240" w:lineRule="auto"/>
              <w:jc w:val="center"/>
              <w:textAlignment w:val="auto"/>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25" w:type="dxa"/>
            <w:noWrap w:val="0"/>
            <w:vAlign w:val="center"/>
          </w:tcPr>
          <w:p>
            <w:pPr>
              <w:keepNext w:val="0"/>
              <w:keepLines w:val="0"/>
              <w:pageBreakBefore w:val="0"/>
              <w:widowControl/>
              <w:kinsoku/>
              <w:overflowPunct/>
              <w:topLinePunct w:val="0"/>
              <w:autoSpaceDE/>
              <w:autoSpaceDN/>
              <w:bidi w:val="0"/>
              <w:spacing w:line="240" w:lineRule="auto"/>
              <w:jc w:val="center"/>
              <w:textAlignment w:val="auto"/>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基本工资</w:t>
            </w:r>
          </w:p>
        </w:tc>
        <w:tc>
          <w:tcPr>
            <w:tcW w:w="258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r>
              <w:rPr>
                <w:rFonts w:hint="eastAsia" w:ascii="宋体" w:hAnsi="宋体" w:eastAsia="宋体" w:cs="宋体"/>
                <w:color w:val="232323"/>
                <w:kern w:val="0"/>
                <w:sz w:val="22"/>
                <w:szCs w:val="22"/>
                <w:shd w:val="clear" w:color="auto" w:fill="FFFFFF"/>
              </w:rPr>
              <w:t>3.00</w:t>
            </w:r>
          </w:p>
        </w:tc>
        <w:tc>
          <w:tcPr>
            <w:tcW w:w="234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r>
              <w:rPr>
                <w:rFonts w:hint="eastAsia" w:ascii="宋体" w:hAnsi="宋体" w:eastAsia="宋体" w:cs="宋体"/>
                <w:color w:val="232323"/>
                <w:kern w:val="0"/>
                <w:sz w:val="22"/>
                <w:szCs w:val="22"/>
                <w:shd w:val="clear" w:color="auto" w:fill="FFFFFF"/>
              </w:rPr>
              <w:t>24.49%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25" w:type="dxa"/>
            <w:noWrap w:val="0"/>
            <w:vAlign w:val="center"/>
          </w:tcPr>
          <w:p>
            <w:pPr>
              <w:keepNext w:val="0"/>
              <w:keepLines w:val="0"/>
              <w:pageBreakBefore w:val="0"/>
              <w:widowControl/>
              <w:kinsoku/>
              <w:overflowPunct/>
              <w:topLinePunct w:val="0"/>
              <w:autoSpaceDE/>
              <w:autoSpaceDN/>
              <w:bidi w:val="0"/>
              <w:spacing w:line="240" w:lineRule="auto"/>
              <w:jc w:val="center"/>
              <w:textAlignment w:val="auto"/>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津贴补贴</w:t>
            </w:r>
          </w:p>
        </w:tc>
        <w:tc>
          <w:tcPr>
            <w:tcW w:w="258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r>
              <w:rPr>
                <w:rFonts w:hint="eastAsia" w:ascii="宋体" w:hAnsi="宋体" w:eastAsia="宋体" w:cs="宋体"/>
                <w:color w:val="232323"/>
                <w:kern w:val="0"/>
                <w:sz w:val="22"/>
                <w:szCs w:val="22"/>
                <w:shd w:val="clear" w:color="auto" w:fill="FFFFFF"/>
              </w:rPr>
              <w:t>2.28</w:t>
            </w:r>
          </w:p>
        </w:tc>
        <w:tc>
          <w:tcPr>
            <w:tcW w:w="234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r>
              <w:rPr>
                <w:rFonts w:hint="eastAsia" w:ascii="宋体" w:hAnsi="宋体" w:eastAsia="宋体" w:cs="宋体"/>
                <w:color w:val="232323"/>
                <w:kern w:val="0"/>
                <w:sz w:val="22"/>
                <w:szCs w:val="22"/>
                <w:shd w:val="clear" w:color="auto" w:fill="FFFFFF"/>
              </w:rPr>
              <w:t>18.61%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25" w:type="dxa"/>
            <w:noWrap w:val="0"/>
            <w:vAlign w:val="center"/>
          </w:tcPr>
          <w:p>
            <w:pPr>
              <w:keepNext w:val="0"/>
              <w:keepLines w:val="0"/>
              <w:pageBreakBefore w:val="0"/>
              <w:widowControl/>
              <w:kinsoku/>
              <w:overflowPunct/>
              <w:topLinePunct w:val="0"/>
              <w:autoSpaceDE/>
              <w:autoSpaceDN/>
              <w:bidi w:val="0"/>
              <w:spacing w:line="240" w:lineRule="auto"/>
              <w:jc w:val="center"/>
              <w:textAlignment w:val="auto"/>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奖金</w:t>
            </w:r>
          </w:p>
        </w:tc>
        <w:tc>
          <w:tcPr>
            <w:tcW w:w="258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r>
              <w:rPr>
                <w:rFonts w:hint="eastAsia" w:ascii="宋体" w:hAnsi="宋体" w:eastAsia="宋体" w:cs="宋体"/>
                <w:color w:val="232323"/>
                <w:kern w:val="0"/>
                <w:sz w:val="22"/>
                <w:szCs w:val="22"/>
                <w:shd w:val="clear" w:color="auto" w:fill="FFFFFF"/>
              </w:rPr>
              <w:t>0.74</w:t>
            </w:r>
          </w:p>
        </w:tc>
        <w:tc>
          <w:tcPr>
            <w:tcW w:w="234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r>
              <w:rPr>
                <w:rFonts w:hint="eastAsia" w:ascii="宋体" w:hAnsi="宋体" w:eastAsia="宋体" w:cs="宋体"/>
                <w:color w:val="232323"/>
                <w:kern w:val="0"/>
                <w:sz w:val="22"/>
                <w:szCs w:val="22"/>
                <w:shd w:val="clear" w:color="auto" w:fill="FFFFFF"/>
              </w:rPr>
              <w:t>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25" w:type="dxa"/>
            <w:noWrap w:val="0"/>
            <w:vAlign w:val="center"/>
          </w:tcPr>
          <w:p>
            <w:pPr>
              <w:keepNext w:val="0"/>
              <w:keepLines w:val="0"/>
              <w:pageBreakBefore w:val="0"/>
              <w:widowControl/>
              <w:kinsoku/>
              <w:overflowPunct/>
              <w:topLinePunct w:val="0"/>
              <w:autoSpaceDE/>
              <w:autoSpaceDN/>
              <w:bidi w:val="0"/>
              <w:spacing w:line="240" w:lineRule="auto"/>
              <w:jc w:val="center"/>
              <w:textAlignment w:val="auto"/>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伙食补助费</w:t>
            </w:r>
          </w:p>
        </w:tc>
        <w:tc>
          <w:tcPr>
            <w:tcW w:w="258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r>
              <w:rPr>
                <w:rFonts w:hint="eastAsia" w:ascii="宋体" w:hAnsi="宋体" w:eastAsia="宋体" w:cs="宋体"/>
                <w:color w:val="232323"/>
                <w:kern w:val="0"/>
                <w:sz w:val="22"/>
                <w:szCs w:val="22"/>
                <w:shd w:val="clear" w:color="auto" w:fill="FFFFFF"/>
              </w:rPr>
              <w:t>0.53</w:t>
            </w:r>
          </w:p>
        </w:tc>
        <w:tc>
          <w:tcPr>
            <w:tcW w:w="234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r>
              <w:rPr>
                <w:rFonts w:hint="eastAsia" w:ascii="宋体" w:hAnsi="宋体" w:eastAsia="宋体" w:cs="宋体"/>
                <w:color w:val="232323"/>
                <w:kern w:val="0"/>
                <w:sz w:val="22"/>
                <w:szCs w:val="22"/>
                <w:shd w:val="clear" w:color="auto" w:fill="FFFFFF"/>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25" w:type="dxa"/>
            <w:noWrap w:val="0"/>
            <w:vAlign w:val="center"/>
          </w:tcPr>
          <w:p>
            <w:pPr>
              <w:keepNext w:val="0"/>
              <w:keepLines w:val="0"/>
              <w:pageBreakBefore w:val="0"/>
              <w:widowControl/>
              <w:kinsoku/>
              <w:overflowPunct/>
              <w:topLinePunct w:val="0"/>
              <w:autoSpaceDE/>
              <w:autoSpaceDN/>
              <w:bidi w:val="0"/>
              <w:spacing w:line="240" w:lineRule="auto"/>
              <w:jc w:val="center"/>
              <w:textAlignment w:val="auto"/>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住房公积金</w:t>
            </w:r>
          </w:p>
        </w:tc>
        <w:tc>
          <w:tcPr>
            <w:tcW w:w="258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r>
              <w:rPr>
                <w:rFonts w:hint="eastAsia" w:ascii="宋体" w:hAnsi="宋体" w:eastAsia="宋体" w:cs="宋体"/>
                <w:color w:val="232323"/>
                <w:kern w:val="0"/>
                <w:sz w:val="22"/>
                <w:szCs w:val="22"/>
                <w:shd w:val="clear" w:color="auto" w:fill="FFFFFF"/>
              </w:rPr>
              <w:t>1.11</w:t>
            </w:r>
          </w:p>
        </w:tc>
        <w:tc>
          <w:tcPr>
            <w:tcW w:w="234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r>
              <w:rPr>
                <w:rFonts w:hint="eastAsia" w:ascii="宋体" w:hAnsi="宋体" w:eastAsia="宋体" w:cs="宋体"/>
                <w:color w:val="232323"/>
                <w:kern w:val="0"/>
                <w:sz w:val="22"/>
                <w:szCs w:val="22"/>
                <w:shd w:val="clear" w:color="auto" w:fill="FFFFFF"/>
              </w:rPr>
              <w:t>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25" w:type="dxa"/>
            <w:noWrap w:val="0"/>
            <w:vAlign w:val="center"/>
          </w:tcPr>
          <w:p>
            <w:pPr>
              <w:keepNext w:val="0"/>
              <w:keepLines w:val="0"/>
              <w:pageBreakBefore w:val="0"/>
              <w:widowControl/>
              <w:kinsoku/>
              <w:overflowPunct/>
              <w:topLinePunct w:val="0"/>
              <w:autoSpaceDE/>
              <w:autoSpaceDN/>
              <w:bidi w:val="0"/>
              <w:spacing w:line="240" w:lineRule="auto"/>
              <w:jc w:val="center"/>
              <w:textAlignment w:val="auto"/>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其他工资福利支出</w:t>
            </w:r>
          </w:p>
        </w:tc>
        <w:tc>
          <w:tcPr>
            <w:tcW w:w="258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r>
              <w:rPr>
                <w:rFonts w:hint="eastAsia" w:ascii="宋体" w:hAnsi="宋体" w:eastAsia="宋体" w:cs="宋体"/>
                <w:color w:val="232323"/>
                <w:kern w:val="0"/>
                <w:sz w:val="22"/>
                <w:szCs w:val="22"/>
                <w:shd w:val="clear" w:color="auto" w:fill="FFFFFF"/>
              </w:rPr>
              <w:t>1.18</w:t>
            </w:r>
          </w:p>
        </w:tc>
        <w:tc>
          <w:tcPr>
            <w:tcW w:w="234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25" w:type="dxa"/>
            <w:noWrap w:val="0"/>
            <w:vAlign w:val="center"/>
          </w:tcPr>
          <w:p>
            <w:pPr>
              <w:keepNext w:val="0"/>
              <w:keepLines w:val="0"/>
              <w:pageBreakBefore w:val="0"/>
              <w:widowControl/>
              <w:kinsoku/>
              <w:overflowPunct/>
              <w:topLinePunct w:val="0"/>
              <w:autoSpaceDE/>
              <w:autoSpaceDN/>
              <w:bidi w:val="0"/>
              <w:spacing w:line="240" w:lineRule="auto"/>
              <w:jc w:val="center"/>
              <w:textAlignment w:val="auto"/>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bidi="ar"/>
              </w:rPr>
              <w:t>差旅费</w:t>
            </w:r>
          </w:p>
        </w:tc>
        <w:tc>
          <w:tcPr>
            <w:tcW w:w="258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p>
        </w:tc>
        <w:tc>
          <w:tcPr>
            <w:tcW w:w="234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25" w:type="dxa"/>
            <w:noWrap w:val="0"/>
            <w:vAlign w:val="center"/>
          </w:tcPr>
          <w:p>
            <w:pPr>
              <w:keepNext w:val="0"/>
              <w:keepLines w:val="0"/>
              <w:pageBreakBefore w:val="0"/>
              <w:widowControl/>
              <w:kinsoku/>
              <w:overflowPunct/>
              <w:topLinePunct w:val="0"/>
              <w:autoSpaceDE/>
              <w:autoSpaceDN/>
              <w:bidi w:val="0"/>
              <w:spacing w:line="240" w:lineRule="auto"/>
              <w:jc w:val="center"/>
              <w:textAlignment w:val="auto"/>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办公用品</w:t>
            </w:r>
          </w:p>
        </w:tc>
        <w:tc>
          <w:tcPr>
            <w:tcW w:w="258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r>
              <w:rPr>
                <w:rFonts w:hint="eastAsia" w:ascii="宋体" w:hAnsi="宋体" w:eastAsia="宋体" w:cs="宋体"/>
                <w:color w:val="232323"/>
                <w:kern w:val="0"/>
                <w:sz w:val="22"/>
                <w:szCs w:val="22"/>
                <w:shd w:val="clear" w:color="auto" w:fill="FFFFFF"/>
              </w:rPr>
              <w:t>1.22</w:t>
            </w:r>
          </w:p>
        </w:tc>
        <w:tc>
          <w:tcPr>
            <w:tcW w:w="234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r>
              <w:rPr>
                <w:rFonts w:hint="eastAsia" w:ascii="宋体" w:hAnsi="宋体" w:eastAsia="宋体" w:cs="宋体"/>
                <w:color w:val="232323"/>
                <w:kern w:val="0"/>
                <w:sz w:val="22"/>
                <w:szCs w:val="22"/>
                <w:shd w:val="clear" w:color="auto" w:fill="FFFFFF"/>
              </w:rPr>
              <w:t>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25" w:type="dxa"/>
            <w:noWrap w:val="0"/>
            <w:vAlign w:val="center"/>
          </w:tcPr>
          <w:p>
            <w:pPr>
              <w:keepNext w:val="0"/>
              <w:keepLines w:val="0"/>
              <w:pageBreakBefore w:val="0"/>
              <w:widowControl/>
              <w:kinsoku/>
              <w:overflowPunct/>
              <w:topLinePunct w:val="0"/>
              <w:autoSpaceDE/>
              <w:autoSpaceDN/>
              <w:bidi w:val="0"/>
              <w:spacing w:line="240" w:lineRule="auto"/>
              <w:jc w:val="center"/>
              <w:textAlignment w:val="auto"/>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印刷费</w:t>
            </w:r>
          </w:p>
        </w:tc>
        <w:tc>
          <w:tcPr>
            <w:tcW w:w="258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r>
              <w:rPr>
                <w:rFonts w:hint="eastAsia" w:ascii="宋体" w:hAnsi="宋体" w:eastAsia="宋体" w:cs="宋体"/>
                <w:color w:val="232323"/>
                <w:kern w:val="0"/>
                <w:sz w:val="22"/>
                <w:szCs w:val="22"/>
                <w:shd w:val="clear" w:color="auto" w:fill="FFFFFF"/>
              </w:rPr>
              <w:t>0.09</w:t>
            </w:r>
          </w:p>
        </w:tc>
        <w:tc>
          <w:tcPr>
            <w:tcW w:w="234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r>
              <w:rPr>
                <w:rFonts w:hint="eastAsia" w:ascii="宋体" w:hAnsi="宋体" w:eastAsia="宋体" w:cs="宋体"/>
                <w:color w:val="232323"/>
                <w:kern w:val="0"/>
                <w:sz w:val="22"/>
                <w:szCs w:val="22"/>
                <w:shd w:val="clear" w:color="auto" w:fill="FFFFFF"/>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25" w:type="dxa"/>
            <w:noWrap w:val="0"/>
            <w:vAlign w:val="center"/>
          </w:tcPr>
          <w:p>
            <w:pPr>
              <w:keepNext w:val="0"/>
              <w:keepLines w:val="0"/>
              <w:pageBreakBefore w:val="0"/>
              <w:widowControl/>
              <w:kinsoku/>
              <w:overflowPunct/>
              <w:topLinePunct w:val="0"/>
              <w:autoSpaceDE/>
              <w:autoSpaceDN/>
              <w:bidi w:val="0"/>
              <w:spacing w:line="240" w:lineRule="auto"/>
              <w:jc w:val="center"/>
              <w:textAlignment w:val="auto"/>
              <w:rPr>
                <w:rFonts w:hint="eastAsia" w:ascii="宋体" w:hAnsi="宋体" w:eastAsia="宋体" w:cs="宋体"/>
                <w:color w:val="232323"/>
                <w:kern w:val="0"/>
                <w:sz w:val="24"/>
                <w:szCs w:val="24"/>
                <w:shd w:val="clear" w:color="auto" w:fill="FFFFFF"/>
                <w:lang w:eastAsia="zh-CN" w:bidi="ar"/>
              </w:rPr>
            </w:pPr>
            <w:r>
              <w:rPr>
                <w:rFonts w:hint="eastAsia" w:ascii="宋体" w:hAnsi="宋体" w:cs="宋体"/>
                <w:color w:val="232323"/>
                <w:kern w:val="0"/>
                <w:sz w:val="24"/>
                <w:szCs w:val="24"/>
                <w:shd w:val="clear" w:color="auto" w:fill="FFFFFF"/>
                <w:lang w:val="en-US" w:eastAsia="zh-CN" w:bidi="ar"/>
              </w:rPr>
              <w:t>电费</w:t>
            </w:r>
          </w:p>
        </w:tc>
        <w:tc>
          <w:tcPr>
            <w:tcW w:w="258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r>
              <w:rPr>
                <w:rFonts w:hint="eastAsia" w:ascii="宋体" w:hAnsi="宋体" w:eastAsia="宋体" w:cs="宋体"/>
                <w:color w:val="232323"/>
                <w:kern w:val="0"/>
                <w:sz w:val="22"/>
                <w:szCs w:val="22"/>
                <w:shd w:val="clear" w:color="auto" w:fill="FFFFFF"/>
              </w:rPr>
              <w:t>0.28</w:t>
            </w:r>
          </w:p>
        </w:tc>
        <w:tc>
          <w:tcPr>
            <w:tcW w:w="234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r>
              <w:rPr>
                <w:rFonts w:hint="eastAsia" w:ascii="宋体" w:hAnsi="宋体" w:eastAsia="宋体" w:cs="宋体"/>
                <w:color w:val="232323"/>
                <w:kern w:val="0"/>
                <w:sz w:val="22"/>
                <w:szCs w:val="22"/>
                <w:shd w:val="clear" w:color="auto" w:fill="FFFFFF"/>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25" w:type="dxa"/>
            <w:noWrap w:val="0"/>
            <w:vAlign w:val="center"/>
          </w:tcPr>
          <w:p>
            <w:pPr>
              <w:keepNext w:val="0"/>
              <w:keepLines w:val="0"/>
              <w:pageBreakBefore w:val="0"/>
              <w:widowControl/>
              <w:kinsoku/>
              <w:overflowPunct/>
              <w:topLinePunct w:val="0"/>
              <w:autoSpaceDE/>
              <w:autoSpaceDN/>
              <w:bidi w:val="0"/>
              <w:spacing w:line="240" w:lineRule="auto"/>
              <w:jc w:val="center"/>
              <w:textAlignment w:val="auto"/>
              <w:rPr>
                <w:rFonts w:hint="eastAsia" w:ascii="宋体" w:hAnsi="宋体" w:eastAsia="宋体" w:cs="宋体"/>
                <w:color w:val="232323"/>
                <w:kern w:val="0"/>
                <w:sz w:val="24"/>
                <w:szCs w:val="24"/>
                <w:shd w:val="clear" w:color="auto" w:fill="FFFFFF"/>
                <w:lang w:eastAsia="zh-CN" w:bidi="ar"/>
              </w:rPr>
            </w:pPr>
            <w:r>
              <w:rPr>
                <w:rFonts w:hint="eastAsia" w:ascii="宋体" w:hAnsi="宋体" w:cs="宋体"/>
                <w:color w:val="232323"/>
                <w:kern w:val="0"/>
                <w:sz w:val="24"/>
                <w:szCs w:val="24"/>
                <w:shd w:val="clear" w:color="auto" w:fill="FFFFFF"/>
                <w:lang w:val="en-US" w:eastAsia="zh-CN" w:bidi="ar"/>
              </w:rPr>
              <w:t>邮电费</w:t>
            </w:r>
          </w:p>
        </w:tc>
        <w:tc>
          <w:tcPr>
            <w:tcW w:w="258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r>
              <w:rPr>
                <w:rFonts w:hint="eastAsia" w:ascii="宋体" w:hAnsi="宋体" w:eastAsia="宋体" w:cs="宋体"/>
                <w:color w:val="232323"/>
                <w:kern w:val="0"/>
                <w:sz w:val="22"/>
                <w:szCs w:val="22"/>
                <w:shd w:val="clear" w:color="auto" w:fill="FFFFFF"/>
              </w:rPr>
              <w:t>0.17</w:t>
            </w:r>
          </w:p>
        </w:tc>
        <w:tc>
          <w:tcPr>
            <w:tcW w:w="234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r>
              <w:rPr>
                <w:rFonts w:hint="eastAsia" w:ascii="宋体" w:hAnsi="宋体" w:eastAsia="宋体" w:cs="宋体"/>
                <w:color w:val="232323"/>
                <w:kern w:val="0"/>
                <w:sz w:val="22"/>
                <w:szCs w:val="22"/>
                <w:shd w:val="clear" w:color="auto" w:fill="FFFFFF"/>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25" w:type="dxa"/>
            <w:noWrap w:val="0"/>
            <w:vAlign w:val="center"/>
          </w:tcPr>
          <w:p>
            <w:pPr>
              <w:keepNext w:val="0"/>
              <w:keepLines w:val="0"/>
              <w:pageBreakBefore w:val="0"/>
              <w:widowControl/>
              <w:kinsoku/>
              <w:overflowPunct/>
              <w:topLinePunct w:val="0"/>
              <w:autoSpaceDE/>
              <w:autoSpaceDN/>
              <w:bidi w:val="0"/>
              <w:spacing w:line="240" w:lineRule="auto"/>
              <w:jc w:val="center"/>
              <w:textAlignment w:val="auto"/>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奖励金</w:t>
            </w:r>
          </w:p>
        </w:tc>
        <w:tc>
          <w:tcPr>
            <w:tcW w:w="258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r>
              <w:rPr>
                <w:rFonts w:hint="eastAsia" w:ascii="宋体" w:hAnsi="宋体" w:eastAsia="宋体" w:cs="宋体"/>
                <w:color w:val="232323"/>
                <w:kern w:val="0"/>
                <w:sz w:val="22"/>
                <w:szCs w:val="22"/>
                <w:shd w:val="clear" w:color="auto" w:fill="FFFFFF"/>
              </w:rPr>
              <w:t>1.65</w:t>
            </w:r>
          </w:p>
        </w:tc>
        <w:tc>
          <w:tcPr>
            <w:tcW w:w="234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r>
              <w:rPr>
                <w:rFonts w:hint="eastAsia" w:ascii="宋体" w:hAnsi="宋体" w:eastAsia="宋体" w:cs="宋体"/>
                <w:color w:val="232323"/>
                <w:kern w:val="0"/>
                <w:sz w:val="22"/>
                <w:szCs w:val="22"/>
                <w:shd w:val="clear" w:color="auto" w:fill="FFFFFF"/>
              </w:rPr>
              <w:t>13.47%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25" w:type="dxa"/>
            <w:noWrap w:val="0"/>
            <w:vAlign w:val="center"/>
          </w:tcPr>
          <w:p>
            <w:pPr>
              <w:keepNext w:val="0"/>
              <w:keepLines w:val="0"/>
              <w:pageBreakBefore w:val="0"/>
              <w:widowControl/>
              <w:kinsoku/>
              <w:overflowPunct/>
              <w:topLinePunct w:val="0"/>
              <w:autoSpaceDE/>
              <w:autoSpaceDN/>
              <w:bidi w:val="0"/>
              <w:spacing w:line="240" w:lineRule="auto"/>
              <w:jc w:val="center"/>
              <w:textAlignment w:val="auto"/>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bidi="ar"/>
              </w:rPr>
              <w:t>专用燃料费</w:t>
            </w:r>
          </w:p>
        </w:tc>
        <w:tc>
          <w:tcPr>
            <w:tcW w:w="258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p>
        </w:tc>
        <w:tc>
          <w:tcPr>
            <w:tcW w:w="234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25" w:type="dxa"/>
            <w:noWrap w:val="0"/>
            <w:vAlign w:val="center"/>
          </w:tcPr>
          <w:p>
            <w:pPr>
              <w:keepNext w:val="0"/>
              <w:keepLines w:val="0"/>
              <w:pageBreakBefore w:val="0"/>
              <w:widowControl/>
              <w:kinsoku/>
              <w:overflowPunct/>
              <w:topLinePunct w:val="0"/>
              <w:autoSpaceDE/>
              <w:autoSpaceDN/>
              <w:bidi w:val="0"/>
              <w:spacing w:line="240" w:lineRule="auto"/>
              <w:jc w:val="center"/>
              <w:textAlignment w:val="auto"/>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资本性支出</w:t>
            </w:r>
          </w:p>
        </w:tc>
        <w:tc>
          <w:tcPr>
            <w:tcW w:w="258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p>
        </w:tc>
        <w:tc>
          <w:tcPr>
            <w:tcW w:w="234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25" w:type="dxa"/>
            <w:noWrap w:val="0"/>
            <w:vAlign w:val="center"/>
          </w:tcPr>
          <w:p>
            <w:pPr>
              <w:keepNext w:val="0"/>
              <w:keepLines w:val="0"/>
              <w:pageBreakBefore w:val="0"/>
              <w:widowControl/>
              <w:kinsoku/>
              <w:overflowPunct/>
              <w:topLinePunct w:val="0"/>
              <w:autoSpaceDE/>
              <w:autoSpaceDN/>
              <w:bidi w:val="0"/>
              <w:spacing w:line="240" w:lineRule="auto"/>
              <w:jc w:val="center"/>
              <w:textAlignment w:val="auto"/>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bidi="ar"/>
              </w:rPr>
              <w:t>合计</w:t>
            </w:r>
          </w:p>
        </w:tc>
        <w:tc>
          <w:tcPr>
            <w:tcW w:w="258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r>
              <w:rPr>
                <w:rFonts w:hint="eastAsia" w:ascii="宋体" w:hAnsi="宋体" w:eastAsia="宋体" w:cs="宋体"/>
                <w:color w:val="232323"/>
                <w:kern w:val="0"/>
                <w:sz w:val="22"/>
                <w:szCs w:val="22"/>
                <w:shd w:val="clear" w:color="auto" w:fill="FFFFFF"/>
              </w:rPr>
              <w:t>12.25</w:t>
            </w:r>
          </w:p>
        </w:tc>
        <w:tc>
          <w:tcPr>
            <w:tcW w:w="2340" w:type="dxa"/>
            <w:noWrap w:val="0"/>
            <w:vAlign w:val="center"/>
          </w:tcPr>
          <w:p>
            <w:pPr>
              <w:widowControl/>
              <w:jc w:val="center"/>
              <w:rPr>
                <w:rFonts w:hint="eastAsia" w:ascii="宋体" w:hAnsi="宋体" w:eastAsia="宋体" w:cs="宋体"/>
                <w:color w:val="232323"/>
                <w:kern w:val="0"/>
                <w:sz w:val="22"/>
                <w:szCs w:val="22"/>
                <w:shd w:val="clear" w:color="auto" w:fill="FFFFFF"/>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（六）部门整体支出的管理情况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会计法》、《预算法》、《政府会计准则》等法律和财政部、省财政厅有关财务规章制度，我单位严格执行经费审批制度、财务会审制度和报销程序，加强了经费支出的监督管理，实现了资金申请、审批、拨付、监督等全流程制度化管理。</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（七）资产管理情况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建立健全了完整有效的资产管理制度，资产管理实行账物分离，确定专人负责。财务部门负责管账，相关股室负责管物。固定资产的购置须书面报告单位领导，经单位领导审批后，办理政府采购手续，办公室凭政府采购批复实行询价或定点采购，股室领用时需在固定资产管理卡片上签字建档。资产管理负责人建立实物资产的购、存、领台账。2020年我单位资产管理和使用状况良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三、整体支出绩效情况</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（一）预算配置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2020年，我单位在职人员编制数为2人，年末实际在职人数为2人，年初预算收入5.50万元，年末决算收入273.66万元；年末决算支出273.66万元。</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（二）预算执行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政务公开网公布部门财政预算批复及执行情况，及时公布“三公经费”支出情况，接受监督。三是建立健全项目资金管理制度。对于财政性专项资金，在区财政单位的督导下，严格按专项资金项目实施方案执行，督促项目承担单位加快项目实施进度，及时办理报账、验收、结算等相关手续，做到不集中使用、不滥用资金，最大限度提高专项资金利用效率。</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（三）预算管理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规范机关财务管理，建立健全财务管理制度，我单位制订了《财务管理办法》、《财务内控制度（试行）》、《财务集中会审实施办法》等一系列合法合规、较为完整的、具有很强的可操作性财务管理制度。坚持经费预算科学化、精细化，执行控制规范化、责任化，监督检查常态化、同步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（四）提升支出绩效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2020年，我单位各项工作任务全面完成，财务管理规范，单位行政运行稳定有序。</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（五）评价结论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结合我单位财政资金的使用情况，认真组织开展整体支出绩效自评，自评等级“良好”。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 四、存在的问题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1.绩效目标设立不够明确、细化和量化。。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2.资金使用效益有待进一步提高。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五、措施和建议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1.加强单位预算编制工作，根据人员情况、业务开展需要，逐项做出预算计划，预算合理、不留缺口、不留空项。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加强业务培训，提高评价水平。部门整体绩效评价工作是一项长期性的工作，专业性强，工作量大，建议财政部门进一步加强开展部门领导及经办人员相关的政策、业务工作培训，组织开展部门之间、单位之间的经验交流，切实推进绩效评价工作的开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3.预算财务分析常态化，定期做好预算支出财务分析，做好部门整体支出预算评价工作。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北塔区就业服务中心</w:t>
      </w:r>
    </w:p>
    <w:p>
      <w:pPr>
        <w:keepNext w:val="0"/>
        <w:keepLines w:val="0"/>
        <w:pageBreakBefore w:val="0"/>
        <w:widowControl w:val="0"/>
        <w:kinsoku/>
        <w:wordWrap w:val="0"/>
        <w:overflowPunct/>
        <w:topLinePunct w:val="0"/>
        <w:autoSpaceDE/>
        <w:autoSpaceDN/>
        <w:bidi w:val="0"/>
        <w:adjustRightInd/>
        <w:snapToGrid/>
        <w:spacing w:line="480" w:lineRule="exact"/>
        <w:ind w:firstLine="480" w:firstLineChars="200"/>
        <w:jc w:val="righ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2021年8月26日</w:t>
      </w:r>
      <w:r>
        <w:rPr>
          <w:rFonts w:hint="eastAsia" w:asciiTheme="minorEastAsia" w:hAnsiTheme="minorEastAsia" w:eastAsiaTheme="minorEastAsia" w:cstheme="minorEastAsia"/>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72D7584"/>
    <w:rsid w:val="000B37C5"/>
    <w:rsid w:val="0056515E"/>
    <w:rsid w:val="008526EA"/>
    <w:rsid w:val="072D7584"/>
    <w:rsid w:val="1F5535AB"/>
    <w:rsid w:val="483E1D50"/>
    <w:rsid w:val="4CC9006E"/>
    <w:rsid w:val="64444BC9"/>
    <w:rsid w:val="64C87075"/>
    <w:rsid w:val="65F564F4"/>
    <w:rsid w:val="6AE141A4"/>
    <w:rsid w:val="6C1B524C"/>
    <w:rsid w:val="6E0C5B7A"/>
    <w:rsid w:val="7C520CBE"/>
    <w:rsid w:val="7FA84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3180</Words>
  <Characters>3530</Characters>
  <Lines>5</Lines>
  <Paragraphs>8</Paragraphs>
  <TotalTime>1</TotalTime>
  <ScaleCrop>false</ScaleCrop>
  <LinksUpToDate>false</LinksUpToDate>
  <CharactersWithSpaces>3546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2021-09-13T03:50:00Z</dcterms:created>
  <dc:creator>栀璃鸢年</dc:creator>
  <cp:lastModifiedBy>情殇</cp:lastModifiedBy>
  <cp:lastPrinted>2021-09-14T11:04:00Z</cp:lastPrinted>
  <dcterms:modified xsi:type="dcterms:W3CDTF">2021-09-27T08:43:04Z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8AA86F5D40B14E36ADCEA73F4531CB5B</vt:lpwstr>
  </property>
</Properties>
</file>