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b/>
          <w:bCs/>
          <w:color w:val="444444"/>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b/>
          <w:bCs/>
          <w:color w:val="444444"/>
          <w:sz w:val="28"/>
          <w:szCs w:val="28"/>
          <w:shd w:val="clear" w:fill="FFFFFF"/>
          <w:lang w:eastAsia="zh-CN"/>
        </w:rPr>
      </w:pPr>
      <w:r>
        <w:rPr>
          <w:rFonts w:hint="eastAsia" w:ascii="宋体" w:hAnsi="宋体" w:eastAsia="宋体" w:cs="宋体"/>
          <w:b/>
          <w:bCs/>
          <w:color w:val="444444"/>
          <w:sz w:val="28"/>
          <w:szCs w:val="28"/>
          <w:shd w:val="clear" w:fill="FFFFFF"/>
          <w:lang w:val="en-US" w:eastAsia="zh-CN"/>
        </w:rPr>
        <w:t>北塔区民政局</w:t>
      </w:r>
      <w:r>
        <w:rPr>
          <w:rFonts w:hint="default" w:ascii="宋体" w:hAnsi="宋体" w:eastAsia="宋体" w:cs="宋体"/>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贯彻执行党和国家、市委、市政府关于民政工作的法律、法规和方针、政策；制订全区民政事业中长期发展规划和年度计划，并组织实施和监督检查。</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贯彻和执行省市有关社会救助工作的方针、政策和地方规章；负责指导、监督、检查乡办社会救助的实施；负责制定全区最低生活保障、特困人员供养、临时救助、孤儿、残疾人等救助资金需求计划，负责区本级最低生活保障、特困人员供养、临时救助、孤儿、残疾人等资金分配和管理；负责建立和管理全区永久性的社会救助档案。</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拟订加强和改进全市基层政权建设的意见和建议，指导实施基层政权、基层群众性自治组织和社区建设的法规、政策；指导乡（镇、街道）政务公开和规范化建设工作；指导村（居）民委员会民主选举、民主决策、民主管理和民主监督工作；推动村（居）民自治和基层民主政治建设；指导组织城乡社区建设和服务管理工作；负责组织基层群众自治组织和社区管理人员的培训和表彰。</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拟订民政事业费管理相关制度，监督检查民政事业资金分配、管理、使用；组织拟订民政事业发展规划；负责局机关财务和国有资产管理；负责民政事业资金审计和民政统计工作。</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color w:val="444444"/>
          <w:kern w:val="0"/>
          <w:sz w:val="28"/>
          <w:szCs w:val="28"/>
          <w:shd w:val="clear" w:fill="FFFFFF"/>
        </w:rPr>
      </w:pPr>
      <w:r>
        <w:rPr>
          <w:rFonts w:hint="eastAsia" w:ascii="仿宋" w:hAnsi="仿宋" w:eastAsia="仿宋" w:cs="仿宋"/>
          <w:kern w:val="2"/>
          <w:sz w:val="32"/>
          <w:szCs w:val="32"/>
          <w:lang w:val="en-US" w:eastAsia="zh-CN" w:bidi="ar"/>
        </w:rPr>
        <w:t>负责老龄工作法律法规和方针政策的贯彻执行，拟订老龄事业发展规划及有关政策；承担老龄办的日常工作。</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邵阳市北塔区民政局是北塔区人民政府主管的社会行政事务的职能部门，内设机构5个，即：办公室、规划财务股、基政和社会治理股、社会事务股、社会救助股。下设二级机构2个，即婚姻服务中心和低收入家庭认证中心。财务统一核算。</w:t>
      </w:r>
    </w:p>
    <w:p>
      <w:pPr>
        <w:keepNext w:val="0"/>
        <w:keepLines w:val="0"/>
        <w:widowControl w:val="0"/>
        <w:numPr>
          <w:ilvl w:val="0"/>
          <w:numId w:val="1"/>
        </w:numPr>
        <w:suppressLineNumbers w:val="0"/>
        <w:spacing w:before="0" w:beforeAutospacing="1" w:after="0" w:afterAutospacing="1" w:line="480" w:lineRule="exac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全局编制人数5人，其中行政编制4人，工勤人员1人，实际人数54人，退休人员21人。小车编制数0台。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1782.90万元，比上年同口径减少267.4万元，减少13.04%。其中：工资福利支出357.67万元，商品和服务支出391.85万元，对个人和家庭的补助1033.38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三公”经费实际开支总额1.46万元。其中：因公出国（境）费支出本年未发生。公务用车购置及运行维护费实际开支0万元（公务用车购置费未发生，公务用车运行维护费0万元），公务用车保有量0辆；公务接待费实际开支1.46万元。2021年“三公”经费实际开支总额比2020年同口径减少0.48万元，下降24.74%。原因为我局认真贯彻落实中央八项规定要求，厉行节约、严格控制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支出系我局为完成社会保障和就业、民政管理、残疾人事业以及灾害防治及应急管理等工作而发生的支出。2021年我局组织实施专项项目经费当年实际收入778.73万元，其中包括上年结转和结余0万元，预算安排项目经费778.73万元。项目支出778.73万元（其中：商品和服务支出670.38万元，资本性支出108.35万元），比上年同口径增加778.73万，提高100%。主要用于原因是往年项目支出没有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r>
        <w:rPr>
          <w:rFonts w:hint="eastAsia" w:ascii="宋体" w:hAnsi="宋体" w:eastAsia="宋体" w:cs="宋体"/>
          <w:color w:val="444444"/>
          <w:kern w:val="0"/>
          <w:sz w:val="28"/>
          <w:szCs w:val="28"/>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2021年12月31日，邵阳市北塔区民政局资产总额为1808.95万元，主要由以下部分构成：流动资产1527.82万元,占资产总额的84.46%,主要为银行存款及其他应收款等;固定资产281.13万元,占资产总额的15.54%，主要包括房屋、公务用车、办公设备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2021年，我局充分履行职责职能，严格执行各项管理制度，经济、社会等效益显著、社会公众满意度上升，较好地完成了全年工作目标。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1.困难群众生活救助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2.孤儿生活救助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3.残疾人两项补贴和残疾儿童康复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4.居家和社区养老试点工作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95分，自评结果为95。</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kern w:val="0"/>
          <w:sz w:val="30"/>
          <w:szCs w:val="30"/>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kern w:val="0"/>
          <w:sz w:val="30"/>
          <w:szCs w:val="30"/>
        </w:rPr>
      </w:pPr>
      <w:r>
        <w:rPr>
          <w:rFonts w:hint="eastAsia" w:ascii="宋体" w:hAnsi="宋体" w:eastAsia="宋体" w:cs="宋体"/>
          <w:kern w:val="0"/>
          <w:sz w:val="30"/>
          <w:szCs w:val="30"/>
        </w:rPr>
        <w:t>固定资产管理需进一步规范。固定资产管理意识在相对淡薄。</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提高固定资产的使用效益，通过对固定资产进行清查、盘点，做到账实、账账相符，及时做好固定资产的核销工作。</w:t>
      </w:r>
    </w:p>
    <w:p>
      <w:pPr>
        <w:rPr>
          <w:rFonts w:hint="eastAsia" w:ascii="宋体" w:hAnsi="宋体" w:eastAsia="宋体" w:cs="宋体"/>
          <w:spacing w:val="0"/>
          <w:kern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eastAsia="zh-CN"/>
        </w:rPr>
      </w:pPr>
    </w:p>
    <w:p>
      <w:pPr>
        <w:spacing w:line="600" w:lineRule="exact"/>
        <w:rPr>
          <w:rFonts w:hint="eastAsia" w:ascii="黑体" w:hAnsi="宋体" w:eastAsia="黑体" w:cs="宋体"/>
          <w:kern w:val="0"/>
          <w:sz w:val="32"/>
          <w:szCs w:val="32"/>
        </w:rPr>
      </w:pPr>
      <w:bookmarkStart w:id="0" w:name="RANGE!A1:H22"/>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95</w:t>
            </w:r>
            <w:bookmarkStart w:id="1" w:name="_GoBack"/>
            <w:bookmarkEnd w:id="1"/>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84524"/>
    <w:multiLevelType w:val="singleLevel"/>
    <w:tmpl w:val="9C784524"/>
    <w:lvl w:ilvl="0" w:tentative="0">
      <w:start w:val="1"/>
      <w:numFmt w:val="chineseCounting"/>
      <w:suff w:val="nothing"/>
      <w:lvlText w:val="（%1）"/>
      <w:lvlJc w:val="left"/>
      <w:rPr>
        <w:rFonts w:hint="eastAsia"/>
      </w:rPr>
    </w:lvl>
  </w:abstractNum>
  <w:abstractNum w:abstractNumId="1">
    <w:nsid w:val="0AB43CBE"/>
    <w:multiLevelType w:val="singleLevel"/>
    <w:tmpl w:val="0AB43CBE"/>
    <w:lvl w:ilvl="0" w:tentative="0">
      <w:start w:val="2"/>
      <w:numFmt w:val="decimal"/>
      <w:lvlText w:val="%1."/>
      <w:lvlJc w:val="left"/>
      <w:pPr>
        <w:tabs>
          <w:tab w:val="left" w:pos="312"/>
        </w:tabs>
      </w:pPr>
    </w:lvl>
  </w:abstractNum>
  <w:abstractNum w:abstractNumId="2">
    <w:nsid w:val="1F25950A"/>
    <w:multiLevelType w:val="singleLevel"/>
    <w:tmpl w:val="1F25950A"/>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Y2ZiYmQ0M2VkMTlhMzY1NmJkYThlOTE5MGM5NTYifQ=="/>
  </w:docVars>
  <w:rsids>
    <w:rsidRoot w:val="00000000"/>
    <w:rsid w:val="020D4A8F"/>
    <w:rsid w:val="061761AE"/>
    <w:rsid w:val="071B1325"/>
    <w:rsid w:val="0AA26F12"/>
    <w:rsid w:val="10B74526"/>
    <w:rsid w:val="13BA6F3B"/>
    <w:rsid w:val="18516955"/>
    <w:rsid w:val="193434E8"/>
    <w:rsid w:val="1A774F7A"/>
    <w:rsid w:val="1CA94A00"/>
    <w:rsid w:val="1EAC476E"/>
    <w:rsid w:val="1F0209A9"/>
    <w:rsid w:val="21B84B07"/>
    <w:rsid w:val="228F03FE"/>
    <w:rsid w:val="22AA7866"/>
    <w:rsid w:val="24FE5B05"/>
    <w:rsid w:val="26EF20E1"/>
    <w:rsid w:val="2CC20ED6"/>
    <w:rsid w:val="2CCF40A2"/>
    <w:rsid w:val="2DB15E0A"/>
    <w:rsid w:val="2E444691"/>
    <w:rsid w:val="2FF73E2E"/>
    <w:rsid w:val="30881BEF"/>
    <w:rsid w:val="34750451"/>
    <w:rsid w:val="39FD0275"/>
    <w:rsid w:val="3B244CA0"/>
    <w:rsid w:val="3EB25721"/>
    <w:rsid w:val="45AD0E01"/>
    <w:rsid w:val="46DD15C6"/>
    <w:rsid w:val="48681068"/>
    <w:rsid w:val="4D740414"/>
    <w:rsid w:val="52B0193D"/>
    <w:rsid w:val="567C03D1"/>
    <w:rsid w:val="60786190"/>
    <w:rsid w:val="638B61DA"/>
    <w:rsid w:val="742436C4"/>
    <w:rsid w:val="799C4965"/>
    <w:rsid w:val="7AB3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uiPriority w:val="0"/>
    <w:rPr>
      <w:color w:val="444444"/>
      <w:u w:val="none"/>
    </w:rPr>
  </w:style>
  <w:style w:type="character" w:customStyle="1" w:styleId="10">
    <w:name w:val="gai"/>
    <w:basedOn w:val="6"/>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uiPriority w:val="0"/>
  </w:style>
  <w:style w:type="character" w:customStyle="1" w:styleId="16">
    <w:name w:val="info-valid"/>
    <w:basedOn w:val="6"/>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5198</Words>
  <Characters>5511</Characters>
  <Lines>0</Lines>
  <Paragraphs>0</Paragraphs>
  <TotalTime>41</TotalTime>
  <ScaleCrop>false</ScaleCrop>
  <LinksUpToDate>false</LinksUpToDate>
  <CharactersWithSpaces>5764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2022-10-14T09:16:24Z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CE36A8D89B3940E496B630D50B847D34</vt:lpwstr>
  </property>
</Properties>
</file>