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2019年度</w:t>
      </w:r>
    </w:p>
    <w:p>
      <w:pPr>
        <w:pStyle w:val="11"/>
        <w:jc w:val="center"/>
        <w:rPr>
          <w:rFonts w:hint="eastAsia"/>
          <w:sz w:val="84"/>
          <w:szCs w:val="84"/>
          <w:lang w:eastAsia="zh-CN"/>
        </w:rPr>
      </w:pPr>
      <w:r>
        <w:rPr>
          <w:rFonts w:hint="eastAsia"/>
          <w:sz w:val="84"/>
          <w:szCs w:val="84"/>
          <w:lang w:eastAsia="zh-CN"/>
        </w:rPr>
        <w:t>北塔区民政局</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spacing w:line="540" w:lineRule="exact"/>
        <w:jc w:val="center"/>
        <w:rPr>
          <w:sz w:val="56"/>
          <w:szCs w:val="56"/>
        </w:rPr>
      </w:pPr>
    </w:p>
    <w:p>
      <w:pPr>
        <w:pStyle w:val="11"/>
        <w:spacing w:line="520" w:lineRule="exact"/>
        <w:jc w:val="center"/>
        <w:rPr>
          <w:rFonts w:hint="eastAsia"/>
          <w:sz w:val="56"/>
          <w:szCs w:val="56"/>
        </w:rPr>
      </w:pPr>
    </w:p>
    <w:p>
      <w:pPr>
        <w:pStyle w:val="11"/>
        <w:spacing w:line="520" w:lineRule="exact"/>
        <w:jc w:val="center"/>
        <w:rPr>
          <w:rFonts w:hint="eastAsia"/>
          <w:sz w:val="56"/>
          <w:szCs w:val="56"/>
        </w:rPr>
      </w:pPr>
    </w:p>
    <w:p>
      <w:pPr>
        <w:pStyle w:val="11"/>
        <w:spacing w:line="520" w:lineRule="exact"/>
        <w:jc w:val="center"/>
        <w:rPr>
          <w:rFonts w:hint="eastAsia"/>
          <w:sz w:val="56"/>
          <w:szCs w:val="56"/>
        </w:rPr>
      </w:pPr>
    </w:p>
    <w:p>
      <w:pPr>
        <w:pStyle w:val="11"/>
        <w:spacing w:line="520" w:lineRule="exact"/>
        <w:jc w:val="center"/>
        <w:rPr>
          <w:sz w:val="56"/>
          <w:szCs w:val="56"/>
        </w:rPr>
      </w:pPr>
      <w:r>
        <w:rPr>
          <w:rFonts w:hint="eastAsia"/>
          <w:sz w:val="56"/>
          <w:szCs w:val="56"/>
        </w:rPr>
        <w:t>目录</w:t>
      </w:r>
    </w:p>
    <w:p>
      <w:pPr>
        <w:pStyle w:val="11"/>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北塔区民政局</w:t>
      </w:r>
      <w:r>
        <w:rPr>
          <w:rFonts w:hint="eastAsia"/>
          <w:b/>
          <w:sz w:val="28"/>
          <w:szCs w:val="28"/>
        </w:rPr>
        <w:t>概况</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北塔区民政局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（一）贯彻执行党和国家、上级党委政府关于民政工作的法律法规和方针政策；制订全区民政事业中长期发展规划和年度计划，并组织实施和监督检查；制定部门规章和标准并组织实施。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二）依法承担对全区社会团体进行登记、管理和监督的责任；依法监督社会团体活动，查处社会团体组织和民办非企业单位的违法行为和未经登记注册而以社会团体和民办非企业单位名义开展活动的非法组织；按权限和程序负责社会团体的审批和监管；指导、监督辖区内社会团体、民办非企业单位依法依规开展各项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三）贯彻执行全区社会救助政策、规划和标准，统筹社会救助体系建设，负责城乡居民最低生活保障、特困人员救助供养、临时救助工作；负责特困人员供养和敬老院建设与监督管理工作；负责国家机关公务员以及参照公务员法管理的国家机关工作人员的伤亡抚恤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（四）贯彻执行城乡基层群众自治建设和社区治理政策，指导城乡社区治理体系和治理能力建设，提出加强和改进城乡基层政权建设的建议，推动基层民主政治建设。</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五）负责全区行政区划、行政区域界限管理和地名管理工作；负责权限范围内的行政区划设立、命名、变更和政府驻地迁移审核报批工作；负责乡级行政区域界线的勘定和管理工作；负责地名管理工作，拟订全区地名管理政策、标准；负责权限范围内的自然地理实体的命名、更名审核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（六）贯彻执行国家婚姻登记政策并组织实施；承担全区婚姻登记信息管理；推进婚俗改革。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（七）贯彻执行国家殡葬管理政策、服务规范并组织实施，推进殡葬改革；指导殡葬服务机构管理工作。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八）负责生活无着流浪乞讨人员和流浪未成年人救助保护工作；指导生活无着流浪乞讨人员救助管理机构建设；协调跨省、市、州及跨县（市、区）的生活无着流浪乞讨人员救助管理和流浪未成年人的救助保护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（九）统筹推进、督促指导、监督管理全区养老服务工作；拟定全区养老服务事业发展规划并组织实施；承担老年人福利和特殊困难老年人救助工作。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（十）贯彻执行残疾人权益保护政策并组织实施，统筹推进残疾人福利制度建设和康复辅助器具产业发展。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（十一）贯彻执行儿童福利、孤弃儿童保障、儿童收养、儿童救助保护政策并组织实施，健全农村留守儿童关爱服务体系和困境儿童保障制度。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（十二）贯彻执行促进慈善事业发展政策，拟订全区慈善事业发展规划；指导社会捐助工作。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（十三）贯彻执行全区社会工作、志愿服务政策和标准，会同有关部门推进社会工作人才队伍建设和志愿者队伍建设；推进民政科技和民政行业标准化工作。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（十四）负责全区民政事业财务、国有资产管理和统计、内部审计工作，指导、监督全区民政事业经费的管理和使用。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（十五）完成区委、区政府交办的其他任务。</w:t>
      </w:r>
    </w:p>
    <w:p>
      <w:pPr>
        <w:widowControl/>
        <w:spacing w:line="600" w:lineRule="exact"/>
        <w:rPr>
          <w:rFonts w:ascii="黑体" w:hAnsi="黑体" w:eastAsia="黑体"/>
          <w:bCs/>
          <w:kern w:val="0"/>
          <w:sz w:val="32"/>
          <w:szCs w:val="32"/>
        </w:rPr>
      </w:pPr>
      <w:r>
        <w:rPr>
          <w:rFonts w:hint="eastAsia" w:ascii="楷体" w:hAnsi="楷体" w:eastAsia="楷体" w:cs="楷体"/>
          <w:b/>
          <w:bCs/>
          <w:color w:val="auto"/>
          <w:sz w:val="32"/>
          <w:szCs w:val="32"/>
          <w:lang w:eastAsia="zh-CN" w:bidi="ar-SA"/>
        </w:rPr>
        <w:t>二、</w:t>
      </w:r>
      <w:r>
        <w:rPr>
          <w:rFonts w:hint="eastAsia" w:ascii="黑体" w:hAnsi="黑体" w:eastAsia="黑体"/>
          <w:bCs/>
          <w:kern w:val="0"/>
          <w:sz w:val="32"/>
          <w:szCs w:val="32"/>
        </w:rPr>
        <w:t>机构设置及决算单位构成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  内设机构有办公室（加挂行政审批服务股牌子）、规划财务股、基层政权建设和社区治理股（加挂社会组织管理股、区划地名股牌子）、社会救助股（加挂慈善事业促进和社会工作股牌子）、社会事务股（加挂养老服务股、儿童福利股）。</w:t>
      </w:r>
    </w:p>
    <w:p>
      <w:pPr>
        <w:ind w:firstLine="700" w:firstLineChars="250"/>
        <w:rPr>
          <w:rFonts w:hint="eastAsia" w:ascii="仿宋" w:hAnsi="仿宋" w:eastAsia="仿宋" w:cs="仿宋"/>
          <w:spacing w:val="0"/>
          <w:sz w:val="28"/>
          <w:szCs w:val="28"/>
          <w:lang w:eastAsia="zh-CN"/>
        </w:rPr>
      </w:pPr>
      <w:r>
        <w:rPr>
          <w:rFonts w:hint="eastAsia" w:ascii="仿宋" w:hAnsi="仿宋" w:eastAsia="仿宋" w:cs="仿宋"/>
          <w:b w:val="0"/>
          <w:bCs w:val="0"/>
          <w:sz w:val="28"/>
          <w:szCs w:val="28"/>
        </w:rPr>
        <w:t>部门</w:t>
      </w:r>
      <w:r>
        <w:rPr>
          <w:rFonts w:hint="eastAsia" w:ascii="仿宋" w:hAnsi="仿宋" w:eastAsia="仿宋" w:cs="仿宋"/>
          <w:b w:val="0"/>
          <w:bCs w:val="0"/>
          <w:sz w:val="28"/>
          <w:szCs w:val="28"/>
          <w:lang w:eastAsia="zh-CN"/>
        </w:rPr>
        <w:t>决</w:t>
      </w:r>
      <w:r>
        <w:rPr>
          <w:rFonts w:hint="eastAsia" w:ascii="仿宋" w:hAnsi="仿宋" w:eastAsia="仿宋" w:cs="仿宋"/>
          <w:b w:val="0"/>
          <w:bCs w:val="0"/>
          <w:sz w:val="28"/>
          <w:szCs w:val="28"/>
        </w:rPr>
        <w:t>算单位构成</w:t>
      </w:r>
      <w:r>
        <w:rPr>
          <w:rFonts w:hint="eastAsia" w:ascii="仿宋" w:hAnsi="仿宋" w:eastAsia="仿宋" w:cs="仿宋"/>
          <w:b w:val="0"/>
          <w:bCs w:val="0"/>
          <w:sz w:val="28"/>
          <w:szCs w:val="28"/>
          <w:lang w:val="en-US" w:eastAsia="zh-CN"/>
        </w:rPr>
        <w:t>:</w:t>
      </w:r>
      <w:r>
        <w:rPr>
          <w:rFonts w:hint="eastAsia" w:ascii="仿宋" w:hAnsi="仿宋" w:eastAsia="仿宋" w:cs="仿宋"/>
          <w:color w:val="434343"/>
          <w:kern w:val="0"/>
          <w:sz w:val="28"/>
          <w:szCs w:val="28"/>
          <w:lang w:val="en" w:eastAsia="zh-CN"/>
        </w:rPr>
        <w:t>北塔区民政局包括</w:t>
      </w:r>
      <w:r>
        <w:rPr>
          <w:rFonts w:hint="eastAsia" w:ascii="仿宋" w:hAnsi="仿宋" w:eastAsia="仿宋" w:cs="仿宋"/>
          <w:color w:val="434343"/>
          <w:kern w:val="0"/>
          <w:sz w:val="28"/>
          <w:szCs w:val="28"/>
          <w:lang w:val="en-US" w:eastAsia="zh-CN"/>
        </w:rPr>
        <w:t>1个行政机关及北塔区婚姻服务中心1个下属事业单位，</w:t>
      </w:r>
      <w:r>
        <w:rPr>
          <w:rFonts w:hint="eastAsia" w:ascii="仿宋" w:hAnsi="仿宋" w:eastAsia="仿宋" w:cs="仿宋"/>
          <w:color w:val="434343"/>
          <w:kern w:val="0"/>
          <w:sz w:val="28"/>
          <w:szCs w:val="28"/>
          <w:lang w:val="en" w:eastAsia="zh-CN"/>
        </w:rPr>
        <w:t>均为</w:t>
      </w:r>
      <w:r>
        <w:rPr>
          <w:rFonts w:hint="eastAsia" w:ascii="仿宋" w:hAnsi="仿宋" w:eastAsia="仿宋" w:cs="仿宋"/>
          <w:color w:val="434343"/>
          <w:kern w:val="0"/>
          <w:sz w:val="28"/>
          <w:szCs w:val="28"/>
          <w:lang w:val="en"/>
        </w:rPr>
        <w:t>全额</w:t>
      </w:r>
      <w:r>
        <w:rPr>
          <w:rFonts w:hint="eastAsia" w:ascii="仿宋" w:hAnsi="仿宋" w:eastAsia="仿宋" w:cs="仿宋"/>
          <w:color w:val="434343"/>
          <w:kern w:val="0"/>
          <w:sz w:val="28"/>
          <w:szCs w:val="28"/>
          <w:lang w:val="en" w:eastAsia="zh-CN"/>
        </w:rPr>
        <w:t>拨款。</w:t>
      </w:r>
      <w:r>
        <w:rPr>
          <w:rFonts w:hint="eastAsia" w:ascii="仿宋" w:hAnsi="仿宋" w:eastAsia="仿宋" w:cs="仿宋"/>
          <w:color w:val="434343"/>
          <w:kern w:val="0"/>
          <w:sz w:val="28"/>
          <w:szCs w:val="28"/>
          <w:lang w:val="en"/>
        </w:rPr>
        <w:t>在职实有人数</w:t>
      </w:r>
      <w:r>
        <w:rPr>
          <w:rFonts w:hint="eastAsia" w:ascii="仿宋" w:hAnsi="仿宋" w:eastAsia="仿宋" w:cs="仿宋"/>
          <w:color w:val="434343"/>
          <w:kern w:val="0"/>
          <w:sz w:val="28"/>
          <w:szCs w:val="28"/>
          <w:lang w:val="en-US" w:eastAsia="zh-CN"/>
        </w:rPr>
        <w:t>68</w:t>
      </w:r>
      <w:r>
        <w:rPr>
          <w:rFonts w:hint="eastAsia" w:ascii="仿宋" w:hAnsi="仿宋" w:eastAsia="仿宋" w:cs="仿宋"/>
          <w:color w:val="434343"/>
          <w:kern w:val="0"/>
          <w:sz w:val="28"/>
          <w:szCs w:val="28"/>
          <w:lang w:val="en"/>
        </w:rPr>
        <w:t>人，离退休人员</w:t>
      </w:r>
      <w:r>
        <w:rPr>
          <w:rFonts w:hint="eastAsia" w:ascii="仿宋" w:hAnsi="仿宋" w:eastAsia="仿宋" w:cs="仿宋"/>
          <w:color w:val="434343"/>
          <w:kern w:val="0"/>
          <w:sz w:val="28"/>
          <w:szCs w:val="28"/>
          <w:lang w:val="en-US" w:eastAsia="zh-CN"/>
        </w:rPr>
        <w:t>13</w:t>
      </w:r>
      <w:r>
        <w:rPr>
          <w:rFonts w:hint="eastAsia" w:ascii="仿宋" w:hAnsi="仿宋" w:eastAsia="仿宋" w:cs="仿宋"/>
          <w:color w:val="434343"/>
          <w:kern w:val="0"/>
          <w:sz w:val="28"/>
          <w:szCs w:val="28"/>
          <w:lang w:val="en"/>
        </w:rPr>
        <w:t>人。</w:t>
      </w:r>
      <w:r>
        <w:rPr>
          <w:rFonts w:hint="eastAsia" w:ascii="仿宋" w:hAnsi="仿宋" w:eastAsia="仿宋" w:cs="仿宋"/>
          <w:spacing w:val="0"/>
          <w:sz w:val="28"/>
          <w:szCs w:val="28"/>
        </w:rPr>
        <w:t>区</w:t>
      </w:r>
      <w:r>
        <w:rPr>
          <w:rFonts w:hint="eastAsia" w:ascii="仿宋" w:hAnsi="仿宋" w:eastAsia="仿宋" w:cs="仿宋"/>
          <w:spacing w:val="0"/>
          <w:sz w:val="28"/>
          <w:szCs w:val="28"/>
          <w:lang w:eastAsia="zh-CN"/>
        </w:rPr>
        <w:t>民政局决</w:t>
      </w:r>
      <w:r>
        <w:rPr>
          <w:rFonts w:hint="eastAsia" w:ascii="仿宋" w:hAnsi="仿宋" w:eastAsia="仿宋" w:cs="仿宋"/>
          <w:spacing w:val="0"/>
          <w:sz w:val="28"/>
          <w:szCs w:val="28"/>
        </w:rPr>
        <w:t>算</w:t>
      </w:r>
      <w:r>
        <w:rPr>
          <w:rFonts w:hint="eastAsia" w:ascii="仿宋" w:hAnsi="仿宋" w:eastAsia="仿宋" w:cs="仿宋"/>
          <w:spacing w:val="0"/>
          <w:sz w:val="28"/>
          <w:szCs w:val="28"/>
          <w:lang w:eastAsia="zh-CN"/>
        </w:rPr>
        <w:t>报表</w:t>
      </w:r>
      <w:r>
        <w:rPr>
          <w:rFonts w:hint="eastAsia" w:ascii="仿宋" w:hAnsi="仿宋" w:eastAsia="仿宋" w:cs="仿宋"/>
          <w:spacing w:val="0"/>
          <w:sz w:val="28"/>
          <w:szCs w:val="28"/>
        </w:rPr>
        <w:t>包括区本级</w:t>
      </w:r>
      <w:r>
        <w:rPr>
          <w:rFonts w:hint="eastAsia" w:ascii="仿宋" w:hAnsi="仿宋" w:eastAsia="仿宋" w:cs="仿宋"/>
          <w:color w:val="434343"/>
          <w:kern w:val="0"/>
          <w:sz w:val="28"/>
          <w:szCs w:val="28"/>
          <w:lang w:val="en-US" w:eastAsia="zh-CN"/>
        </w:rPr>
        <w:t>及1个所属二级机构在内的汇总决算</w:t>
      </w:r>
      <w:r>
        <w:rPr>
          <w:rFonts w:hint="eastAsia" w:ascii="仿宋" w:hAnsi="仿宋" w:eastAsia="仿宋" w:cs="仿宋"/>
          <w:spacing w:val="0"/>
          <w:sz w:val="28"/>
          <w:szCs w:val="28"/>
          <w:lang w:eastAsia="zh-CN"/>
        </w:rPr>
        <w:t>。</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default" w:asciiTheme="minorEastAsia" w:hAnsiTheme="minorEastAsia"/>
          <w:sz w:val="32"/>
          <w:szCs w:val="32"/>
          <w:lang w:val="en-US"/>
        </w:rPr>
        <w:sectPr>
          <w:pgSz w:w="11906" w:h="16838"/>
          <w:pgMar w:top="1440" w:right="1800" w:bottom="1440" w:left="1800" w:header="851" w:footer="992" w:gutter="0"/>
          <w:cols w:space="425" w:num="1"/>
          <w:docGrid w:type="lines" w:linePitch="312" w:charSpace="0"/>
        </w:sectPr>
      </w:pPr>
      <w:r>
        <w:rPr>
          <w:rFonts w:hint="eastAsia"/>
          <w:sz w:val="72"/>
          <w:szCs w:val="72"/>
        </w:rPr>
        <w:t>部门决算表</w:t>
      </w:r>
      <w:r>
        <w:rPr>
          <w:rFonts w:hint="eastAsia"/>
          <w:sz w:val="72"/>
          <w:szCs w:val="72"/>
          <w:lang w:val="en-US" w:eastAsia="zh-CN"/>
        </w:rPr>
        <w:t>(见附件)</w:t>
      </w: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 年度收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4051.98万元</w:t>
      </w:r>
      <w:r>
        <w:rPr>
          <w:rFonts w:hint="eastAsia" w:asciiTheme="minorEastAsia" w:hAnsiTheme="minorEastAsia" w:eastAsiaTheme="minorEastAsia"/>
          <w:sz w:val="32"/>
          <w:szCs w:val="32"/>
        </w:rPr>
        <w:t>、支</w:t>
      </w:r>
      <w:r>
        <w:rPr>
          <w:rFonts w:hint="eastAsia" w:asciiTheme="minorEastAsia" w:hAnsiTheme="minorEastAsia" w:eastAsiaTheme="minorEastAsia"/>
          <w:sz w:val="32"/>
          <w:szCs w:val="32"/>
          <w:lang w:eastAsia="zh-CN"/>
        </w:rPr>
        <w:t>出</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3990.94</w:t>
      </w:r>
      <w:r>
        <w:rPr>
          <w:rFonts w:hint="eastAsia" w:asciiTheme="minorEastAsia" w:hAnsiTheme="minorEastAsia" w:eastAsiaTheme="minorEastAsia"/>
          <w:sz w:val="32"/>
          <w:szCs w:val="32"/>
        </w:rPr>
        <w:t>万元。与2018年相比，减少</w:t>
      </w:r>
      <w:r>
        <w:rPr>
          <w:rFonts w:hint="eastAsia" w:asciiTheme="minorEastAsia" w:hAnsiTheme="minorEastAsia" w:eastAsiaTheme="minorEastAsia"/>
          <w:sz w:val="32"/>
          <w:szCs w:val="32"/>
          <w:lang w:val="en-US" w:eastAsia="zh-CN"/>
        </w:rPr>
        <w:t>598.77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上级拨款收入减少。</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4051.98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4051.98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3990.94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3990.94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2019年度财政拨款收</w:t>
      </w:r>
      <w:r>
        <w:rPr>
          <w:rFonts w:hint="eastAsia" w:asciiTheme="minorEastAsia" w:hAnsiTheme="minorEastAsia" w:eastAsiaTheme="minorEastAsia"/>
          <w:sz w:val="32"/>
          <w:szCs w:val="32"/>
          <w:lang w:eastAsia="zh-CN"/>
        </w:rPr>
        <w:t>入总计</w:t>
      </w:r>
      <w:r>
        <w:rPr>
          <w:rFonts w:hint="eastAsia" w:asciiTheme="minorEastAsia" w:hAnsiTheme="minorEastAsia" w:eastAsiaTheme="minorEastAsia"/>
          <w:sz w:val="32"/>
          <w:szCs w:val="32"/>
          <w:lang w:val="en-US" w:eastAsia="zh-CN"/>
        </w:rPr>
        <w:t>4051.98万元</w:t>
      </w:r>
      <w:r>
        <w:rPr>
          <w:rFonts w:hint="eastAsia" w:asciiTheme="minorEastAsia" w:hAnsiTheme="minorEastAsia" w:eastAsiaTheme="minorEastAsia"/>
          <w:sz w:val="32"/>
          <w:szCs w:val="32"/>
        </w:rPr>
        <w:t>、支</w:t>
      </w:r>
      <w:r>
        <w:rPr>
          <w:rFonts w:hint="eastAsia" w:asciiTheme="minorEastAsia" w:hAnsiTheme="minorEastAsia" w:eastAsiaTheme="minorEastAsia"/>
          <w:sz w:val="32"/>
          <w:szCs w:val="32"/>
          <w:lang w:eastAsia="zh-CN"/>
        </w:rPr>
        <w:t>出</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3990.94</w:t>
      </w:r>
      <w:r>
        <w:rPr>
          <w:rFonts w:hint="eastAsia" w:asciiTheme="minorEastAsia" w:hAnsiTheme="minorEastAsia" w:eastAsiaTheme="minorEastAsia"/>
          <w:sz w:val="32"/>
          <w:szCs w:val="32"/>
        </w:rPr>
        <w:t>万元，与2018年相比，减少</w:t>
      </w:r>
      <w:r>
        <w:rPr>
          <w:rFonts w:hint="eastAsia" w:asciiTheme="minorEastAsia" w:hAnsiTheme="minorEastAsia" w:eastAsiaTheme="minorEastAsia"/>
          <w:sz w:val="32"/>
          <w:szCs w:val="32"/>
          <w:lang w:val="en-US" w:eastAsia="zh-CN"/>
        </w:rPr>
        <w:t>302.6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对个人和家庭的补助人数减少。</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3948.92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%，与2018年相比，财政拨款支出减少</w:t>
      </w:r>
      <w:r>
        <w:rPr>
          <w:rFonts w:hint="eastAsia" w:asciiTheme="minorEastAsia" w:hAnsiTheme="minorEastAsia" w:eastAsiaTheme="minorEastAsia"/>
          <w:sz w:val="32"/>
          <w:szCs w:val="32"/>
          <w:lang w:val="en-US" w:eastAsia="zh-CN"/>
        </w:rPr>
        <w:t>217.65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对个人和家庭的补助人数减少。</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3948.92</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eastAsia="zh-CN"/>
        </w:rPr>
        <w:t>政府办公厅及相关机构事务行政运行</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40.44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社会保障和就业支出共支出</w:t>
      </w:r>
      <w:r>
        <w:rPr>
          <w:rFonts w:hint="eastAsia" w:asciiTheme="minorEastAsia" w:hAnsiTheme="minorEastAsia" w:eastAsiaTheme="minorEastAsia"/>
          <w:sz w:val="32"/>
          <w:szCs w:val="32"/>
          <w:lang w:val="en-US" w:eastAsia="zh-CN"/>
        </w:rPr>
        <w:t>3829.85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eastAsia="zh-CN"/>
        </w:rPr>
        <w:t>一般公共预算总资金的</w:t>
      </w:r>
      <w:r>
        <w:rPr>
          <w:rFonts w:hint="eastAsia" w:asciiTheme="minorEastAsia" w:hAnsiTheme="minorEastAsia" w:eastAsiaTheme="minorEastAsia"/>
          <w:sz w:val="32"/>
          <w:szCs w:val="32"/>
          <w:lang w:val="en-US" w:eastAsia="zh-CN"/>
        </w:rPr>
        <w:t>96.6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；卫生健康支出共</w:t>
      </w:r>
      <w:r>
        <w:rPr>
          <w:rFonts w:hint="eastAsia" w:asciiTheme="minorEastAsia" w:hAnsiTheme="minorEastAsia" w:eastAsiaTheme="minorEastAsia"/>
          <w:sz w:val="32"/>
          <w:szCs w:val="32"/>
          <w:lang w:val="en-US" w:eastAsia="zh-CN"/>
        </w:rPr>
        <w:t>29.04万元，占一般公共预算支出的0.7%，农林水支出10.5万元，占0.3%，住房保障支出22.09万元，占0.6%；灾害防治及应急管理总支出17万元，占一般公共预算支出的0.4%。</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375.07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3948.92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1"/>
        <w:numPr>
          <w:ilvl w:val="0"/>
          <w:numId w:val="2"/>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一般公共服务（类）支出</w:t>
      </w:r>
      <w:r>
        <w:rPr>
          <w:rFonts w:hint="eastAsia" w:asciiTheme="minorEastAsia" w:hAnsiTheme="minorEastAsia" w:eastAsiaTheme="minorEastAsia"/>
          <w:sz w:val="32"/>
          <w:szCs w:val="32"/>
          <w:lang w:eastAsia="zh-CN"/>
        </w:rPr>
        <w:t>政府办公厅及相关机构事务行政运行</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40.44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测算误差</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中民政管理事务行政运行年初预算为</w:t>
      </w:r>
      <w:r>
        <w:rPr>
          <w:rFonts w:hint="eastAsia" w:asciiTheme="minorEastAsia" w:hAnsiTheme="minorEastAsia" w:eastAsiaTheme="minorEastAsia"/>
          <w:sz w:val="32"/>
          <w:szCs w:val="32"/>
          <w:lang w:val="en-US" w:eastAsia="zh-CN"/>
        </w:rPr>
        <w:t>132.23万元，支出决算为310.95万元，完成预算的235%，</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人员增加，工资提标等；</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中民政管理事务机关服务年初预算为</w:t>
      </w:r>
      <w:r>
        <w:rPr>
          <w:rFonts w:hint="eastAsia" w:asciiTheme="minorEastAsia" w:hAnsiTheme="minorEastAsia" w:eastAsiaTheme="minorEastAsia"/>
          <w:sz w:val="32"/>
          <w:szCs w:val="32"/>
          <w:lang w:val="en-US" w:eastAsia="zh-CN"/>
        </w:rPr>
        <w:t>0万元，支出决算为56.19万元，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中民政管理事务民间组织管理年初预算为</w:t>
      </w:r>
      <w:r>
        <w:rPr>
          <w:rFonts w:hint="eastAsia" w:asciiTheme="minorEastAsia" w:hAnsiTheme="minorEastAsia" w:eastAsiaTheme="minorEastAsia"/>
          <w:sz w:val="32"/>
          <w:szCs w:val="32"/>
          <w:lang w:val="en-US" w:eastAsia="zh-CN"/>
        </w:rPr>
        <w:t>0万元，支出决算为25.92万元，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中民政管理事务行政区划和地名管理年初预算为</w:t>
      </w:r>
      <w:r>
        <w:rPr>
          <w:rFonts w:hint="eastAsia" w:asciiTheme="minorEastAsia" w:hAnsiTheme="minorEastAsia" w:eastAsiaTheme="minorEastAsia"/>
          <w:sz w:val="32"/>
          <w:szCs w:val="32"/>
          <w:lang w:val="en-US" w:eastAsia="zh-CN"/>
        </w:rPr>
        <w:t>71.7万元，支出决算为35.88万元，完成预算的50%，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上年预算不足，将上年不足部分追加到本年度；</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中民政管理事务基层政权和社区建设年初预算为</w:t>
      </w:r>
      <w:r>
        <w:rPr>
          <w:rFonts w:hint="eastAsia" w:asciiTheme="minorEastAsia" w:hAnsiTheme="minorEastAsia" w:eastAsiaTheme="minorEastAsia"/>
          <w:sz w:val="32"/>
          <w:szCs w:val="32"/>
          <w:lang w:val="en-US" w:eastAsia="zh-CN"/>
        </w:rPr>
        <w:t>0万元，支出决算为3.17万元，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中民政管理事务其他民政管理事务支出年初预算为</w:t>
      </w:r>
      <w:r>
        <w:rPr>
          <w:rFonts w:hint="eastAsia" w:asciiTheme="minorEastAsia" w:hAnsiTheme="minorEastAsia" w:eastAsiaTheme="minorEastAsia"/>
          <w:sz w:val="32"/>
          <w:szCs w:val="32"/>
          <w:lang w:val="en-US" w:eastAsia="zh-CN"/>
        </w:rPr>
        <w:t>30万元，支出决算为66.29万元，完成预算的221%，</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对个人家庭补助人员增加；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中行政事业单位离退休基本养老保险缴费支出、职业年金缴费支出年初预算为</w:t>
      </w:r>
      <w:r>
        <w:rPr>
          <w:rFonts w:hint="eastAsia" w:asciiTheme="minorEastAsia" w:hAnsiTheme="minorEastAsia" w:eastAsiaTheme="minorEastAsia"/>
          <w:sz w:val="32"/>
          <w:szCs w:val="32"/>
          <w:lang w:val="en-US" w:eastAsia="zh-CN"/>
        </w:rPr>
        <w:t>43.46万元，支出决算为43.46万元，完成预算的100%</w:t>
      </w:r>
      <w:r>
        <w:rPr>
          <w:rFonts w:hint="eastAsia" w:asciiTheme="minorEastAsia" w:hAnsiTheme="minorEastAsia" w:eastAsiaTheme="minorEastAsia"/>
          <w:sz w:val="32"/>
          <w:szCs w:val="32"/>
          <w:lang w:eastAsia="zh-CN"/>
        </w:rPr>
        <w:t>；</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中就业补助其他就业补助支出年初预算为</w:t>
      </w:r>
      <w:r>
        <w:rPr>
          <w:rFonts w:hint="eastAsia" w:asciiTheme="minorEastAsia" w:hAnsiTheme="minorEastAsia" w:eastAsiaTheme="minorEastAsia"/>
          <w:sz w:val="32"/>
          <w:szCs w:val="32"/>
          <w:lang w:val="en-US" w:eastAsia="zh-CN"/>
        </w:rPr>
        <w:t>0万元，支出决算为0.6万元，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中抚恤之伤残抚恤支出年初预算为</w:t>
      </w:r>
      <w:r>
        <w:rPr>
          <w:rFonts w:hint="eastAsia" w:asciiTheme="minorEastAsia" w:hAnsiTheme="minorEastAsia" w:eastAsiaTheme="minorEastAsia"/>
          <w:sz w:val="32"/>
          <w:szCs w:val="32"/>
          <w:lang w:val="en-US" w:eastAsia="zh-CN"/>
        </w:rPr>
        <w:t>0万元，支出决算为302.98万元，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中抚恤之在乡复员、退伍军人生活补助支出年初预算为</w:t>
      </w:r>
      <w:r>
        <w:rPr>
          <w:rFonts w:hint="eastAsia" w:asciiTheme="minorEastAsia" w:hAnsiTheme="minorEastAsia" w:eastAsiaTheme="minorEastAsia"/>
          <w:sz w:val="32"/>
          <w:szCs w:val="32"/>
          <w:lang w:val="en-US" w:eastAsia="zh-CN"/>
        </w:rPr>
        <w:t>0万元，支出决算为2.52万元，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中抚恤之优抚事业单位支出年初预算为</w:t>
      </w:r>
      <w:r>
        <w:rPr>
          <w:rFonts w:hint="eastAsia" w:asciiTheme="minorEastAsia" w:hAnsiTheme="minorEastAsia" w:eastAsiaTheme="minorEastAsia"/>
          <w:sz w:val="32"/>
          <w:szCs w:val="32"/>
          <w:lang w:val="en-US" w:eastAsia="zh-CN"/>
        </w:rPr>
        <w:t>0万元，支出决算为5.48万元，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中抚恤之义务兵优待金支出年初预算为</w:t>
      </w:r>
      <w:r>
        <w:rPr>
          <w:rFonts w:hint="eastAsia" w:asciiTheme="minorEastAsia" w:hAnsiTheme="minorEastAsia" w:eastAsiaTheme="minorEastAsia"/>
          <w:sz w:val="32"/>
          <w:szCs w:val="32"/>
          <w:lang w:val="en-US" w:eastAsia="zh-CN"/>
        </w:rPr>
        <w:t>0万元，支出决算为32.3万元，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中抚恤之其他优抚支出年初预算为</w:t>
      </w:r>
      <w:r>
        <w:rPr>
          <w:rFonts w:hint="eastAsia" w:asciiTheme="minorEastAsia" w:hAnsiTheme="minorEastAsia" w:eastAsiaTheme="minorEastAsia"/>
          <w:sz w:val="32"/>
          <w:szCs w:val="32"/>
          <w:lang w:val="en-US" w:eastAsia="zh-CN"/>
        </w:rPr>
        <w:t>0万元，支出决算为51.58万元，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中退役安置之退役士兵安置年初预算为</w:t>
      </w:r>
      <w:r>
        <w:rPr>
          <w:rFonts w:hint="eastAsia" w:asciiTheme="minorEastAsia" w:hAnsiTheme="minorEastAsia" w:eastAsiaTheme="minorEastAsia"/>
          <w:sz w:val="32"/>
          <w:szCs w:val="32"/>
          <w:lang w:val="en-US" w:eastAsia="zh-CN"/>
        </w:rPr>
        <w:t>0万元，支出决算为12.1万元，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中退役安置之其他退役安置支出年初预算为</w:t>
      </w:r>
      <w:r>
        <w:rPr>
          <w:rFonts w:hint="eastAsia" w:asciiTheme="minorEastAsia" w:hAnsiTheme="minorEastAsia" w:eastAsiaTheme="minorEastAsia"/>
          <w:sz w:val="32"/>
          <w:szCs w:val="32"/>
          <w:lang w:val="en-US" w:eastAsia="zh-CN"/>
        </w:rPr>
        <w:t>0万元，支出决算为0.49万元，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中社会福利儿童福利支出年初预算为</w:t>
      </w:r>
      <w:r>
        <w:rPr>
          <w:rFonts w:hint="eastAsia" w:asciiTheme="minorEastAsia" w:hAnsiTheme="minorEastAsia" w:eastAsiaTheme="minorEastAsia"/>
          <w:sz w:val="32"/>
          <w:szCs w:val="32"/>
          <w:lang w:val="en-US" w:eastAsia="zh-CN"/>
        </w:rPr>
        <w:t>0万元，支出决算为33.27万元，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孤儿人数增加并提标，年中追加资金；</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中社会福利殡葬支出年初预算为</w:t>
      </w:r>
      <w:r>
        <w:rPr>
          <w:rFonts w:hint="eastAsia" w:asciiTheme="minorEastAsia" w:hAnsiTheme="minorEastAsia" w:eastAsiaTheme="minorEastAsia"/>
          <w:sz w:val="32"/>
          <w:szCs w:val="32"/>
          <w:lang w:val="en-US" w:eastAsia="zh-CN"/>
        </w:rPr>
        <w:t>0万元，支出决算为14.88万元，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因这项支出未列入年初预算，年中追加资金；</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中社会福利之老年福利年初预算为</w:t>
      </w:r>
      <w:r>
        <w:rPr>
          <w:rFonts w:hint="eastAsia" w:asciiTheme="minorEastAsia" w:hAnsiTheme="minorEastAsia" w:eastAsiaTheme="minorEastAsia"/>
          <w:sz w:val="32"/>
          <w:szCs w:val="32"/>
          <w:lang w:val="en-US" w:eastAsia="zh-CN"/>
        </w:rPr>
        <w:t>13万元，支出决算为79.2万元，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预算难以估计全年支出，所需资金年中追加；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中社会福利之其他社会福利支出年初预算为</w:t>
      </w:r>
      <w:r>
        <w:rPr>
          <w:rFonts w:hint="eastAsia" w:asciiTheme="minorEastAsia" w:hAnsiTheme="minorEastAsia" w:eastAsiaTheme="minorEastAsia"/>
          <w:sz w:val="32"/>
          <w:szCs w:val="32"/>
          <w:lang w:val="en-US" w:eastAsia="zh-CN"/>
        </w:rPr>
        <w:t>0万元，支出决算为31.13万元，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预算难以估计全年支出，所需资金年中追加；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中残疾人事业之其他残疾人事业支出年初预算为</w:t>
      </w:r>
      <w:r>
        <w:rPr>
          <w:rFonts w:hint="eastAsia" w:asciiTheme="minorEastAsia" w:hAnsiTheme="minorEastAsia" w:eastAsiaTheme="minorEastAsia"/>
          <w:sz w:val="32"/>
          <w:szCs w:val="32"/>
          <w:lang w:val="en-US" w:eastAsia="zh-CN"/>
        </w:rPr>
        <w:t>29.7万元，支出决算为58.72万元，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残疾补助对象增加，多出部分资金为年中追加；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中最低生活保障之城市最低生活保障支出年初预算为</w:t>
      </w:r>
      <w:r>
        <w:rPr>
          <w:rFonts w:hint="eastAsia" w:asciiTheme="minorEastAsia" w:hAnsiTheme="minorEastAsia" w:eastAsiaTheme="minorEastAsia"/>
          <w:sz w:val="32"/>
          <w:szCs w:val="32"/>
          <w:lang w:val="en-US" w:eastAsia="zh-CN"/>
        </w:rPr>
        <w:t>0万元，支出决算为1919.76万元，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年初预算难以估计，因此年中逐步增加；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中最低生活保障之农村最低生活保障支出年初预算为</w:t>
      </w:r>
      <w:r>
        <w:rPr>
          <w:rFonts w:hint="eastAsia" w:asciiTheme="minorEastAsia" w:hAnsiTheme="minorEastAsia" w:eastAsiaTheme="minorEastAsia"/>
          <w:sz w:val="32"/>
          <w:szCs w:val="32"/>
          <w:lang w:val="en-US" w:eastAsia="zh-CN"/>
        </w:rPr>
        <w:t>0万元，支出决算为534万元，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年初预算难以估计，因此年中逐步增加；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中临时救助年初预算为</w:t>
      </w:r>
      <w:r>
        <w:rPr>
          <w:rFonts w:hint="eastAsia" w:asciiTheme="minorEastAsia" w:hAnsiTheme="minorEastAsia" w:eastAsiaTheme="minorEastAsia"/>
          <w:sz w:val="32"/>
          <w:szCs w:val="32"/>
          <w:lang w:val="en-US" w:eastAsia="zh-CN"/>
        </w:rPr>
        <w:t>0万元，支出决算为153.99万元，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年初预算难以估计全年支出，因此年中按需要逐步增加；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中临时救助之流浪乞讨人员救助支出年初预算为</w:t>
      </w:r>
      <w:r>
        <w:rPr>
          <w:rFonts w:hint="eastAsia" w:asciiTheme="minorEastAsia" w:hAnsiTheme="minorEastAsia" w:eastAsiaTheme="minorEastAsia"/>
          <w:sz w:val="32"/>
          <w:szCs w:val="32"/>
          <w:lang w:val="en-US" w:eastAsia="zh-CN"/>
        </w:rPr>
        <w:t>0万元，支出决算为5.08万元，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流浪乞讨人员难以估算，年中按人数追加资金；</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中特困人员救助供养农村特困人员救助供养支出年初预算为</w:t>
      </w:r>
      <w:r>
        <w:rPr>
          <w:rFonts w:hint="eastAsia" w:asciiTheme="minorEastAsia" w:hAnsiTheme="minorEastAsia" w:eastAsiaTheme="minorEastAsia"/>
          <w:sz w:val="32"/>
          <w:szCs w:val="32"/>
          <w:lang w:val="en-US" w:eastAsia="zh-CN"/>
        </w:rPr>
        <w:t>0万元，支出决算为44.41万元，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中其他社会保障和就业支出年初预算为</w:t>
      </w:r>
      <w:r>
        <w:rPr>
          <w:rFonts w:hint="eastAsia" w:asciiTheme="minorEastAsia" w:hAnsiTheme="minorEastAsia" w:eastAsiaTheme="minorEastAsia"/>
          <w:sz w:val="32"/>
          <w:szCs w:val="32"/>
          <w:lang w:val="en-US" w:eastAsia="zh-CN"/>
        </w:rPr>
        <w:t>0万元，支出决算为4.29万元，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因这项支出未列入年初预算，年中追加项目；</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中行政事业单位医疗年初预算为</w:t>
      </w:r>
      <w:r>
        <w:rPr>
          <w:rFonts w:hint="eastAsia" w:asciiTheme="minorEastAsia" w:hAnsiTheme="minorEastAsia" w:eastAsiaTheme="minorEastAsia"/>
          <w:sz w:val="32"/>
          <w:szCs w:val="32"/>
          <w:lang w:val="en-US" w:eastAsia="zh-CN"/>
        </w:rPr>
        <w:t>10.29万元，支出决算为20.14万元，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上年年末支出列支在本年年初中；</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中行政事业单位医疗年初预算为</w:t>
      </w:r>
      <w:r>
        <w:rPr>
          <w:rFonts w:hint="eastAsia" w:asciiTheme="minorEastAsia" w:hAnsiTheme="minorEastAsia" w:eastAsiaTheme="minorEastAsia"/>
          <w:sz w:val="32"/>
          <w:szCs w:val="32"/>
          <w:lang w:val="en-US" w:eastAsia="zh-CN"/>
        </w:rPr>
        <w:t>10.29万元，支出决算为20.14万元，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上年年末支出列支在本年年初中；</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中行政事业单位医疗公务员医疗补助年初预算为</w:t>
      </w:r>
      <w:r>
        <w:rPr>
          <w:rFonts w:hint="eastAsia" w:asciiTheme="minorEastAsia" w:hAnsiTheme="minorEastAsia" w:eastAsiaTheme="minorEastAsia"/>
          <w:sz w:val="32"/>
          <w:szCs w:val="32"/>
          <w:lang w:val="en-US" w:eastAsia="zh-CN"/>
        </w:rPr>
        <w:t>4万元，支出决算为1.22万元，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w:t>
      </w:r>
      <w:r>
        <w:rPr>
          <w:rFonts w:hint="eastAsia" w:asciiTheme="minorEastAsia" w:hAnsiTheme="minorEastAsia" w:eastAsiaTheme="minorEastAsia"/>
          <w:sz w:val="32"/>
          <w:szCs w:val="32"/>
          <w:lang w:eastAsia="zh-CN"/>
        </w:rPr>
        <w:t>：将医疗救助支出安排在预算资金内；</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中医疗救助之城乡医疗救助年初预算为</w:t>
      </w:r>
      <w:r>
        <w:rPr>
          <w:rFonts w:hint="eastAsia" w:asciiTheme="minorEastAsia" w:hAnsiTheme="minorEastAsia" w:eastAsiaTheme="minorEastAsia"/>
          <w:sz w:val="32"/>
          <w:szCs w:val="32"/>
          <w:lang w:val="en-US" w:eastAsia="zh-CN"/>
        </w:rPr>
        <w:t>0万元，支出决算为3.95万元，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已在公务员医疗预算资金中安排；</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中医疗救助之其他医疗救助支出年初预算为</w:t>
      </w:r>
      <w:r>
        <w:rPr>
          <w:rFonts w:hint="eastAsia" w:asciiTheme="minorEastAsia" w:hAnsiTheme="minorEastAsia" w:eastAsiaTheme="minorEastAsia"/>
          <w:sz w:val="32"/>
          <w:szCs w:val="32"/>
          <w:lang w:val="en-US" w:eastAsia="zh-CN"/>
        </w:rPr>
        <w:t>0万元，支出决算为1.91万元，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预算时没有安排资金，年中根据需要追加；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中优抚对象医疗之优抚对象医疗补助年初预算为</w:t>
      </w:r>
      <w:r>
        <w:rPr>
          <w:rFonts w:hint="eastAsia" w:asciiTheme="minorEastAsia" w:hAnsiTheme="minorEastAsia" w:eastAsiaTheme="minorEastAsia"/>
          <w:sz w:val="32"/>
          <w:szCs w:val="32"/>
          <w:lang w:val="en-US" w:eastAsia="zh-CN"/>
        </w:rPr>
        <w:t>0万元，支出决算为0.75万元，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预算时没有安排资金，年中根据需要追加；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中医疗救助之其他优抚对象医疗补助支出年初预算为</w:t>
      </w:r>
      <w:r>
        <w:rPr>
          <w:rFonts w:hint="eastAsia" w:asciiTheme="minorEastAsia" w:hAnsiTheme="minorEastAsia" w:eastAsiaTheme="minorEastAsia"/>
          <w:sz w:val="32"/>
          <w:szCs w:val="32"/>
          <w:lang w:val="en-US" w:eastAsia="zh-CN"/>
        </w:rPr>
        <w:t>0万元，支出决算为1.07万元，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预算时没有安排资金，年中根据需要追加；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农林水</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中扶贫之其他扶贫支出年初预算为</w:t>
      </w:r>
      <w:r>
        <w:rPr>
          <w:rFonts w:hint="eastAsia" w:asciiTheme="minorEastAsia" w:hAnsiTheme="minorEastAsia" w:eastAsiaTheme="minorEastAsia"/>
          <w:sz w:val="32"/>
          <w:szCs w:val="32"/>
          <w:lang w:val="en-US" w:eastAsia="zh-CN"/>
        </w:rPr>
        <w:t>0万元，支出决算为10.5万元，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预算时没有安排资金，年中根据需要追加；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住房保障支出中住房改革支出之住房公积金支出年初预算为</w:t>
      </w:r>
      <w:r>
        <w:rPr>
          <w:rFonts w:hint="eastAsia" w:asciiTheme="minorEastAsia" w:hAnsiTheme="minorEastAsia" w:eastAsiaTheme="minorEastAsia"/>
          <w:sz w:val="32"/>
          <w:szCs w:val="32"/>
          <w:lang w:val="en-US" w:eastAsia="zh-CN"/>
        </w:rPr>
        <w:t>15.43万元，支出决算为22.09万元，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预算拨款没有全部到位，</w:t>
      </w:r>
      <w:r>
        <w:rPr>
          <w:rFonts w:hint="eastAsia" w:asciiTheme="minorEastAsia" w:hAnsiTheme="minorEastAsia" w:eastAsiaTheme="minorEastAsia"/>
          <w:sz w:val="32"/>
          <w:szCs w:val="32"/>
          <w:lang w:val="en-US" w:eastAsia="zh-CN"/>
        </w:rPr>
        <w:t>2020年增补到位</w:t>
      </w:r>
      <w:r>
        <w:rPr>
          <w:rFonts w:hint="eastAsia" w:asciiTheme="minorEastAsia" w:hAnsiTheme="minorEastAsia" w:eastAsiaTheme="minorEastAsia"/>
          <w:sz w:val="32"/>
          <w:szCs w:val="32"/>
          <w:lang w:eastAsia="zh-CN"/>
        </w:rPr>
        <w:t>；</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灾害防治及应急管理支出中自然灾害救灾及恢复重建支出之中央自然灾害生活补助年初预算为</w:t>
      </w:r>
      <w:r>
        <w:rPr>
          <w:rFonts w:hint="eastAsia" w:asciiTheme="minorEastAsia" w:hAnsiTheme="minorEastAsia" w:eastAsiaTheme="minorEastAsia"/>
          <w:sz w:val="32"/>
          <w:szCs w:val="32"/>
          <w:lang w:val="en-US" w:eastAsia="zh-CN"/>
        </w:rPr>
        <w:t>0万元，支出决算为16万元，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预算时没有安排资金，年中根据需要追加；</w:t>
      </w:r>
    </w:p>
    <w:p>
      <w:pPr>
        <w:pStyle w:val="11"/>
        <w:numPr>
          <w:ilvl w:val="0"/>
          <w:numId w:val="2"/>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灾害防治及应急管理支出中自然灾害救灾及恢复重建支出之地方自然灾害生活补助年初预算为</w:t>
      </w:r>
      <w:r>
        <w:rPr>
          <w:rFonts w:hint="eastAsia" w:asciiTheme="minorEastAsia" w:hAnsiTheme="minorEastAsia" w:eastAsiaTheme="minorEastAsia"/>
          <w:sz w:val="32"/>
          <w:szCs w:val="32"/>
          <w:lang w:val="en-US" w:eastAsia="zh-CN"/>
        </w:rPr>
        <w:t>0万元，支出决算为1万元，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预算时没有安排资金，年中根据需要追加。</w:t>
      </w:r>
    </w:p>
    <w:p>
      <w:pPr>
        <w:pStyle w:val="11"/>
        <w:ind w:firstLine="960" w:firstLineChars="300"/>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3948.92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410.98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绩效工资、基本养老保险和职业年金公务员医疗和其他社会保障住房公积金缴费、其他工资福利支出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288.18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0.73</w:t>
      </w:r>
      <w:r>
        <w:rPr>
          <w:rFonts w:hint="eastAsia" w:asciiTheme="minorEastAsia" w:hAnsiTheme="minorEastAsia" w:eastAsiaTheme="minorEastAsia"/>
          <w:sz w:val="32"/>
          <w:szCs w:val="32"/>
        </w:rPr>
        <w:t>%，主要包括办公费、印刷费、手续费</w:t>
      </w:r>
      <w:r>
        <w:rPr>
          <w:rFonts w:hint="eastAsia" w:asciiTheme="minorEastAsia" w:hAnsiTheme="minorEastAsia" w:eastAsiaTheme="minorEastAsia"/>
          <w:sz w:val="32"/>
          <w:szCs w:val="32"/>
          <w:lang w:eastAsia="zh-CN"/>
        </w:rPr>
        <w:t>、水电费、邮电费、差旅费、维修费、租赁费、会议费、培训费、公务接待费、专用材料费、工会经费、其他商品服务支出；对个人和家庭补助支出</w:t>
      </w:r>
      <w:r>
        <w:rPr>
          <w:rFonts w:hint="eastAsia" w:asciiTheme="minorEastAsia" w:hAnsiTheme="minorEastAsia" w:eastAsiaTheme="minorEastAsia"/>
          <w:sz w:val="32"/>
          <w:szCs w:val="32"/>
          <w:lang w:val="en-US" w:eastAsia="zh-CN"/>
        </w:rPr>
        <w:t>3249.5万元，占基本支出的89.3%，主要包括抚恤金、生活救助、救济费、医疗费、奖励金和其他对个人和家庭的补助</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基本持平</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11"/>
        <w:ind w:firstLine="640" w:firstLineChars="200"/>
        <w:rPr>
          <w:rFonts w:hint="eastAsia" w:asciiTheme="minorEastAsia" w:hAnsiTheme="minorEastAsia" w:eastAsiaTheme="minorEastAsia"/>
          <w:sz w:val="32"/>
          <w:szCs w:val="32"/>
          <w:lang w:val="en-US" w:eastAsia="zh-CN"/>
        </w:rPr>
      </w:pPr>
      <w:bookmarkStart w:id="0" w:name="_GoBack"/>
      <w:bookmarkEnd w:id="0"/>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万元，全年共接待来访</w:t>
      </w:r>
      <w:r>
        <w:rPr>
          <w:rFonts w:hint="eastAsia" w:asciiTheme="minorEastAsia" w:hAnsiTheme="minorEastAsia" w:eastAsiaTheme="minorEastAsia"/>
          <w:sz w:val="32"/>
          <w:szCs w:val="32"/>
          <w:lang w:eastAsia="zh-CN"/>
        </w:rPr>
        <w:t>人员</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lang w:eastAsia="zh-CN"/>
        </w:rPr>
        <w:t>次</w:t>
      </w:r>
      <w:r>
        <w:rPr>
          <w:rFonts w:hint="eastAsia" w:asciiTheme="minorEastAsia" w:hAnsiTheme="minorEastAsia" w:eastAsiaTheme="minorEastAsia"/>
          <w:sz w:val="32"/>
          <w:szCs w:val="32"/>
        </w:rPr>
        <w:t>、来宾</w:t>
      </w:r>
      <w:r>
        <w:rPr>
          <w:rFonts w:hint="eastAsia" w:asciiTheme="minorEastAsia" w:hAnsiTheme="minorEastAsia" w:eastAsiaTheme="minorEastAsia"/>
          <w:sz w:val="32"/>
          <w:szCs w:val="32"/>
          <w:lang w:val="en-US" w:eastAsia="zh-CN"/>
        </w:rPr>
        <w:t>441</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工作交流及志愿服务活动、加班工作餐</w:t>
      </w:r>
      <w:r>
        <w:rPr>
          <w:rFonts w:hint="eastAsia" w:asciiTheme="minorEastAsia" w:hAnsiTheme="minorEastAsia" w:eastAsiaTheme="minorEastAsia"/>
          <w:sz w:val="32"/>
          <w:szCs w:val="32"/>
        </w:rPr>
        <w:t>发生的接待支出。</w:t>
      </w:r>
    </w:p>
    <w:p>
      <w:pPr>
        <w:ind w:firstLine="800" w:firstLineChars="250"/>
        <w:rPr>
          <w:rFonts w:hint="default" w:cs="黑体" w:asciiTheme="minorEastAsia" w:hAnsiTheme="minorEastAsia" w:eastAsiaTheme="minorEastAsia"/>
          <w:color w:val="000000"/>
          <w:kern w:val="0"/>
          <w:sz w:val="32"/>
          <w:szCs w:val="32"/>
          <w:lang w:val="en-US"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万元，截止2019年12月31日，我单位开支财政拨款的公务用车保有量为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2019年度政府性基金预算财政拨款收入</w:t>
      </w:r>
      <w:r>
        <w:rPr>
          <w:rFonts w:hint="eastAsia" w:asciiTheme="minorEastAsia" w:hAnsiTheme="minorEastAsia" w:eastAsiaTheme="minorEastAsia"/>
          <w:sz w:val="32"/>
          <w:szCs w:val="32"/>
          <w:lang w:val="en-US" w:eastAsia="zh-CN"/>
        </w:rPr>
        <w:t>336.69</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42.02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42.02</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319.67</w:t>
      </w:r>
      <w:r>
        <w:rPr>
          <w:rFonts w:hint="eastAsia" w:asciiTheme="minorEastAsia" w:hAnsiTheme="minorEastAsia" w:eastAsiaTheme="minorEastAsia"/>
          <w:sz w:val="32"/>
          <w:szCs w:val="32"/>
        </w:rPr>
        <w:t>万元。</w:t>
      </w:r>
    </w:p>
    <w:p>
      <w:pPr>
        <w:pStyle w:val="11"/>
        <w:rPr>
          <w:rFonts w:hAnsi="黑体"/>
          <w:b/>
          <w:sz w:val="32"/>
          <w:szCs w:val="32"/>
        </w:rPr>
      </w:pPr>
      <w:r>
        <w:rPr>
          <w:rFonts w:hint="eastAsia" w:hAnsi="黑体"/>
          <w:b/>
          <w:sz w:val="32"/>
          <w:szCs w:val="32"/>
        </w:rPr>
        <w:t>九、关于2019年度预算绩效情况说明</w:t>
      </w:r>
    </w:p>
    <w:p>
      <w:pPr>
        <w:pStyle w:val="11"/>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本部门预算绩效管理开展情况、绩效目标和绩效评价报告等</w:t>
      </w:r>
      <w:r>
        <w:rPr>
          <w:rFonts w:hint="eastAsia" w:asciiTheme="minorEastAsia" w:hAnsiTheme="minorEastAsia" w:eastAsiaTheme="minorEastAsia"/>
          <w:sz w:val="32"/>
          <w:szCs w:val="32"/>
          <w:lang w:eastAsia="zh-CN"/>
        </w:rPr>
        <w:t>已公开。</w:t>
      </w:r>
    </w:p>
    <w:p>
      <w:pPr>
        <w:pStyle w:val="11"/>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288.44</w:t>
      </w:r>
      <w:r>
        <w:rPr>
          <w:rFonts w:hint="eastAsia" w:cs="黑体" w:asciiTheme="minorEastAsia" w:hAnsiTheme="minorEastAsia"/>
          <w:color w:val="000000"/>
          <w:kern w:val="0"/>
          <w:sz w:val="32"/>
          <w:szCs w:val="32"/>
        </w:rPr>
        <w:t>万元，比年初预算数增加</w:t>
      </w:r>
      <w:r>
        <w:rPr>
          <w:rFonts w:hint="eastAsia" w:cs="黑体" w:asciiTheme="minorEastAsia" w:hAnsiTheme="minorEastAsia"/>
          <w:color w:val="000000"/>
          <w:kern w:val="0"/>
          <w:sz w:val="32"/>
          <w:szCs w:val="32"/>
          <w:lang w:val="en-US" w:eastAsia="zh-CN"/>
        </w:rPr>
        <w:t>251.25</w:t>
      </w:r>
      <w:r>
        <w:rPr>
          <w:rFonts w:hint="eastAsia" w:cs="黑体" w:asciiTheme="minorEastAsia" w:hAnsiTheme="minorEastAsia"/>
          <w:color w:val="000000"/>
          <w:kern w:val="0"/>
          <w:sz w:val="32"/>
          <w:szCs w:val="32"/>
        </w:rPr>
        <w:t>万元。主要原因是：</w:t>
      </w:r>
      <w:r>
        <w:rPr>
          <w:rFonts w:hint="eastAsia" w:cs="黑体" w:asciiTheme="minorEastAsia" w:hAnsiTheme="minorEastAsia"/>
          <w:color w:val="000000"/>
          <w:kern w:val="0"/>
          <w:sz w:val="32"/>
          <w:szCs w:val="32"/>
          <w:lang w:eastAsia="zh-CN"/>
        </w:rPr>
        <w:t>临时需要支出的项目因无法估计支出所以在做预算时没有安排预算资金。</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2019年本部门开支会议费</w:t>
      </w:r>
      <w:r>
        <w:rPr>
          <w:rFonts w:hint="eastAsia" w:cs="黑体" w:asciiTheme="minorEastAsia" w:hAnsiTheme="minorEastAsia"/>
          <w:color w:val="000000"/>
          <w:kern w:val="0"/>
          <w:sz w:val="32"/>
          <w:szCs w:val="32"/>
          <w:lang w:val="en-US" w:eastAsia="zh-CN"/>
        </w:rPr>
        <w:t>0.37</w:t>
      </w:r>
      <w:r>
        <w:rPr>
          <w:rFonts w:hint="eastAsia" w:cs="黑体" w:asciiTheme="minorEastAsia" w:hAnsiTheme="minorEastAsia"/>
          <w:color w:val="000000"/>
          <w:kern w:val="0"/>
          <w:sz w:val="32"/>
          <w:szCs w:val="32"/>
        </w:rPr>
        <w:t>万元，用于召开</w:t>
      </w:r>
      <w:r>
        <w:rPr>
          <w:rFonts w:hint="eastAsia" w:cs="黑体" w:asciiTheme="minorEastAsia" w:hAnsiTheme="minorEastAsia"/>
          <w:color w:val="000000"/>
          <w:kern w:val="0"/>
          <w:sz w:val="32"/>
          <w:szCs w:val="32"/>
          <w:lang w:eastAsia="zh-CN"/>
        </w:rPr>
        <w:t>业务工作</w:t>
      </w:r>
      <w:r>
        <w:rPr>
          <w:rFonts w:hint="eastAsia" w:cs="黑体" w:asciiTheme="minorEastAsia" w:hAnsiTheme="minorEastAsia"/>
          <w:color w:val="000000"/>
          <w:kern w:val="0"/>
          <w:sz w:val="32"/>
          <w:szCs w:val="32"/>
        </w:rPr>
        <w:t>会议，人数</w:t>
      </w:r>
      <w:r>
        <w:rPr>
          <w:rFonts w:hint="eastAsia" w:cs="黑体" w:asciiTheme="minorEastAsia" w:hAnsiTheme="minorEastAsia"/>
          <w:color w:val="000000"/>
          <w:kern w:val="0"/>
          <w:sz w:val="32"/>
          <w:szCs w:val="32"/>
          <w:lang w:val="en-US" w:eastAsia="zh-CN"/>
        </w:rPr>
        <w:t>20</w:t>
      </w:r>
      <w:r>
        <w:rPr>
          <w:rFonts w:hint="eastAsia" w:cs="黑体" w:asciiTheme="minorEastAsia" w:hAnsiTheme="minorEastAsia"/>
          <w:color w:val="000000"/>
          <w:kern w:val="0"/>
          <w:sz w:val="32"/>
          <w:szCs w:val="32"/>
        </w:rPr>
        <w:t>人，内容为</w:t>
      </w:r>
      <w:r>
        <w:rPr>
          <w:rFonts w:hint="eastAsia" w:cs="黑体" w:asciiTheme="minorEastAsia" w:hAnsiTheme="minorEastAsia"/>
          <w:color w:val="000000"/>
          <w:kern w:val="0"/>
          <w:sz w:val="32"/>
          <w:szCs w:val="32"/>
          <w:lang w:eastAsia="zh-CN"/>
        </w:rPr>
        <w:t>组织乡、办等人员参加业务指导工作</w:t>
      </w:r>
      <w:r>
        <w:rPr>
          <w:rFonts w:hint="eastAsia" w:cs="黑体" w:asciiTheme="minorEastAsia" w:hAnsiTheme="minorEastAsia"/>
          <w:color w:val="000000"/>
          <w:kern w:val="0"/>
          <w:sz w:val="32"/>
          <w:szCs w:val="32"/>
        </w:rPr>
        <w:t>；开支培训费</w:t>
      </w:r>
      <w:r>
        <w:rPr>
          <w:rFonts w:hint="eastAsia" w:cs="黑体" w:asciiTheme="minorEastAsia" w:hAnsiTheme="minorEastAsia"/>
          <w:color w:val="000000"/>
          <w:kern w:val="0"/>
          <w:sz w:val="32"/>
          <w:szCs w:val="32"/>
          <w:lang w:val="en-US" w:eastAsia="zh-CN"/>
        </w:rPr>
        <w:t>0.27</w:t>
      </w:r>
      <w:r>
        <w:rPr>
          <w:rFonts w:hint="eastAsia" w:cs="黑体" w:asciiTheme="minorEastAsia" w:hAnsiTheme="minorEastAsia"/>
          <w:color w:val="000000"/>
          <w:kern w:val="0"/>
          <w:sz w:val="32"/>
          <w:szCs w:val="32"/>
        </w:rPr>
        <w:t>万元，用于开展</w:t>
      </w:r>
      <w:r>
        <w:rPr>
          <w:rFonts w:hint="eastAsia" w:cs="黑体" w:asciiTheme="minorEastAsia" w:hAnsiTheme="minorEastAsia"/>
          <w:color w:val="000000"/>
          <w:kern w:val="0"/>
          <w:sz w:val="32"/>
          <w:szCs w:val="32"/>
          <w:lang w:eastAsia="zh-CN"/>
        </w:rPr>
        <w:t>就业等</w:t>
      </w:r>
      <w:r>
        <w:rPr>
          <w:rFonts w:hint="eastAsia" w:cs="黑体" w:asciiTheme="minorEastAsia" w:hAnsiTheme="minorEastAsia"/>
          <w:color w:val="000000"/>
          <w:kern w:val="0"/>
          <w:sz w:val="32"/>
          <w:szCs w:val="32"/>
        </w:rPr>
        <w:t>培训，人数</w:t>
      </w:r>
      <w:r>
        <w:rPr>
          <w:rFonts w:hint="eastAsia" w:cs="黑体" w:asciiTheme="minorEastAsia" w:hAnsiTheme="minorEastAsia"/>
          <w:color w:val="000000"/>
          <w:kern w:val="0"/>
          <w:sz w:val="32"/>
          <w:szCs w:val="32"/>
          <w:lang w:val="en-US" w:eastAsia="zh-CN"/>
        </w:rPr>
        <w:t>25</w:t>
      </w:r>
      <w:r>
        <w:rPr>
          <w:rFonts w:hint="eastAsia" w:cs="黑体" w:asciiTheme="minorEastAsia" w:hAnsiTheme="minorEastAsia"/>
          <w:color w:val="000000"/>
          <w:kern w:val="0"/>
          <w:sz w:val="32"/>
          <w:szCs w:val="32"/>
        </w:rPr>
        <w:t>人，内容为</w:t>
      </w:r>
      <w:r>
        <w:rPr>
          <w:rFonts w:hint="eastAsia" w:cs="黑体" w:asciiTheme="minorEastAsia" w:hAnsiTheme="minorEastAsia"/>
          <w:color w:val="000000"/>
          <w:kern w:val="0"/>
          <w:sz w:val="32"/>
          <w:szCs w:val="32"/>
          <w:lang w:eastAsia="zh-CN"/>
        </w:rPr>
        <w:t>残疾人就业培训。</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万元，其中：授予小微企业合同金额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辆；单位价值50万元以上通用设备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台（套）；单位价值100万元以上专用设备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autoSpaceDN w:val="0"/>
        <w:spacing w:beforeAutospacing="1" w:afterAutospacing="1"/>
        <w:rPr>
          <w:rFonts w:hint="eastAsia" w:ascii="仿宋" w:hAnsi="仿宋" w:eastAsia="仿宋" w:cs="仿宋"/>
          <w:sz w:val="28"/>
          <w:szCs w:val="28"/>
        </w:rPr>
      </w:pPr>
      <w:r>
        <w:rPr>
          <w:rFonts w:ascii="黑体" w:eastAsia="黑体" w:cs="黑体"/>
          <w:color w:val="000000"/>
          <w:kern w:val="0"/>
          <w:sz w:val="70"/>
          <w:szCs w:val="70"/>
        </w:rPr>
        <w:br w:type="page"/>
      </w:r>
      <w:r>
        <w:rPr>
          <w:rFonts w:hint="eastAsia" w:ascii="仿宋" w:hAnsi="仿宋" w:eastAsia="仿宋" w:cs="仿宋"/>
          <w:sz w:val="28"/>
          <w:szCs w:val="28"/>
        </w:rPr>
        <w:t>财政拨款收入：指本级财政当年拨付的资金。</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其他收入：指除上述“财政拨款收入”、“上级补助收入”、“事业收入”、“经营收入”、“附属单位上缴收入”等以外的收入。</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上年结转和结余：指以前年度尚未完成、结转到本年按有关规定继续使用的资金。</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年末结转和结余资金：指本年度或以前年度预算安排、因客观条件发生变化无法按原计划实施，需要延迟到以后年度按有关规定继续使用的资金。</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一般公共服务支出（类）：是指用于人大、政协、政府办公厅（室）及相关机构事务、发展与改革事务、统计信息事务、财政事务、税收事务、审计事务、人 力资源事务、纪检监察事务、商贸事务、工商行政管理事务、质量技术监督与检验检疫事务、民族事务、档案事务、民主党派及工商联事务、群众团体事务、党委办 公厅（室）及相关机构事务、组织事务、宣传事务、统战事务、其他一般公共服务等方面的支出，包括保障机构正常运转、完成日常和特定的工作任务或事业发展目 标的支出。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医疗卫生与计划生育支出（类）：是指用于医疗卫生与计划生育方面的支出，包括保障机构正常运转、完成日常和特定的工作任务或事业发展目标的支出。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城乡社区支出（类）：是指用于城乡社区事务支出，包括保障机构正常运转、完成日常和特定的工作任务或事业发展目标的支出。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资源勘探信息等支出（类）：是指用于资源勘探、制造业、建筑业、工业信息等方面支出，包括保障机构正常运转、完成日常和特定的工作任务或事业发展目标的支出。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国土海洋气象等支出（类）：是指用于国土资源、海洋、测绘、地震、气象等公益服务事业方面的支出，包括保障机构正常运转、完成日常和特定的工作任务或事业发展目标的支出。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住房保障支出（类）：是指用于住房方面的支出，包括保障机构正常运转、完成日常和特定的工作任务或事业发展目标的支出。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基本支出：指保障机构正常运转、完成支日常工作任务而发生的人员支出和公用支出。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项目支出：指在基本支出之外为完成特定行政任务和事业发展目标所发生的支出。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“三公”经费：指用财政拨款安排的因公出国（境）费、公务用车购置及运行费和公务接待费。其中，因公出国（境）费反映出国（境）的住宿费、旅费、伙 食补助费、杂费、培训费等支出；公务用车购置及运行费反映单位公务用车购置费及租用费、燃料费、维修费、过路过桥费、保险费、安全奖励费用等支出；公务接 待费反映单位按规定开支的各类公务接待（含外宾接待）支出。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工资福利支出：反映单位开支的在职职工和编制外长期聘用人员的各类劳动报酬，以及为上述人员缴纳的各项社会保险费等。</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基本工资：反映按规定发放的基本工资，包括公务员的职务工资、级别工资；机关工人的岗位工资、技术等级工资；事业单位工作人员的岗位工资、薪级工 资；各类学校毕业生试用期(见习期)工资、新参加工作工人学徒期、熟练期工资；军队（武警）军官、文职干部的职务（专业技术等级）工资、军衔（级别）工 资、基础工资和军龄工资；军队士官的军衔等级工资、基础工资和军龄工资等。</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津贴补贴：反映经国家批准建立的机关事业单位艰苦边远地区津贴、机关工作人员地区附加津贴、机关工作人员岗位津贴、事业单位工作人员特殊岗位津贴补贴等。</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奖金：反映机关工作人员年终一次性奖金。</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伙食补助费：反映单位发给职工的伙食补助费，如误餐补助等。</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机关事业单位基本养老保险缴费：反映机关事业单位缴纳的基本养老保险费。由单位代扣的工作人员基本养老保险缴费，不在此科目反映。</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职业年金缴费：反映机关事业单位实际缴纳的职业年金支出。由单位代扣的工作人员职业年金缴费，不在此科目反映。</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职工基本医疗保险缴费：反映单位为职工缴纳的基本医疗保险费。</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其他社会保障缴费：反映单位为职工缴纳的基本医疗、失业、工伤、生育等社会保险费，残疾人就业保障金，军队（含武警）为军人缴纳的伤亡、退役医疗等社会保险费。</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住房公积金：反映行政事业单位按人力资源和社会保障部、财政部规定的基本工资和津贴补贴以及规定比例为职工缴纳的住房公积金。</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商品和服务支出：反映单位购买商品和服务的支出（不包括用于购置固定资产的支出、战略性和应急储备支出）。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办公费：反映单位购买按财务会计制度规定不符合固定资产确认标准的日常办公用品、书报杂志等支出。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印刷费：反映单位的印刷费支出。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水费：反映单位支付的水费、污水处理费等支出。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电费：反映单位的电费支出。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邮电费：反映单位开支的信函、包裹、货物等物品的邮寄费及电话费、电报费、传真费、网络通讯费等。</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物业管理费：反映单位开支的办公用房以及未实行职工住宅物业服务改革的在职职工和离退休人员宿舍等的物业管理费，包括综合治理、绿化、卫生等方面的支出。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差旅费：反映单位工作人员出差发生的城市间交通费、住宿费、伙食补贴费和市内交通费。</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维修(护)费：反映单位日常开支的固定资产（不包括车船等交通工具）修理和维护费用，网络信息系统运行与维护费用，以及按规定提取的修购基金。</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租赁费：反映租赁办公用房、宿舍、专用通讯网以及其他设备等方面的费用。</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会议费：反映会议中按规定开支的住宿费、伙食费、会议室租金、交通费、文件印刷费、医药费等。</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培训费：反映除因公出国（境）培训费以外的各类培训支出。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公务接待费：反映单位按规定开支的各类公务接待（含外宾接待）费用。</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专用燃料费：反映用作业务工作设备的车、船设施等的油料支出。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劳务费：反映支付给单位和个人的劳务费用，如临时聘用人员、钟点工工资，稿费、翻译费，评审费等。</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工会经费：反映单位按规定提取的工会经费。</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福利费：反映单位按规定提取的福利费。</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公务用车运行维护费：反映单位按规定保留的公务用车燃料费、维修费、过桥过路费、保险费、安全奖励费用等支出。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其他交通费用：反映单位除公务用车运行维护费以外的其他交通费用。如公务交通补贴，租车费用、出租车费用，飞机、船舶等的燃料费、维修费、保险费等。</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其他商品和服务支出：反映上述科目未包括的日常公用支出。如行政赔偿费和诉讼费、国内组织的会员费、来访费、广告宣传、其他劳务费及离休人员特需费、公用经费等。</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对个人和家庭的补助：反映政府用于对个人和家庭的补助支出。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退休费：反映行政事业单位和军队移交政府安置的退休人员的退休费和其他补贴。</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抚恤金：反映按规定开支的烈士遗属、牺牲病故人员遗属的一次性和定期抚恤金，伤残人员的抚恤金，离退休人员等其他人员的各项抚恤金。</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其他对个人和家庭的补助支出：反映未包括在上述科目的对个人和家庭的补助支出，如婴幼儿补贴、职工探亲旅费、退职人员及随行家属路费、符合条件的退 役回乡义务兵一次性建房补助、符合安置条件的城镇退役士兵自谋职业的一次性经济补助费、对农户的生产经营补贴、保障性住房租金补贴等。</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对企业补助：反映政府对各类企业的补助支出。切块由发展改革部门安排的基本建设支出中对企业补助支出不在此科目反映。</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费用补贴：反映对企业的费用性补贴。</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其他资本性支出：反映发展与改革部门以外的其他部门安排的用于购置固定资产、战略性和应急性储备、土地和无形资产，以及购建基础设施、大型修缮和财政支持企业更新改造所发生的支出。</w:t>
      </w:r>
    </w:p>
    <w:p>
      <w:pPr>
        <w:autoSpaceDN w:val="0"/>
        <w:spacing w:beforeAutospacing="1" w:afterAutospacing="1"/>
        <w:rPr>
          <w:rFonts w:hint="eastAsia" w:ascii="仿宋" w:hAnsi="仿宋" w:eastAsia="仿宋" w:cs="仿宋"/>
          <w:sz w:val="28"/>
          <w:szCs w:val="28"/>
        </w:rPr>
      </w:pPr>
      <w:r>
        <w:rPr>
          <w:rFonts w:hint="eastAsia" w:ascii="仿宋" w:hAnsi="仿宋" w:eastAsia="仿宋" w:cs="仿宋"/>
          <w:sz w:val="28"/>
          <w:szCs w:val="28"/>
        </w:rPr>
        <w:t>办公设备购置：反映用于购置并按财务会计制度规定纳入固定资产核算范围的办公家具和办公设备的支出，以及按规定提取的修购基金。</w:t>
      </w:r>
    </w:p>
    <w:p/>
    <w:p>
      <w:pPr>
        <w:widowControl/>
        <w:jc w:val="left"/>
        <w:rPr>
          <w:rFonts w:ascii="黑体" w:eastAsia="黑体" w:cs="黑体"/>
          <w:color w:val="000000"/>
          <w:kern w:val="0"/>
          <w:sz w:val="70"/>
          <w:szCs w:val="70"/>
        </w:rPr>
      </w:pPr>
    </w:p>
    <w:p>
      <w:pPr>
        <w:ind w:firstLine="640" w:firstLineChars="200"/>
        <w:jc w:val="left"/>
        <w:rPr>
          <w:rFonts w:cs="黑体" w:asciiTheme="minorEastAsia" w:hAnsiTheme="minorEastAsia"/>
          <w:color w:val="000000"/>
          <w:kern w:val="0"/>
          <w:sz w:val="32"/>
          <w:szCs w:val="32"/>
        </w:rPr>
      </w:pPr>
    </w:p>
    <w:p>
      <w:pPr>
        <w:pStyle w:val="11"/>
        <w:jc w:val="center"/>
        <w:rPr>
          <w:rFonts w:hint="default" w:eastAsia="黑体"/>
          <w:sz w:val="72"/>
          <w:szCs w:val="72"/>
          <w:lang w:val="en-US" w:eastAsia="zh-CN"/>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keepNext w:val="0"/>
        <w:keepLines w:val="0"/>
        <w:pageBreakBefore w:val="0"/>
        <w:widowControl/>
        <w:suppressLineNumbers w:val="0"/>
        <w:kinsoku/>
        <w:overflowPunct/>
        <w:topLinePunct w:val="0"/>
        <w:autoSpaceDE/>
        <w:autoSpaceDN/>
        <w:bidi w:val="0"/>
        <w:adjustRightInd/>
        <w:spacing w:beforeAutospacing="0" w:afterAutospacing="0" w:line="600" w:lineRule="exact"/>
        <w:jc w:val="left"/>
        <w:textAlignment w:val="auto"/>
        <w:rPr>
          <w:color w:val="auto"/>
        </w:rPr>
      </w:pP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left="0" w:right="0" w:firstLine="640" w:firstLineChars="200"/>
        <w:jc w:val="both"/>
        <w:textAlignment w:val="auto"/>
        <w:rPr>
          <w:rFonts w:hint="eastAsia" w:ascii="黑体" w:hAnsi="黑体" w:eastAsia="黑体" w:cs="黑体"/>
          <w:b w:val="0"/>
          <w:bCs/>
          <w:color w:val="auto"/>
          <w:kern w:val="0"/>
          <w:sz w:val="32"/>
          <w:szCs w:val="32"/>
          <w:shd w:val="clear" w:fill="FFFFFF"/>
          <w:lang w:val="en-US" w:eastAsia="zh-CN" w:bidi="ar"/>
        </w:rPr>
      </w:pPr>
      <w:r>
        <w:rPr>
          <w:rFonts w:hint="eastAsia" w:ascii="黑体" w:hAnsi="黑体" w:eastAsia="黑体" w:cs="黑体"/>
          <w:b w:val="0"/>
          <w:bCs/>
          <w:color w:val="auto"/>
          <w:kern w:val="0"/>
          <w:sz w:val="32"/>
          <w:szCs w:val="32"/>
          <w:shd w:val="clear" w:fill="FFFFFF"/>
          <w:lang w:val="en-US" w:eastAsia="zh-CN" w:bidi="ar"/>
        </w:rPr>
        <w:t>一、部门基本情况</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left="0" w:right="0" w:firstLine="640"/>
        <w:jc w:val="left"/>
        <w:textAlignment w:val="auto"/>
        <w:rPr>
          <w:rFonts w:hint="eastAsia" w:ascii="楷体" w:hAnsi="楷体" w:eastAsia="楷体" w:cs="楷体"/>
          <w:b/>
          <w:bCs w:val="0"/>
          <w:color w:val="auto"/>
          <w:kern w:val="0"/>
          <w:sz w:val="32"/>
          <w:szCs w:val="32"/>
          <w:shd w:val="clear" w:fill="FFFFFF"/>
          <w:lang w:val="en-US" w:eastAsia="zh-CN" w:bidi="ar"/>
        </w:rPr>
      </w:pPr>
      <w:r>
        <w:rPr>
          <w:rFonts w:hint="eastAsia" w:ascii="楷体" w:hAnsi="楷体" w:eastAsia="楷体" w:cs="楷体"/>
          <w:b/>
          <w:bCs w:val="0"/>
          <w:color w:val="auto"/>
          <w:kern w:val="0"/>
          <w:sz w:val="32"/>
          <w:szCs w:val="32"/>
          <w:shd w:val="clear" w:fill="FFFFFF"/>
          <w:lang w:val="en-US" w:eastAsia="zh-CN" w:bidi="ar"/>
        </w:rPr>
        <w:t>（一）机构设置</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left="0" w:right="0" w:firstLine="640"/>
        <w:jc w:val="left"/>
        <w:textAlignment w:val="auto"/>
        <w:rPr>
          <w:rFonts w:hint="eastAsia" w:ascii="仿宋_GB2312" w:hAnsi="仿宋_GB2312" w:eastAsia="仿宋_GB2312" w:cs="仿宋_GB2312"/>
          <w:color w:val="auto"/>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邵阳市北塔区民政局是北塔区人民政府主管的社会行政事务的职能部门，内设机构5个，即：办公室、规划财务股、基政和社会治理股、社会事务股、社会救助股。下设二级机构两个，即婚姻服务中心和低收入家庭认证中心。财务统一核算。全局实有在职人员29人，其中行政编制5人，工勤人员1人，退休人员7人。</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left="0" w:right="0" w:firstLine="640" w:firstLineChars="200"/>
        <w:jc w:val="both"/>
        <w:textAlignment w:val="auto"/>
        <w:rPr>
          <w:rFonts w:hint="eastAsia" w:ascii="楷体" w:hAnsi="楷体" w:eastAsia="楷体" w:cs="楷体"/>
          <w:b/>
          <w:bCs w:val="0"/>
          <w:color w:val="auto"/>
          <w:kern w:val="0"/>
          <w:sz w:val="32"/>
          <w:szCs w:val="32"/>
          <w:shd w:val="clear" w:fill="FFFFFF"/>
          <w:lang w:val="en-US" w:eastAsia="zh-CN" w:bidi="ar"/>
        </w:rPr>
      </w:pPr>
      <w:r>
        <w:rPr>
          <w:rFonts w:hint="eastAsia" w:ascii="楷体" w:hAnsi="楷体" w:eastAsia="楷体" w:cs="楷体"/>
          <w:b/>
          <w:bCs w:val="0"/>
          <w:color w:val="auto"/>
          <w:kern w:val="0"/>
          <w:sz w:val="32"/>
          <w:szCs w:val="32"/>
          <w:shd w:val="clear" w:fill="FFFFFF"/>
          <w:lang w:val="en-US" w:eastAsia="zh-CN" w:bidi="ar"/>
        </w:rPr>
        <w:t>（二）部门基本职责</w:t>
      </w:r>
    </w:p>
    <w:p>
      <w:pPr>
        <w:keepNext w:val="0"/>
        <w:keepLines w:val="0"/>
        <w:pageBreakBefore w:val="0"/>
        <w:widowControl/>
        <w:suppressLineNumbers w:val="0"/>
        <w:kinsoku/>
        <w:wordWrap w:val="0"/>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1.贯彻执行党和国家、市委、市政府关于民政工作的法律、法规和方针、政策；制订全区民政事业中长期发展规划和年度计划，并组织实施和监督检查。</w:t>
      </w:r>
    </w:p>
    <w:p>
      <w:pPr>
        <w:keepNext w:val="0"/>
        <w:keepLines w:val="0"/>
        <w:pageBreakBefore w:val="0"/>
        <w:widowControl/>
        <w:suppressLineNumbers w:val="0"/>
        <w:kinsoku/>
        <w:wordWrap w:val="0"/>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2.贯彻和执行省市有关社会救助工作的方针、政策和地方规章；负责指导、监督、检查乡办社会救助的实施；负责制定全区最低生活保障、特困人员供养、临时救助、孤儿、残疾人等救助资金需求计划，负责区本级最低生活保障、特困人员供养、临时救助、孤儿、残疾人等资金分配和管理；负责建立和管理全区永久性的社会救助档案。</w:t>
      </w:r>
    </w:p>
    <w:p>
      <w:pPr>
        <w:keepNext w:val="0"/>
        <w:keepLines w:val="0"/>
        <w:pageBreakBefore w:val="0"/>
        <w:widowControl/>
        <w:suppressLineNumbers w:val="0"/>
        <w:kinsoku/>
        <w:wordWrap w:val="0"/>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3.拟订加强和改进全市基层政权建设的意见和建议，指导实施基层政权、基层群众性自治组织和社区建设的法规、政策；指导乡（镇、街道）政务公开和规范化建设工作；指导村（居）民委员会民主选举、民主决策、民主管理和民主监督工作；推动村（居）民自治和基层民主政治建设；指导组织城乡社区建设和服务管理工作；负责组织基层群众自治组织和社区管理人员的培训和表彰。</w:t>
      </w:r>
    </w:p>
    <w:p>
      <w:pPr>
        <w:keepNext w:val="0"/>
        <w:keepLines w:val="0"/>
        <w:pageBreakBefore w:val="0"/>
        <w:widowControl/>
        <w:suppressLineNumbers w:val="0"/>
        <w:kinsoku/>
        <w:wordWrap w:val="0"/>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4.拟订民政事业费管理相关制度，监督检查民政事业资金分配、管理、使用；组织拟订民政事业发展规划；负责局机关财务和国有资产管理；负责民政事业资金审计和民政统计工作。</w:t>
      </w:r>
    </w:p>
    <w:p>
      <w:pPr>
        <w:keepNext w:val="0"/>
        <w:keepLines w:val="0"/>
        <w:pageBreakBefore w:val="0"/>
        <w:widowControl/>
        <w:suppressLineNumbers w:val="0"/>
        <w:kinsoku/>
        <w:wordWrap w:val="0"/>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5.负责老龄工作法律法规和方针政策的贯彻执行，拟订老龄事业发展规划及有关政策；承担老龄办的日常工作。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Autospacing="0" w:afterAutospacing="0" w:line="600" w:lineRule="exact"/>
        <w:ind w:right="0" w:firstLine="640" w:firstLineChars="200"/>
        <w:jc w:val="left"/>
        <w:textAlignment w:val="auto"/>
        <w:rPr>
          <w:rFonts w:hint="eastAsia" w:ascii="楷体" w:hAnsi="楷体" w:eastAsia="楷体" w:cs="楷体"/>
          <w:b/>
          <w:bCs/>
          <w:i w:val="0"/>
          <w:caps w:val="0"/>
          <w:color w:val="auto"/>
          <w:spacing w:val="0"/>
          <w:kern w:val="0"/>
          <w:sz w:val="32"/>
          <w:szCs w:val="32"/>
          <w:shd w:val="clear" w:fill="FFFFFF"/>
          <w:lang w:val="en-US" w:eastAsia="zh-CN" w:bidi="ar"/>
        </w:rPr>
      </w:pPr>
      <w:r>
        <w:rPr>
          <w:rFonts w:hint="eastAsia" w:ascii="楷体" w:hAnsi="楷体" w:eastAsia="楷体" w:cs="楷体"/>
          <w:b/>
          <w:bCs/>
          <w:i w:val="0"/>
          <w:caps w:val="0"/>
          <w:color w:val="auto"/>
          <w:spacing w:val="0"/>
          <w:kern w:val="0"/>
          <w:sz w:val="32"/>
          <w:szCs w:val="32"/>
          <w:shd w:val="clear" w:fill="FFFFFF"/>
          <w:lang w:val="en-US" w:eastAsia="zh-CN" w:bidi="ar"/>
        </w:rPr>
        <w:t>（三)部门内部控制及厉行节约制度建设情况</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1.高度重视预算支出绩效评价工作，成立了以刘小飞局长为组长，其他局领导为副组长，股室主要负责人为成员的预算支出绩效评价领导小组，明确各职能股室的评价责任，进一步强化各股室对财政预算支出管理意识。</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2.加强对国家、省级财政预算资金管理方面制度的学习培训，不断提高各职能股室的业务工作能力。及时组织局机关人员学习了本年度区里出台的培训费、会议费、差旅费、国内公务接待等相关管理办法。</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3.严格制度执行，特别是“三公”经费的预算控制。加强对公务用车的管理，严格招待费用审核审批程序，“三公”经费较好地控制在预算范围之内。</w:t>
      </w:r>
    </w:p>
    <w:p>
      <w:pPr>
        <w:keepNext w:val="0"/>
        <w:keepLines w:val="0"/>
        <w:pageBreakBefore w:val="0"/>
        <w:widowControl/>
        <w:suppressLineNumbers w:val="0"/>
        <w:kinsoku/>
        <w:overflowPunct/>
        <w:topLinePunct w:val="0"/>
        <w:autoSpaceDE/>
        <w:autoSpaceDN/>
        <w:bidi w:val="0"/>
        <w:adjustRightInd/>
        <w:snapToGrid w:val="0"/>
        <w:spacing w:beforeAutospacing="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
        </w:rPr>
      </w:pPr>
      <w:r>
        <w:rPr>
          <w:rFonts w:hint="eastAsia" w:ascii="黑体" w:hAnsi="黑体" w:eastAsia="黑体" w:cs="黑体"/>
          <w:color w:val="auto"/>
          <w:kern w:val="2"/>
          <w:sz w:val="32"/>
          <w:szCs w:val="32"/>
          <w:lang w:val="en-US" w:eastAsia="zh-CN" w:bidi="ar"/>
        </w:rPr>
        <w:t>二、部门整体支出概况。</w:t>
      </w:r>
    </w:p>
    <w:p>
      <w:pPr>
        <w:keepNext w:val="0"/>
        <w:keepLines w:val="0"/>
        <w:pageBreakBefore w:val="0"/>
        <w:widowControl/>
        <w:numPr>
          <w:ilvl w:val="0"/>
          <w:numId w:val="0"/>
        </w:numPr>
        <w:suppressLineNumbers w:val="0"/>
        <w:kinsoku/>
        <w:overflowPunct/>
        <w:topLinePunct w:val="0"/>
        <w:autoSpaceDE/>
        <w:autoSpaceDN/>
        <w:bidi w:val="0"/>
        <w:adjustRightInd/>
        <w:spacing w:beforeAutospacing="0" w:afterAutospacing="0" w:line="600" w:lineRule="exact"/>
        <w:ind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2019年度北塔区民政局部门整体支出375.07万元，其中基本支出230.67万元，包括工作福利支出、日常公用支出等。</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left="0" w:right="0" w:firstLine="640" w:firstLineChars="200"/>
        <w:jc w:val="both"/>
        <w:textAlignment w:val="auto"/>
        <w:rPr>
          <w:rFonts w:hint="eastAsia" w:ascii="黑体" w:hAnsi="黑体" w:eastAsia="黑体" w:cs="黑体"/>
          <w:b w:val="0"/>
          <w:bCs/>
          <w:color w:val="auto"/>
          <w:kern w:val="0"/>
          <w:sz w:val="32"/>
          <w:szCs w:val="32"/>
          <w:shd w:val="clear" w:fill="FFFFFF"/>
          <w:lang w:val="en-US" w:eastAsia="zh-CN" w:bidi="ar"/>
        </w:rPr>
      </w:pPr>
      <w:r>
        <w:rPr>
          <w:rFonts w:hint="eastAsia" w:ascii="黑体" w:hAnsi="黑体" w:eastAsia="黑体" w:cs="黑体"/>
          <w:b w:val="0"/>
          <w:bCs/>
          <w:color w:val="auto"/>
          <w:kern w:val="0"/>
          <w:sz w:val="32"/>
          <w:szCs w:val="32"/>
          <w:shd w:val="clear" w:fill="FFFFFF"/>
          <w:lang w:val="en-US" w:eastAsia="zh-CN" w:bidi="ar"/>
        </w:rPr>
        <w:t>三、预算资金总体情况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1.收支预算总情况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Autospacing="0" w:afterAutospacing="0" w:line="60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2019年部门预算总收入375.07万元。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600" w:lineRule="exact"/>
        <w:ind w:left="0" w:right="0" w:firstLine="64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2019年支出预算为375.07万元，其中，基本支出230.67万元，项目支出144.4万元。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2.三公经费预算执行情况（单位：万元）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sz w:val="32"/>
          <w:szCs w:val="32"/>
          <w:shd w:val="clear" w:fill="FFFFFF"/>
        </w:rPr>
        <w:t>2019年“三公”经费预算数为</w:t>
      </w: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rPr>
        <w:t>万元，其中：公务接待费</w:t>
      </w: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rPr>
        <w:t>万元，公务用车购置及运行费</w:t>
      </w:r>
      <w:r>
        <w:rPr>
          <w:rFonts w:hint="eastAsia" w:ascii="仿宋_GB2312" w:hAnsi="仿宋_GB2312" w:eastAsia="仿宋_GB2312" w:cs="仿宋_GB2312"/>
          <w:i w:val="0"/>
          <w:caps w:val="0"/>
          <w:color w:val="auto"/>
          <w:spacing w:val="0"/>
          <w:sz w:val="32"/>
          <w:szCs w:val="32"/>
          <w:shd w:val="clear" w:fill="FFFFFF"/>
          <w:lang w:val="en-US" w:eastAsia="zh-CN"/>
        </w:rPr>
        <w:t>0</w:t>
      </w:r>
      <w:r>
        <w:rPr>
          <w:rFonts w:hint="eastAsia" w:ascii="仿宋_GB2312" w:hAnsi="仿宋_GB2312" w:eastAsia="仿宋_GB2312" w:cs="仿宋_GB2312"/>
          <w:i w:val="0"/>
          <w:caps w:val="0"/>
          <w:color w:val="auto"/>
          <w:spacing w:val="0"/>
          <w:sz w:val="32"/>
          <w:szCs w:val="32"/>
          <w:shd w:val="clear" w:fill="FFFFFF"/>
        </w:rPr>
        <w:t>万元，无因公出国（境）费。2019年“三公”经费预算较2018年减少</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我局将严格贯彻中央“八项规定”和厉行节约的要求，加强经费管理。</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left="0" w:right="0" w:firstLine="640" w:firstLineChars="200"/>
        <w:jc w:val="both"/>
        <w:textAlignment w:val="auto"/>
        <w:rPr>
          <w:rFonts w:hint="eastAsia" w:ascii="黑体" w:hAnsi="黑体" w:eastAsia="黑体" w:cs="黑体"/>
          <w:b w:val="0"/>
          <w:bCs/>
          <w:color w:val="auto"/>
          <w:kern w:val="0"/>
          <w:sz w:val="32"/>
          <w:szCs w:val="32"/>
          <w:shd w:val="clear" w:fill="FFFFFF"/>
          <w:lang w:val="en-US" w:eastAsia="zh-CN" w:bidi="ar"/>
        </w:rPr>
      </w:pPr>
      <w:r>
        <w:rPr>
          <w:rFonts w:hint="eastAsia" w:ascii="黑体" w:hAnsi="黑体" w:eastAsia="黑体" w:cs="黑体"/>
          <w:b w:val="0"/>
          <w:bCs/>
          <w:color w:val="auto"/>
          <w:kern w:val="0"/>
          <w:sz w:val="32"/>
          <w:szCs w:val="32"/>
          <w:shd w:val="clear" w:fill="FFFFFF"/>
          <w:lang w:val="en-US" w:eastAsia="zh-CN" w:bidi="ar"/>
        </w:rPr>
        <w:t>四、绩效评价工作情况</w:t>
      </w:r>
    </w:p>
    <w:p>
      <w:pPr>
        <w:keepNext w:val="0"/>
        <w:keepLines w:val="0"/>
        <w:pageBreakBefore w:val="0"/>
        <w:widowControl/>
        <w:suppressLineNumbers w:val="0"/>
        <w:kinsoku/>
        <w:overflowPunct/>
        <w:topLinePunct w:val="0"/>
        <w:autoSpaceDE/>
        <w:autoSpaceDN/>
        <w:bidi w:val="0"/>
        <w:adjustRightInd/>
        <w:spacing w:beforeAutospacing="0" w:afterAutospacing="0" w:line="60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我局2019年我局经费开支严格按预算执行，管理制度健全，支出符合国家财经法规和财务管理制度规定。按要求执行政府采购，严控支出，开源节流，2019年“三公经费”支出比上年及年初预算数均有下降。资产管理安全，固定资产利用率、重点工作完成率等均达到或超过年初计划数，取得了较好的社会效益。 </w:t>
      </w:r>
    </w:p>
    <w:p>
      <w:pPr>
        <w:keepNext w:val="0"/>
        <w:keepLines w:val="0"/>
        <w:pageBreakBefore w:val="0"/>
        <w:widowControl/>
        <w:numPr>
          <w:ilvl w:val="0"/>
          <w:numId w:val="0"/>
        </w:numPr>
        <w:suppressLineNumbers w:val="0"/>
        <w:kinsoku/>
        <w:overflowPunct/>
        <w:topLinePunct w:val="0"/>
        <w:autoSpaceDE/>
        <w:autoSpaceDN/>
        <w:bidi w:val="0"/>
        <w:adjustRightInd/>
        <w:spacing w:beforeAutospacing="0" w:afterAutospacing="0" w:line="60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1.财务报账手续规范，报账凭证内容必须符合有关财经法规规定和票据管理要求。</w:t>
      </w:r>
    </w:p>
    <w:p>
      <w:pPr>
        <w:keepNext w:val="0"/>
        <w:keepLines w:val="0"/>
        <w:pageBreakBefore w:val="0"/>
        <w:widowControl/>
        <w:numPr>
          <w:ilvl w:val="0"/>
          <w:numId w:val="0"/>
        </w:numPr>
        <w:suppressLineNumbers w:val="0"/>
        <w:kinsoku/>
        <w:overflowPunct/>
        <w:topLinePunct w:val="0"/>
        <w:autoSpaceDE/>
        <w:autoSpaceDN/>
        <w:bidi w:val="0"/>
        <w:adjustRightInd/>
        <w:spacing w:beforeAutospacing="0" w:afterAutospacing="0" w:line="60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2.进一步规范资金使用，把好“支出关”。经费开支预算执行，基本支出的日常财务管理有机关财务实行统一核算和统一管理，做到不铺张浪费，努力做到使有限的经费保证机关日常的正常运行。</w:t>
      </w:r>
    </w:p>
    <w:p>
      <w:pPr>
        <w:keepNext w:val="0"/>
        <w:keepLines w:val="0"/>
        <w:pageBreakBefore w:val="0"/>
        <w:widowControl/>
        <w:suppressLineNumbers w:val="0"/>
        <w:kinsoku/>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kern w:val="0"/>
          <w:sz w:val="32"/>
          <w:szCs w:val="32"/>
          <w:lang w:val="en-US" w:eastAsia="zh-CN" w:bidi="ar"/>
        </w:rPr>
        <w:t>3.固定资产实行统一采购、保管</w:t>
      </w:r>
      <w:r>
        <w:rPr>
          <w:rFonts w:hint="eastAsia" w:ascii="仿宋_GB2312" w:hAnsi="仿宋_GB2312" w:eastAsia="仿宋_GB2312" w:cs="仿宋_GB2312"/>
          <w:color w:val="auto"/>
          <w:kern w:val="0"/>
          <w:sz w:val="32"/>
          <w:szCs w:val="32"/>
          <w:lang w:val="en-US" w:eastAsia="zh-CN" w:bidi="ar"/>
        </w:rPr>
        <w:t xml:space="preserve">。办公室负责对固定资产定期盘点、清理核对工作。 </w:t>
      </w:r>
    </w:p>
    <w:p>
      <w:pPr>
        <w:keepNext w:val="0"/>
        <w:keepLines w:val="0"/>
        <w:pageBreakBefore w:val="0"/>
        <w:widowControl/>
        <w:suppressLineNumbers w:val="0"/>
        <w:kinsoku/>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kern w:val="0"/>
          <w:sz w:val="32"/>
          <w:szCs w:val="32"/>
          <w:lang w:val="en-US" w:eastAsia="zh-CN" w:bidi="ar"/>
        </w:rPr>
        <w:t>4.2</w:t>
      </w:r>
      <w:r>
        <w:rPr>
          <w:rFonts w:hint="eastAsia" w:ascii="仿宋_GB2312" w:hAnsi="仿宋_GB2312" w:eastAsia="仿宋_GB2312" w:cs="仿宋_GB2312"/>
          <w:color w:val="auto"/>
          <w:kern w:val="0"/>
          <w:sz w:val="32"/>
          <w:szCs w:val="32"/>
          <w:lang w:val="en-US" w:eastAsia="zh-CN" w:bidi="ar"/>
        </w:rPr>
        <w:t xml:space="preserve">019年，我局全面落实以人民为中心的发展思想，抓住人民群众最关心最直接最现实的利益问题，不断提高人民群众的获得感、幸福感、安全感。 </w:t>
      </w:r>
    </w:p>
    <w:p>
      <w:pPr>
        <w:keepNext w:val="0"/>
        <w:keepLines w:val="0"/>
        <w:pageBreakBefore w:val="0"/>
        <w:widowControl/>
        <w:suppressLineNumbers w:val="0"/>
        <w:kinsoku/>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kern w:val="0"/>
          <w:sz w:val="32"/>
          <w:szCs w:val="32"/>
          <w:lang w:val="en-US" w:eastAsia="zh-CN" w:bidi="ar"/>
        </w:rPr>
        <w:t>5.强监管，理财水平不断提升</w:t>
      </w:r>
      <w:r>
        <w:rPr>
          <w:rFonts w:hint="eastAsia" w:ascii="仿宋_GB2312" w:hAnsi="仿宋_GB2312" w:eastAsia="仿宋_GB2312" w:cs="仿宋_GB2312"/>
          <w:b/>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 xml:space="preserve">一是加强财政资金监督检查；二是强化预算管理和绩效评价；三是加大政府采购力度。 </w:t>
      </w:r>
    </w:p>
    <w:p>
      <w:pPr>
        <w:keepNext w:val="0"/>
        <w:keepLines w:val="0"/>
        <w:pageBreakBefore w:val="0"/>
        <w:widowControl/>
        <w:suppressLineNumbers w:val="0"/>
        <w:kinsoku/>
        <w:overflowPunct/>
        <w:topLinePunct w:val="0"/>
        <w:autoSpaceDE/>
        <w:autoSpaceDN/>
        <w:bidi w:val="0"/>
        <w:adjustRightInd/>
        <w:spacing w:beforeAutospacing="0" w:afterAutospacing="0" w:line="600" w:lineRule="exact"/>
        <w:ind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6.严管理，队伍建设切实加强。</w:t>
      </w:r>
      <w:r>
        <w:rPr>
          <w:rFonts w:hint="eastAsia" w:ascii="仿宋_GB2312" w:hAnsi="仿宋_GB2312" w:eastAsia="仿宋_GB2312" w:cs="仿宋_GB2312"/>
          <w:color w:val="auto"/>
          <w:kern w:val="0"/>
          <w:sz w:val="32"/>
          <w:szCs w:val="32"/>
          <w:lang w:val="en-US" w:eastAsia="zh-CN" w:bidi="ar"/>
        </w:rPr>
        <w:t xml:space="preserve">我局始终把干部队伍建设作为推动工作的突破口和切入点，内强素质，外树形象，不断提升队伍的凝聚力、战斗力和创造力。一是加强机关财务管理，严格执行中央八项规定，厉行节约，严控三公经费。二是提高财政信息化水平，三是扎实推进基层党建，四是抓好干部队伍建设，五是狠抓党风廉政建设。 </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left="638" w:leftChars="304" w:right="300" w:firstLine="0" w:firstLineChars="0"/>
        <w:jc w:val="left"/>
        <w:textAlignment w:val="auto"/>
        <w:rPr>
          <w:rFonts w:hint="eastAsia" w:ascii="楷体" w:hAnsi="楷体" w:eastAsia="楷体" w:cs="楷体"/>
          <w:b/>
          <w:bCs/>
          <w:color w:val="auto"/>
          <w:kern w:val="0"/>
          <w:sz w:val="32"/>
          <w:szCs w:val="32"/>
          <w:shd w:val="clear" w:fill="FFFFFF"/>
          <w:lang w:val="en-US" w:eastAsia="zh-CN" w:bidi="ar"/>
        </w:rPr>
      </w:pPr>
      <w:r>
        <w:rPr>
          <w:rFonts w:hint="eastAsia" w:ascii="黑体" w:hAnsi="黑体" w:eastAsia="黑体" w:cs="黑体"/>
          <w:b w:val="0"/>
          <w:bCs/>
          <w:color w:val="auto"/>
          <w:kern w:val="0"/>
          <w:sz w:val="32"/>
          <w:szCs w:val="32"/>
          <w:shd w:val="clear" w:fill="FFFFFF"/>
          <w:lang w:val="en-US" w:eastAsia="zh-CN" w:bidi="ar"/>
        </w:rPr>
        <w:t>五、改进措施和有关建议 </w:t>
      </w:r>
      <w:r>
        <w:rPr>
          <w:rFonts w:hint="eastAsia" w:ascii="黑体" w:hAnsi="黑体" w:eastAsia="黑体" w:cs="黑体"/>
          <w:b w:val="0"/>
          <w:bCs/>
          <w:color w:val="auto"/>
          <w:kern w:val="0"/>
          <w:sz w:val="32"/>
          <w:szCs w:val="32"/>
          <w:shd w:val="clear" w:fill="FFFFFF"/>
          <w:lang w:val="en-US" w:eastAsia="zh-CN" w:bidi="ar"/>
        </w:rPr>
        <w:br w:type="textWrapping"/>
      </w:r>
      <w:r>
        <w:rPr>
          <w:rFonts w:hint="eastAsia" w:ascii="楷体" w:hAnsi="楷体" w:eastAsia="楷体" w:cs="楷体"/>
          <w:b/>
          <w:bCs/>
          <w:color w:val="auto"/>
          <w:kern w:val="0"/>
          <w:sz w:val="32"/>
          <w:szCs w:val="32"/>
          <w:shd w:val="clear" w:fill="FFFFFF"/>
          <w:lang w:val="en-US" w:eastAsia="zh-CN" w:bidi="ar"/>
        </w:rPr>
        <w:t>（一）科学合理编制预算，严格执行预算</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right="300" w:firstLine="640" w:firstLineChars="200"/>
        <w:jc w:val="left"/>
        <w:textAlignment w:val="auto"/>
        <w:rPr>
          <w:rFonts w:hint="eastAsia" w:ascii="仿宋_GB2312" w:hAnsi="仿宋_GB2312" w:eastAsia="仿宋_GB2312" w:cs="仿宋_GB2312"/>
          <w:color w:val="auto"/>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建议按照《预算法》及其实施条例的相关规定，参考上一年的预算执行情况和年度的收支预测科学编制预算。同时在编制预算项目时与上年核算科目结合起来。在预算执行中，严格按照预算科目支出，确需调剂的，按规定程序报经批准。</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楷体" w:hAnsi="楷体" w:eastAsia="楷体" w:cs="楷体"/>
          <w:b/>
          <w:bCs/>
          <w:color w:val="auto"/>
          <w:kern w:val="0"/>
          <w:sz w:val="32"/>
          <w:szCs w:val="32"/>
          <w:shd w:val="clear" w:fill="FFFFFF"/>
          <w:lang w:val="en-US" w:eastAsia="zh-CN" w:bidi="ar"/>
        </w:rPr>
        <w:t xml:space="preserve">    （二）完善管理制度</w:t>
      </w:r>
      <w:r>
        <w:rPr>
          <w:rFonts w:hint="eastAsia" w:ascii="楷体" w:hAnsi="楷体" w:eastAsia="楷体" w:cs="楷体"/>
          <w:b/>
          <w:bCs/>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xml:space="preserve">    进一步贯彻落实中央“八项规定”，建立健全新的财务管理制度，针对“三公”经费制订专门的审批和控制制度，规范支出标准与范围，并严格执行。</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left="0" w:right="0" w:firstLine="640" w:firstLineChars="200"/>
        <w:jc w:val="both"/>
        <w:textAlignment w:val="auto"/>
        <w:rPr>
          <w:rFonts w:hint="eastAsia" w:ascii="黑体" w:hAnsi="黑体" w:eastAsia="黑体" w:cs="黑体"/>
          <w:b w:val="0"/>
          <w:bCs/>
          <w:color w:val="auto"/>
          <w:sz w:val="32"/>
          <w:szCs w:val="32"/>
          <w:shd w:val="clear" w:fill="FFFFFF"/>
          <w:lang w:val="en-US" w:eastAsia="zh-CN" w:bidi="ar"/>
        </w:rPr>
      </w:pPr>
      <w:r>
        <w:rPr>
          <w:rFonts w:hint="eastAsia" w:ascii="黑体" w:hAnsi="黑体" w:eastAsia="黑体" w:cs="黑体"/>
          <w:b w:val="0"/>
          <w:bCs/>
          <w:color w:val="auto"/>
          <w:kern w:val="0"/>
          <w:sz w:val="32"/>
          <w:szCs w:val="32"/>
          <w:shd w:val="clear" w:fill="FFFFFF"/>
          <w:lang w:val="en-US" w:eastAsia="zh-CN" w:bidi="ar"/>
        </w:rPr>
        <w:t>六、综合评价结果</w:t>
      </w:r>
    </w:p>
    <w:p>
      <w:pPr>
        <w:keepNext w:val="0"/>
        <w:keepLines w:val="0"/>
        <w:pageBreakBefore w:val="0"/>
        <w:widowControl/>
        <w:suppressLineNumbers w:val="0"/>
        <w:shd w:val="clear" w:fill="FFFFFF"/>
        <w:kinsoku/>
        <w:overflowPunct/>
        <w:topLinePunct w:val="0"/>
        <w:autoSpaceDE/>
        <w:autoSpaceDN/>
        <w:bidi w:val="0"/>
        <w:adjustRightInd/>
        <w:spacing w:beforeAutospacing="0" w:afterAutospacing="0" w:line="600" w:lineRule="exact"/>
        <w:ind w:left="0" w:right="0" w:firstLine="640"/>
        <w:jc w:val="both"/>
        <w:textAlignment w:val="auto"/>
        <w:rPr>
          <w:rFonts w:hint="eastAsia" w:ascii="仿宋_GB2312" w:hAnsi="仿宋_GB2312" w:eastAsia="仿宋_GB2312" w:cs="仿宋_GB2312"/>
          <w:color w:val="auto"/>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根据《部门整体支出绩效评价指标》规定的内容，北塔区民政局2019年度整体支出绩效评为“ 良好 ”。</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67CC78"/>
    <w:multiLevelType w:val="singleLevel"/>
    <w:tmpl w:val="EA67CC78"/>
    <w:lvl w:ilvl="0" w:tentative="0">
      <w:start w:val="1"/>
      <w:numFmt w:val="decimal"/>
      <w:lvlText w:val="%1."/>
      <w:lvlJc w:val="left"/>
      <w:pPr>
        <w:tabs>
          <w:tab w:val="left" w:pos="312"/>
        </w:tabs>
      </w:p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28114D7"/>
    <w:rsid w:val="02ED24A9"/>
    <w:rsid w:val="0B164051"/>
    <w:rsid w:val="13CB6AEC"/>
    <w:rsid w:val="173B2131"/>
    <w:rsid w:val="17E72B77"/>
    <w:rsid w:val="1C4C26D6"/>
    <w:rsid w:val="2E5A0444"/>
    <w:rsid w:val="45B2398C"/>
    <w:rsid w:val="4815368A"/>
    <w:rsid w:val="4D460ACA"/>
    <w:rsid w:val="5DD126B8"/>
    <w:rsid w:val="5ED34512"/>
    <w:rsid w:val="648865C8"/>
    <w:rsid w:val="67BA0C5C"/>
    <w:rsid w:val="690B4F14"/>
    <w:rsid w:val="7EE60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19</TotalTime>
  <ScaleCrop>false</ScaleCrop>
  <LinksUpToDate>false</LinksUpToDate>
  <CharactersWithSpaces>8418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2020-07-15T07:25:00Z</cp:lastPrinted>
  <dcterms:modified xsi:type="dcterms:W3CDTF">2020-09-15T01:13:29Z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