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40" w:lineRule="exact"/>
        <w:jc w:val="center"/>
        <w:rPr>
          <w:rFonts w:ascii="黑体" w:hAnsi="黑体" w:eastAsia="黑体" w:cs="微软雅黑"/>
          <w:color w:val="auto"/>
          <w:sz w:val="32"/>
          <w:szCs w:val="32"/>
        </w:rPr>
      </w:pPr>
      <w:r>
        <w:rPr>
          <w:rFonts w:ascii="黑体" w:hAnsi="黑体" w:eastAsia="黑体"/>
          <w:color w:val="auto"/>
          <w:sz w:val="32"/>
          <w:szCs w:val="32"/>
          <w:shd w:val="clear" w:color="auto" w:fill="FFFFFF"/>
        </w:rPr>
        <w:t>2022年度部门整体支出绩效评价报告</w:t>
      </w:r>
    </w:p>
    <w:p>
      <w:pPr>
        <w:pStyle w:val="4"/>
        <w:keepNext w:val="0"/>
        <w:keepLines w:val="0"/>
        <w:pageBreakBefore w:val="0"/>
        <w:kinsoku/>
        <w:wordWrap/>
        <w:overflowPunct/>
        <w:topLinePunct w:val="0"/>
        <w:bidi w:val="0"/>
        <w:snapToGrid/>
        <w:spacing w:before="240" w:beforeAutospacing="0" w:afterAutospacing="0" w:line="440" w:lineRule="exact"/>
        <w:ind w:firstLine="562" w:firstLineChars="200"/>
        <w:textAlignment w:val="auto"/>
        <w:rPr>
          <w:rFonts w:cs="宋体" w:asciiTheme="minorEastAsia" w:hAnsiTheme="minorEastAsia"/>
          <w:color w:val="auto"/>
          <w:sz w:val="28"/>
          <w:szCs w:val="28"/>
        </w:rPr>
      </w:pPr>
      <w:r>
        <w:rPr>
          <w:rFonts w:hint="eastAsia" w:cs="宋体" w:asciiTheme="minorEastAsia" w:hAnsiTheme="minorEastAsia"/>
          <w:b/>
          <w:bCs/>
          <w:color w:val="auto"/>
          <w:sz w:val="28"/>
          <w:szCs w:val="28"/>
          <w:shd w:val="clear" w:color="auto" w:fill="FFFFFF"/>
        </w:rPr>
        <w:t>一、部门基本情况</w:t>
      </w:r>
    </w:p>
    <w:p>
      <w:pPr>
        <w:keepNext w:val="0"/>
        <w:keepLines w:val="0"/>
        <w:pageBreakBefore w:val="0"/>
        <w:kinsoku/>
        <w:wordWrap/>
        <w:overflowPunct/>
        <w:topLinePunct w:val="0"/>
        <w:bidi w:val="0"/>
        <w:snapToGrid/>
        <w:spacing w:line="440" w:lineRule="exact"/>
        <w:ind w:firstLine="562" w:firstLineChars="200"/>
        <w:jc w:val="left"/>
        <w:textAlignment w:val="auto"/>
        <w:rPr>
          <w:rFonts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（一）机构设置及人员情况</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440" w:lineRule="exact"/>
        <w:ind w:firstLine="560" w:firstLineChars="200"/>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1.内设机构设置</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440" w:lineRule="exact"/>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邵阳市北塔区</w:t>
      </w:r>
      <w:r>
        <w:rPr>
          <w:rFonts w:hint="eastAsia" w:asciiTheme="minorEastAsia" w:hAnsiTheme="minorEastAsia" w:eastAsiaTheme="minorEastAsia"/>
          <w:color w:val="auto"/>
          <w:sz w:val="28"/>
          <w:szCs w:val="28"/>
          <w:lang w:val="en-US" w:eastAsia="zh-CN"/>
        </w:rPr>
        <w:t>高撑</w:t>
      </w:r>
      <w:r>
        <w:rPr>
          <w:rFonts w:hint="eastAsia" w:asciiTheme="minorEastAsia" w:hAnsiTheme="minorEastAsia" w:eastAsiaTheme="minorEastAsia"/>
          <w:color w:val="auto"/>
          <w:sz w:val="28"/>
          <w:szCs w:val="28"/>
        </w:rPr>
        <w:t>小学内设机构包括：编制人数</w:t>
      </w:r>
      <w:r>
        <w:rPr>
          <w:rFonts w:hint="eastAsia" w:asciiTheme="minorEastAsia" w:hAnsiTheme="minorEastAsia" w:eastAsiaTheme="minorEastAsia"/>
          <w:color w:val="auto"/>
          <w:sz w:val="28"/>
          <w:szCs w:val="28"/>
          <w:lang w:val="en-US" w:eastAsia="zh-CN"/>
        </w:rPr>
        <w:t>72</w:t>
      </w:r>
      <w:r>
        <w:rPr>
          <w:rFonts w:hint="eastAsia" w:asciiTheme="minorEastAsia" w:hAnsiTheme="minorEastAsia" w:eastAsiaTheme="minorEastAsia"/>
          <w:color w:val="auto"/>
          <w:sz w:val="28"/>
          <w:szCs w:val="28"/>
        </w:rPr>
        <w:t>人，其中事业编制数</w:t>
      </w:r>
      <w:r>
        <w:rPr>
          <w:rFonts w:hint="eastAsia" w:asciiTheme="minorEastAsia" w:hAnsiTheme="minorEastAsia" w:eastAsiaTheme="minorEastAsia"/>
          <w:color w:val="auto"/>
          <w:sz w:val="28"/>
          <w:szCs w:val="28"/>
          <w:lang w:val="en-US" w:eastAsia="zh-CN"/>
        </w:rPr>
        <w:t>72</w:t>
      </w:r>
      <w:r>
        <w:rPr>
          <w:rFonts w:hint="eastAsia" w:asciiTheme="minorEastAsia" w:hAnsiTheme="minorEastAsia" w:eastAsiaTheme="minorEastAsia"/>
          <w:color w:val="auto"/>
          <w:sz w:val="28"/>
          <w:szCs w:val="28"/>
        </w:rPr>
        <w:t>人；实有人数</w:t>
      </w:r>
      <w:r>
        <w:rPr>
          <w:rFonts w:hint="eastAsia" w:asciiTheme="minorEastAsia" w:hAnsiTheme="minorEastAsia" w:eastAsiaTheme="minorEastAsia"/>
          <w:color w:val="auto"/>
          <w:sz w:val="28"/>
          <w:szCs w:val="28"/>
          <w:lang w:val="en-US" w:eastAsia="zh-CN"/>
        </w:rPr>
        <w:t>109</w:t>
      </w:r>
      <w:r>
        <w:rPr>
          <w:rFonts w:hint="eastAsia" w:asciiTheme="minorEastAsia" w:hAnsiTheme="minorEastAsia" w:eastAsiaTheme="minorEastAsia"/>
          <w:color w:val="auto"/>
          <w:sz w:val="28"/>
          <w:szCs w:val="28"/>
        </w:rPr>
        <w:t xml:space="preserve"> 人，其中在职教师</w:t>
      </w:r>
      <w:r>
        <w:rPr>
          <w:rFonts w:hint="eastAsia" w:asciiTheme="minorEastAsia" w:hAnsiTheme="minorEastAsia" w:eastAsiaTheme="minorEastAsia"/>
          <w:color w:val="auto"/>
          <w:sz w:val="28"/>
          <w:szCs w:val="28"/>
          <w:lang w:val="en-US" w:eastAsia="zh-CN"/>
        </w:rPr>
        <w:t>72</w:t>
      </w:r>
      <w:r>
        <w:rPr>
          <w:rFonts w:hint="eastAsia" w:asciiTheme="minorEastAsia" w:hAnsiTheme="minorEastAsia" w:eastAsiaTheme="minorEastAsia"/>
          <w:color w:val="auto"/>
          <w:sz w:val="28"/>
          <w:szCs w:val="28"/>
        </w:rPr>
        <w:t>人，退休37人。学校根据实际情况分别设有党支部、工会、教导处、德育处、总务处等机构。</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440" w:lineRule="exact"/>
        <w:ind w:firstLine="560" w:firstLineChars="200"/>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2.决算单位构成</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440" w:lineRule="exact"/>
        <w:ind w:firstLine="560" w:firstLineChars="200"/>
        <w:textAlignment w:val="auto"/>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邵阳市北塔区</w:t>
      </w:r>
      <w:r>
        <w:rPr>
          <w:rFonts w:hint="eastAsia" w:asciiTheme="minorEastAsia" w:hAnsiTheme="minorEastAsia" w:eastAsiaTheme="minorEastAsia"/>
          <w:color w:val="auto"/>
          <w:sz w:val="28"/>
          <w:szCs w:val="28"/>
          <w:lang w:val="en-US" w:eastAsia="zh-CN"/>
        </w:rPr>
        <w:t>高撑</w:t>
      </w:r>
      <w:r>
        <w:rPr>
          <w:rFonts w:asciiTheme="minorEastAsia" w:hAnsiTheme="minorEastAsia" w:eastAsiaTheme="minorEastAsia"/>
          <w:color w:val="auto"/>
          <w:sz w:val="28"/>
          <w:szCs w:val="28"/>
        </w:rPr>
        <w:t>小学无下属单位，因此，邵阳市北塔区</w:t>
      </w:r>
      <w:r>
        <w:rPr>
          <w:rFonts w:hint="eastAsia" w:asciiTheme="minorEastAsia" w:hAnsiTheme="minorEastAsia" w:eastAsiaTheme="minorEastAsia"/>
          <w:color w:val="auto"/>
          <w:sz w:val="28"/>
          <w:szCs w:val="28"/>
          <w:lang w:val="en-US" w:eastAsia="zh-CN"/>
        </w:rPr>
        <w:t>高撑</w:t>
      </w:r>
      <w:r>
        <w:rPr>
          <w:rFonts w:asciiTheme="minorEastAsia" w:hAnsiTheme="minorEastAsia" w:eastAsiaTheme="minorEastAsia"/>
          <w:color w:val="auto"/>
          <w:sz w:val="28"/>
          <w:szCs w:val="28"/>
        </w:rPr>
        <w:t>小学2022年单位决算即邵阳市北塔区</w:t>
      </w:r>
      <w:r>
        <w:rPr>
          <w:rFonts w:hint="eastAsia" w:asciiTheme="minorEastAsia" w:hAnsiTheme="minorEastAsia" w:eastAsiaTheme="minorEastAsia"/>
          <w:color w:val="auto"/>
          <w:sz w:val="28"/>
          <w:szCs w:val="28"/>
          <w:lang w:val="en-US" w:eastAsia="zh-CN"/>
        </w:rPr>
        <w:t>高撑</w:t>
      </w:r>
      <w:r>
        <w:rPr>
          <w:rFonts w:asciiTheme="minorEastAsia" w:hAnsiTheme="minorEastAsia" w:eastAsiaTheme="minorEastAsia"/>
          <w:color w:val="auto"/>
          <w:sz w:val="28"/>
          <w:szCs w:val="28"/>
        </w:rPr>
        <w:t>小学本级。</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（二）主要工作职责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（一）贯彻执行中央、省、市、区的教育科技工作方针、政策和法律、法规，拟定教育科技工作改革与发展战略和规划，并组织实施。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（二）统筹管理学校教育科技经费；指导教育、科技基本建设；指导协调学校技术、科技装备的配置。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（三）指导和监督学校内部审计工作；对学校经济活动进行审计监督。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（四）负责学校教育工作，全面实施素质教育；管理全校教育招生考试工作；承担全校语言文字工作；实施教师资格制度，推进学校人事制度改革。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（五）管理全校基础教育工作；指导学校开展教育改革和办学体制、学校内部管理体制改革。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（六）负责全校教育科技成果、教育科技奖励、科技保密、技术市场与科技相关的知识产权保护等工作。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（七）指导全校党建、宣传、统战、治安保卫工作，负责学校的维稳工作。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（八）负责全校教育督导工作，管理全校教育的各项评估、验收和专项督查。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（九）承办区人民政府和上级教育部门交办的其他事项。</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二、部门整体支出管理及使用情况</w:t>
      </w:r>
    </w:p>
    <w:p>
      <w:pPr>
        <w:keepNext w:val="0"/>
        <w:keepLines w:val="0"/>
        <w:pageBreakBefore w:val="0"/>
        <w:kinsoku/>
        <w:wordWrap/>
        <w:overflowPunct/>
        <w:topLinePunct w:val="0"/>
        <w:bidi w:val="0"/>
        <w:snapToGrid/>
        <w:spacing w:line="440" w:lineRule="exact"/>
        <w:ind w:firstLine="562" w:firstLineChars="200"/>
        <w:jc w:val="left"/>
        <w:textAlignment w:val="auto"/>
        <w:rPr>
          <w:rFonts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（一）预算执行情况</w:t>
      </w:r>
    </w:p>
    <w:p>
      <w:pPr>
        <w:keepNext w:val="0"/>
        <w:keepLines w:val="0"/>
        <w:pageBreakBefore w:val="0"/>
        <w:kinsoku/>
        <w:wordWrap/>
        <w:overflowPunct/>
        <w:topLinePunct w:val="0"/>
        <w:bidi w:val="0"/>
        <w:snapToGrid/>
        <w:spacing w:line="440" w:lineRule="exact"/>
        <w:ind w:firstLine="560" w:firstLineChars="200"/>
        <w:jc w:val="left"/>
        <w:textAlignment w:val="auto"/>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rPr>
        <w:t>2022年度财政拨款支出952.46万元，占本年支出合计的91.68%。与上一年度相比，财政拨款支出增加88.43万元，增长10.23%。主要是因为2021年将本校并入教育局本级作为一个整体进行核算。2022年将本校单列为预算单位进行核算，收入支出增多</w:t>
      </w:r>
      <w:r>
        <w:rPr>
          <w:rFonts w:hint="eastAsia" w:ascii="宋体" w:hAnsi="宋体" w:eastAsia="宋体" w:cs="宋体"/>
          <w:i w:val="0"/>
          <w:iCs w:val="0"/>
          <w:caps w:val="0"/>
          <w:color w:val="000000"/>
          <w:spacing w:val="0"/>
          <w:sz w:val="28"/>
          <w:szCs w:val="28"/>
          <w:lang w:eastAsia="zh-CN"/>
        </w:rPr>
        <w:t>。</w:t>
      </w:r>
    </w:p>
    <w:p>
      <w:pPr>
        <w:keepNext w:val="0"/>
        <w:keepLines w:val="0"/>
        <w:pageBreakBefore w:val="0"/>
        <w:kinsoku/>
        <w:wordWrap/>
        <w:overflowPunct/>
        <w:topLinePunct w:val="0"/>
        <w:bidi w:val="0"/>
        <w:snapToGrid/>
        <w:spacing w:line="440" w:lineRule="exact"/>
        <w:ind w:firstLine="562" w:firstLineChars="200"/>
        <w:jc w:val="left"/>
        <w:textAlignment w:val="auto"/>
        <w:rPr>
          <w:rFonts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（二）基本支出情况</w:t>
      </w:r>
    </w:p>
    <w:p>
      <w:pPr>
        <w:keepNext w:val="0"/>
        <w:keepLines w:val="0"/>
        <w:pageBreakBefore w:val="0"/>
        <w:kinsoku/>
        <w:wordWrap/>
        <w:overflowPunct/>
        <w:topLinePunct w:val="0"/>
        <w:bidi w:val="0"/>
        <w:snapToGrid/>
        <w:spacing w:line="440" w:lineRule="exact"/>
        <w:ind w:firstLine="560" w:firstLineChars="200"/>
        <w:jc w:val="left"/>
        <w:textAlignment w:val="auto"/>
        <w:rPr>
          <w:rFonts w:hint="eastAsia" w:asciiTheme="minorEastAsia" w:hAnsiTheme="minorEastAsia"/>
          <w:color w:val="auto"/>
          <w:sz w:val="28"/>
          <w:szCs w:val="28"/>
          <w:shd w:val="clear" w:color="auto" w:fill="FFFFFF"/>
        </w:rPr>
      </w:pPr>
      <w:r>
        <w:rPr>
          <w:rFonts w:hint="eastAsia" w:asciiTheme="minorEastAsia" w:hAnsiTheme="minorEastAsia"/>
          <w:color w:val="auto"/>
          <w:sz w:val="28"/>
          <w:szCs w:val="28"/>
          <w:shd w:val="clear" w:color="auto" w:fill="FFFFFF"/>
        </w:rPr>
        <w:t>基本支出系保障我</w:t>
      </w:r>
      <w:r>
        <w:rPr>
          <w:rFonts w:hint="eastAsia" w:asciiTheme="minorEastAsia" w:hAnsiTheme="minorEastAsia"/>
          <w:color w:val="auto"/>
          <w:sz w:val="28"/>
          <w:szCs w:val="28"/>
          <w:shd w:val="clear" w:color="auto" w:fill="FFFFFF"/>
          <w:lang w:eastAsia="zh-CN"/>
        </w:rPr>
        <w:t>校</w:t>
      </w:r>
      <w:r>
        <w:rPr>
          <w:rFonts w:hint="eastAsia" w:asciiTheme="minorEastAsia" w:hAnsiTheme="minorEastAsia"/>
          <w:color w:val="auto"/>
          <w:sz w:val="28"/>
          <w:szCs w:val="28"/>
          <w:shd w:val="clear" w:color="auto" w:fill="FFFFFF"/>
        </w:rPr>
        <w:t>正常运转、完成日常工作任务而发生的人员支出和公用支出，包括用于在职和离退休人员基本工资、津贴补贴等人员经费以及办公费、印刷费、水电费、办公设备购置等日常公用经费。2022年将本校单列为预算单位进行核算，收入支出增多。2022年度财政拨款支出</w:t>
      </w:r>
      <w:r>
        <w:rPr>
          <w:rFonts w:hint="eastAsia" w:asciiTheme="minorEastAsia" w:hAnsiTheme="minorEastAsia"/>
          <w:color w:val="auto"/>
          <w:sz w:val="28"/>
          <w:szCs w:val="28"/>
          <w:shd w:val="clear" w:color="auto" w:fill="FFFFFF"/>
          <w:lang w:val="en-US" w:eastAsia="zh-CN"/>
        </w:rPr>
        <w:t>952.46</w:t>
      </w:r>
      <w:r>
        <w:rPr>
          <w:rFonts w:hint="eastAsia" w:asciiTheme="minorEastAsia" w:hAnsiTheme="minorEastAsia"/>
          <w:color w:val="auto"/>
          <w:sz w:val="28"/>
          <w:szCs w:val="28"/>
          <w:shd w:val="clear" w:color="auto" w:fill="FFFFFF"/>
        </w:rPr>
        <w:t>万元，主要用于以下方面：教育支出</w:t>
      </w:r>
      <w:r>
        <w:rPr>
          <w:rFonts w:hint="eastAsia" w:ascii="宋体" w:hAnsi="宋体" w:eastAsia="宋体" w:cs="宋体"/>
          <w:i w:val="0"/>
          <w:iCs w:val="0"/>
          <w:caps w:val="0"/>
          <w:color w:val="000000"/>
          <w:spacing w:val="0"/>
          <w:sz w:val="28"/>
          <w:szCs w:val="28"/>
        </w:rPr>
        <w:t>75</w:t>
      </w:r>
      <w:r>
        <w:rPr>
          <w:rFonts w:hint="eastAsia" w:ascii="宋体" w:hAnsi="宋体" w:eastAsia="宋体" w:cs="宋体"/>
          <w:i w:val="0"/>
          <w:iCs w:val="0"/>
          <w:caps w:val="0"/>
          <w:color w:val="000000"/>
          <w:spacing w:val="0"/>
          <w:sz w:val="28"/>
          <w:szCs w:val="28"/>
          <w:lang w:val="en-US" w:eastAsia="zh-CN"/>
        </w:rPr>
        <w:t>7</w:t>
      </w:r>
      <w:r>
        <w:rPr>
          <w:rFonts w:hint="eastAsia" w:ascii="宋体" w:hAnsi="宋体" w:eastAsia="宋体" w:cs="宋体"/>
          <w:i w:val="0"/>
          <w:iCs w:val="0"/>
          <w:caps w:val="0"/>
          <w:color w:val="000000"/>
          <w:spacing w:val="0"/>
          <w:sz w:val="28"/>
          <w:szCs w:val="28"/>
        </w:rPr>
        <w:t>.81</w:t>
      </w:r>
      <w:r>
        <w:rPr>
          <w:rFonts w:hint="eastAsia" w:asciiTheme="minorEastAsia" w:hAnsiTheme="minorEastAsia"/>
          <w:color w:val="auto"/>
          <w:sz w:val="28"/>
          <w:szCs w:val="28"/>
          <w:shd w:val="clear" w:color="auto" w:fill="FFFFFF"/>
        </w:rPr>
        <w:t>万元，占</w:t>
      </w:r>
      <w:r>
        <w:rPr>
          <w:rFonts w:hint="eastAsia" w:asciiTheme="minorEastAsia" w:hAnsiTheme="minorEastAsia"/>
          <w:color w:val="auto"/>
          <w:sz w:val="28"/>
          <w:szCs w:val="28"/>
          <w:shd w:val="clear" w:color="auto" w:fill="FFFFFF"/>
          <w:lang w:val="en-US" w:eastAsia="zh-CN"/>
        </w:rPr>
        <w:t>79.57</w:t>
      </w:r>
      <w:r>
        <w:rPr>
          <w:rFonts w:hint="eastAsia" w:asciiTheme="minorEastAsia" w:hAnsiTheme="minorEastAsia"/>
          <w:color w:val="auto"/>
          <w:sz w:val="28"/>
          <w:szCs w:val="28"/>
          <w:shd w:val="clear" w:color="auto" w:fill="FFFFFF"/>
        </w:rPr>
        <w:t>%；社会保障和就业支</w:t>
      </w:r>
      <w:r>
        <w:rPr>
          <w:rFonts w:hint="eastAsia" w:asciiTheme="minorEastAsia" w:hAnsiTheme="minorEastAsia" w:eastAsiaTheme="minorEastAsia" w:cstheme="minorEastAsia"/>
          <w:color w:val="auto"/>
          <w:sz w:val="28"/>
          <w:szCs w:val="28"/>
          <w:shd w:val="clear" w:color="auto" w:fill="FFFFFF"/>
        </w:rPr>
        <w:t>出</w:t>
      </w:r>
      <w:r>
        <w:rPr>
          <w:rFonts w:hint="eastAsia" w:asciiTheme="minorEastAsia" w:hAnsiTheme="minorEastAsia" w:eastAsiaTheme="minorEastAsia" w:cstheme="minorEastAsia"/>
          <w:i w:val="0"/>
          <w:iCs w:val="0"/>
          <w:caps w:val="0"/>
          <w:color w:val="000000"/>
          <w:spacing w:val="0"/>
          <w:sz w:val="28"/>
          <w:szCs w:val="28"/>
          <w:lang w:val="en-US" w:eastAsia="zh-CN"/>
        </w:rPr>
        <w:t>88.61</w:t>
      </w:r>
      <w:r>
        <w:rPr>
          <w:rFonts w:hint="eastAsia" w:asciiTheme="minorEastAsia" w:hAnsiTheme="minorEastAsia" w:eastAsiaTheme="minorEastAsia" w:cstheme="minorEastAsia"/>
          <w:color w:val="auto"/>
          <w:sz w:val="28"/>
          <w:szCs w:val="28"/>
          <w:shd w:val="clear" w:color="auto" w:fill="FFFFFF"/>
        </w:rPr>
        <w:t>万元，占</w:t>
      </w:r>
      <w:r>
        <w:rPr>
          <w:rFonts w:hint="eastAsia" w:asciiTheme="minorEastAsia" w:hAnsiTheme="minorEastAsia" w:cstheme="minorEastAsia"/>
          <w:color w:val="auto"/>
          <w:sz w:val="28"/>
          <w:szCs w:val="28"/>
          <w:shd w:val="clear" w:color="auto" w:fill="FFFFFF"/>
          <w:lang w:val="en-US" w:eastAsia="zh-CN"/>
        </w:rPr>
        <w:t>9.3</w:t>
      </w:r>
      <w:r>
        <w:rPr>
          <w:rFonts w:hint="eastAsia" w:asciiTheme="minorEastAsia" w:hAnsiTheme="minorEastAsia" w:eastAsiaTheme="minorEastAsia" w:cstheme="minorEastAsia"/>
          <w:color w:val="auto"/>
          <w:sz w:val="28"/>
          <w:szCs w:val="28"/>
          <w:shd w:val="clear" w:color="auto" w:fill="FFFFFF"/>
        </w:rPr>
        <w:t>%；卫生健康支出</w:t>
      </w:r>
      <w:r>
        <w:rPr>
          <w:rFonts w:hint="eastAsia" w:asciiTheme="minorEastAsia" w:hAnsiTheme="minorEastAsia" w:eastAsiaTheme="minorEastAsia" w:cstheme="minorEastAsia"/>
          <w:i w:val="0"/>
          <w:iCs w:val="0"/>
          <w:caps w:val="0"/>
          <w:color w:val="000000"/>
          <w:spacing w:val="0"/>
          <w:sz w:val="28"/>
          <w:szCs w:val="28"/>
        </w:rPr>
        <w:t>39.25</w:t>
      </w:r>
      <w:r>
        <w:rPr>
          <w:rFonts w:hint="eastAsia" w:asciiTheme="minorEastAsia" w:hAnsiTheme="minorEastAsia" w:eastAsiaTheme="minorEastAsia" w:cstheme="minorEastAsia"/>
          <w:color w:val="auto"/>
          <w:sz w:val="28"/>
          <w:szCs w:val="28"/>
          <w:shd w:val="clear" w:color="auto" w:fill="FFFFFF"/>
        </w:rPr>
        <w:t>万元，占4.</w:t>
      </w:r>
      <w:r>
        <w:rPr>
          <w:rFonts w:hint="eastAsia" w:asciiTheme="minorEastAsia" w:hAnsiTheme="minorEastAsia" w:cstheme="minorEastAsia"/>
          <w:color w:val="auto"/>
          <w:sz w:val="28"/>
          <w:szCs w:val="28"/>
          <w:shd w:val="clear" w:color="auto" w:fill="FFFFFF"/>
          <w:lang w:val="en-US" w:eastAsia="zh-CN"/>
        </w:rPr>
        <w:t>12</w:t>
      </w:r>
      <w:r>
        <w:rPr>
          <w:rFonts w:hint="eastAsia" w:asciiTheme="minorEastAsia" w:hAnsiTheme="minorEastAsia" w:eastAsiaTheme="minorEastAsia" w:cstheme="minorEastAsia"/>
          <w:color w:val="auto"/>
          <w:sz w:val="28"/>
          <w:szCs w:val="28"/>
          <w:shd w:val="clear" w:color="auto" w:fill="FFFFFF"/>
        </w:rPr>
        <w:t>%；住房保障支出</w:t>
      </w:r>
      <w:r>
        <w:rPr>
          <w:rFonts w:hint="eastAsia" w:asciiTheme="minorEastAsia" w:hAnsiTheme="minorEastAsia" w:eastAsiaTheme="minorEastAsia" w:cstheme="minorEastAsia"/>
          <w:i w:val="0"/>
          <w:iCs w:val="0"/>
          <w:caps w:val="0"/>
          <w:color w:val="000000"/>
          <w:spacing w:val="0"/>
          <w:sz w:val="28"/>
          <w:szCs w:val="28"/>
        </w:rPr>
        <w:t>66.79</w:t>
      </w:r>
      <w:r>
        <w:rPr>
          <w:rFonts w:hint="eastAsia" w:asciiTheme="minorEastAsia" w:hAnsiTheme="minorEastAsia" w:eastAsiaTheme="minorEastAsia" w:cstheme="minorEastAsia"/>
          <w:color w:val="auto"/>
          <w:sz w:val="28"/>
          <w:szCs w:val="28"/>
          <w:shd w:val="clear" w:color="auto" w:fill="FFFFFF"/>
        </w:rPr>
        <w:t>万元</w:t>
      </w:r>
      <w:r>
        <w:rPr>
          <w:rFonts w:hint="eastAsia" w:asciiTheme="minorEastAsia" w:hAnsiTheme="minorEastAsia"/>
          <w:color w:val="auto"/>
          <w:sz w:val="28"/>
          <w:szCs w:val="28"/>
          <w:shd w:val="clear" w:color="auto" w:fill="FFFFFF"/>
        </w:rPr>
        <w:t>，占7.</w:t>
      </w:r>
      <w:r>
        <w:rPr>
          <w:rFonts w:hint="eastAsia" w:asciiTheme="minorEastAsia" w:hAnsiTheme="minorEastAsia"/>
          <w:color w:val="auto"/>
          <w:sz w:val="28"/>
          <w:szCs w:val="28"/>
          <w:shd w:val="clear" w:color="auto" w:fill="FFFFFF"/>
          <w:lang w:val="en-US" w:eastAsia="zh-CN"/>
        </w:rPr>
        <w:t>01</w:t>
      </w:r>
      <w:r>
        <w:rPr>
          <w:rFonts w:hint="eastAsia" w:asciiTheme="minorEastAsia" w:hAnsiTheme="minorEastAsia"/>
          <w:color w:val="auto"/>
          <w:sz w:val="28"/>
          <w:szCs w:val="28"/>
          <w:shd w:val="clear" w:color="auto" w:fill="FFFFFF"/>
        </w:rPr>
        <w:t>%。</w:t>
      </w:r>
    </w:p>
    <w:p>
      <w:pPr>
        <w:keepNext w:val="0"/>
        <w:keepLines w:val="0"/>
        <w:pageBreakBefore w:val="0"/>
        <w:kinsoku/>
        <w:wordWrap/>
        <w:overflowPunct/>
        <w:topLinePunct w:val="0"/>
        <w:bidi w:val="0"/>
        <w:snapToGrid/>
        <w:spacing w:line="440" w:lineRule="exact"/>
        <w:ind w:firstLine="562" w:firstLineChars="200"/>
        <w:jc w:val="left"/>
        <w:textAlignment w:val="auto"/>
        <w:rPr>
          <w:rFonts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三、部门整体支出绩效情况</w:t>
      </w:r>
    </w:p>
    <w:p>
      <w:pPr>
        <w:keepNext w:val="0"/>
        <w:keepLines w:val="0"/>
        <w:pageBreakBefore w:val="0"/>
        <w:kinsoku/>
        <w:wordWrap/>
        <w:overflowPunct/>
        <w:topLinePunct w:val="0"/>
        <w:bidi w:val="0"/>
        <w:snapToGrid/>
        <w:spacing w:line="440" w:lineRule="exact"/>
        <w:ind w:firstLine="562" w:firstLineChars="200"/>
        <w:jc w:val="left"/>
        <w:textAlignment w:val="auto"/>
        <w:rPr>
          <w:rFonts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（一）主要绩效指标完成情况</w:t>
      </w:r>
    </w:p>
    <w:p>
      <w:pPr>
        <w:keepNext w:val="0"/>
        <w:keepLines w:val="0"/>
        <w:pageBreakBefore w:val="0"/>
        <w:kinsoku/>
        <w:wordWrap/>
        <w:overflowPunct/>
        <w:topLinePunct w:val="0"/>
        <w:bidi w:val="0"/>
        <w:snapToGrid/>
        <w:spacing w:line="440" w:lineRule="exact"/>
        <w:ind w:firstLine="562" w:firstLineChars="200"/>
        <w:jc w:val="left"/>
        <w:textAlignment w:val="auto"/>
        <w:rPr>
          <w:rFonts w:hint="eastAsia"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1.预算执行情况</w:t>
      </w:r>
    </w:p>
    <w:p>
      <w:pPr>
        <w:pStyle w:val="4"/>
        <w:keepNext w:val="0"/>
        <w:keepLines w:val="0"/>
        <w:widowControl/>
        <w:suppressLineNumbers w:val="0"/>
        <w:spacing w:before="0" w:beforeAutospacing="0" w:after="2" w:afterAutospacing="0"/>
        <w:ind w:right="0" w:firstLine="560" w:firstLineChars="200"/>
        <w:rPr>
          <w:rFonts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2022年度财政拨款基本支出928.52万元，其中：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440" w:lineRule="exact"/>
        <w:ind w:left="0" w:right="0" w:firstLine="641"/>
        <w:textAlignment w:val="auto"/>
        <w:rPr>
          <w:rFonts w:hint="default"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rPr>
        <w:t>人员经费838.15万元，占基本支出的90.27%，主要包括：基本工资、津贴补贴、奖金、绩效工资、机关事业单位基本养老保险缴费、职业年金缴费、职工基本医疗保险缴费、其他社会保障缴费、住房公积金、生活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440" w:lineRule="exact"/>
        <w:ind w:left="0" w:right="0" w:firstLine="641"/>
        <w:textAlignment w:val="auto"/>
        <w:rPr>
          <w:rFonts w:hint="default"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公用经费90.37万元，占基本支出的9.73%，主要包括：办公设备购置、办公费、咨询费、水费、电费、维修（护）费、培训费、劳务费、委托业务费、其他商品和服务支出。</w:t>
      </w:r>
    </w:p>
    <w:p>
      <w:pPr>
        <w:pStyle w:val="9"/>
        <w:keepNext w:val="0"/>
        <w:keepLines w:val="0"/>
        <w:pageBreakBefore w:val="0"/>
        <w:shd w:val="clear" w:color="auto" w:fill="FFFFFF"/>
        <w:kinsoku/>
        <w:wordWrap/>
        <w:overflowPunct/>
        <w:topLinePunct w:val="0"/>
        <w:bidi w:val="0"/>
        <w:snapToGrid/>
        <w:spacing w:before="0" w:beforeAutospacing="0" w:after="0" w:afterAutospacing="0" w:line="440" w:lineRule="exact"/>
        <w:ind w:firstLine="641"/>
        <w:textAlignment w:val="auto"/>
        <w:rPr>
          <w:rFonts w:hint="eastAsia" w:asciiTheme="minorEastAsia" w:hAnsiTheme="minorEastAsia"/>
          <w:color w:val="auto"/>
          <w:sz w:val="28"/>
          <w:szCs w:val="28"/>
          <w:shd w:val="clear" w:color="auto" w:fill="FFFFFF"/>
          <w:lang w:eastAsia="zh-CN"/>
        </w:rPr>
      </w:pPr>
      <w:r>
        <w:rPr>
          <w:rFonts w:hint="eastAsia" w:asciiTheme="minorEastAsia" w:hAnsiTheme="minorEastAsia"/>
          <w:color w:val="auto"/>
          <w:sz w:val="28"/>
          <w:szCs w:val="28"/>
          <w:shd w:val="clear" w:color="auto" w:fill="FFFFFF"/>
        </w:rPr>
        <w:t>2022年度“三公”经费财政拨款支出预算为0万元，支出决算为0万元</w:t>
      </w:r>
      <w:r>
        <w:rPr>
          <w:rFonts w:hint="eastAsia" w:asciiTheme="minorEastAsia" w:hAnsiTheme="minorEastAsia"/>
          <w:color w:val="auto"/>
          <w:sz w:val="28"/>
          <w:szCs w:val="28"/>
          <w:shd w:val="clear" w:color="auto" w:fill="FFFFFF"/>
          <w:lang w:eastAsia="zh-CN"/>
        </w:rPr>
        <w:t>。其中：因公出国（境）费支出预算为0万元，支出决算为0万元，决算数与预算数一致，我单位严格按预算执行决算，因公出国（境）费支出与上年持平。</w:t>
      </w:r>
    </w:p>
    <w:p>
      <w:pPr>
        <w:pStyle w:val="9"/>
        <w:keepNext w:val="0"/>
        <w:keepLines w:val="0"/>
        <w:pageBreakBefore w:val="0"/>
        <w:shd w:val="clear" w:color="auto" w:fill="FFFFFF"/>
        <w:kinsoku/>
        <w:wordWrap/>
        <w:overflowPunct/>
        <w:topLinePunct w:val="0"/>
        <w:bidi w:val="0"/>
        <w:snapToGrid/>
        <w:spacing w:before="0" w:beforeAutospacing="0" w:after="0" w:afterAutospacing="0" w:line="440" w:lineRule="exact"/>
        <w:ind w:firstLine="641"/>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邵阳市北塔区</w:t>
      </w:r>
      <w:r>
        <w:rPr>
          <w:rFonts w:hint="eastAsia" w:asciiTheme="minorEastAsia" w:hAnsiTheme="minorEastAsia" w:eastAsiaTheme="minorEastAsia"/>
          <w:color w:val="auto"/>
          <w:sz w:val="28"/>
          <w:szCs w:val="28"/>
          <w:lang w:val="en-US" w:eastAsia="zh-CN"/>
        </w:rPr>
        <w:t>高撑</w:t>
      </w:r>
      <w:r>
        <w:rPr>
          <w:rFonts w:hint="eastAsia" w:asciiTheme="minorEastAsia" w:hAnsiTheme="minorEastAsia" w:eastAsiaTheme="minorEastAsia"/>
          <w:color w:val="auto"/>
          <w:sz w:val="28"/>
          <w:szCs w:val="28"/>
        </w:rPr>
        <w:t>小学2022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未进行政府采购%，工程采购授予中小企业合同金额占工程支出金额的0%，服务采购授予中小企业合同金额占服务支出金额的0%。</w:t>
      </w:r>
    </w:p>
    <w:p>
      <w:pPr>
        <w:pStyle w:val="9"/>
        <w:keepNext w:val="0"/>
        <w:keepLines w:val="0"/>
        <w:pageBreakBefore w:val="0"/>
        <w:shd w:val="clear" w:color="auto" w:fill="FFFFFF"/>
        <w:kinsoku/>
        <w:wordWrap/>
        <w:overflowPunct/>
        <w:topLinePunct w:val="0"/>
        <w:bidi w:val="0"/>
        <w:snapToGrid/>
        <w:spacing w:before="0" w:beforeAutospacing="0" w:after="0" w:afterAutospacing="0" w:line="440" w:lineRule="exact"/>
        <w:ind w:firstLine="641"/>
        <w:textAlignment w:val="auto"/>
        <w:rPr>
          <w:rFonts w:hint="eastAsia"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2.预决算信息公开情况</w:t>
      </w:r>
    </w:p>
    <w:p>
      <w:pPr>
        <w:pStyle w:val="9"/>
        <w:keepNext w:val="0"/>
        <w:keepLines w:val="0"/>
        <w:pageBreakBefore w:val="0"/>
        <w:shd w:val="clear" w:color="auto" w:fill="FFFFFF"/>
        <w:kinsoku/>
        <w:wordWrap/>
        <w:overflowPunct/>
        <w:topLinePunct w:val="0"/>
        <w:bidi w:val="0"/>
        <w:snapToGrid/>
        <w:spacing w:before="0" w:beforeAutospacing="0" w:after="0" w:afterAutospacing="0" w:line="440" w:lineRule="exact"/>
        <w:ind w:firstLine="641"/>
        <w:textAlignment w:val="auto"/>
        <w:rPr>
          <w:rFonts w:hint="eastAsia" w:cs="宋体" w:asciiTheme="minorEastAsia" w:hAnsiTheme="minorEastAsia"/>
          <w:color w:val="auto"/>
          <w:kern w:val="2"/>
          <w:sz w:val="28"/>
          <w:szCs w:val="28"/>
          <w:shd w:val="clear" w:color="auto" w:fill="FFFFFF"/>
        </w:rPr>
      </w:pPr>
      <w:r>
        <w:rPr>
          <w:rFonts w:hint="eastAsia" w:cs="宋体" w:asciiTheme="minorEastAsia" w:hAnsiTheme="minorEastAsia"/>
          <w:color w:val="auto"/>
          <w:kern w:val="2"/>
          <w:sz w:val="28"/>
          <w:szCs w:val="28"/>
          <w:shd w:val="clear" w:color="auto" w:fill="FFFFFF"/>
        </w:rPr>
        <w:t>邵阳市北塔区</w:t>
      </w:r>
      <w:r>
        <w:rPr>
          <w:rFonts w:hint="eastAsia" w:cs="宋体" w:asciiTheme="minorEastAsia" w:hAnsiTheme="minorEastAsia"/>
          <w:color w:val="auto"/>
          <w:kern w:val="2"/>
          <w:sz w:val="28"/>
          <w:szCs w:val="28"/>
          <w:shd w:val="clear" w:color="auto" w:fill="FFFFFF"/>
          <w:lang w:val="en-US" w:eastAsia="zh-CN"/>
        </w:rPr>
        <w:t>高撑</w:t>
      </w:r>
      <w:r>
        <w:rPr>
          <w:rFonts w:hint="eastAsia" w:cs="宋体" w:asciiTheme="minorEastAsia" w:hAnsiTheme="minorEastAsia"/>
          <w:color w:val="auto"/>
          <w:kern w:val="2"/>
          <w:sz w:val="28"/>
          <w:szCs w:val="28"/>
          <w:shd w:val="clear" w:color="auto" w:fill="FFFFFF"/>
        </w:rPr>
        <w:t>小学及时在区政府统一平台公开了部门预算、决算和绩效目标、绩效自评报告、“三公经费”等信息，接受群众和社会监督。</w:t>
      </w:r>
    </w:p>
    <w:p>
      <w:pPr>
        <w:pStyle w:val="9"/>
        <w:keepNext w:val="0"/>
        <w:keepLines w:val="0"/>
        <w:pageBreakBefore w:val="0"/>
        <w:shd w:val="clear" w:color="auto" w:fill="FFFFFF"/>
        <w:kinsoku/>
        <w:wordWrap/>
        <w:overflowPunct/>
        <w:topLinePunct w:val="0"/>
        <w:bidi w:val="0"/>
        <w:snapToGrid/>
        <w:spacing w:before="0" w:beforeAutospacing="0" w:after="0" w:afterAutospacing="0" w:line="440" w:lineRule="exact"/>
        <w:ind w:firstLine="641"/>
        <w:textAlignment w:val="auto"/>
        <w:rPr>
          <w:rFonts w:hint="eastAsia"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3.资产管理情况</w:t>
      </w:r>
    </w:p>
    <w:p>
      <w:pPr>
        <w:pStyle w:val="9"/>
        <w:keepNext w:val="0"/>
        <w:keepLines w:val="0"/>
        <w:pageBreakBefore w:val="0"/>
        <w:shd w:val="clear" w:color="auto" w:fill="FFFFFF"/>
        <w:kinsoku/>
        <w:wordWrap/>
        <w:overflowPunct/>
        <w:topLinePunct w:val="0"/>
        <w:bidi w:val="0"/>
        <w:snapToGrid/>
        <w:spacing w:before="0" w:beforeAutospacing="0" w:after="0" w:afterAutospacing="0" w:line="440" w:lineRule="exact"/>
        <w:ind w:firstLine="641"/>
        <w:textAlignment w:val="auto"/>
        <w:rPr>
          <w:rFonts w:hint="eastAsia" w:cs="宋体" w:asciiTheme="minorEastAsia" w:hAnsiTheme="minorEastAsia"/>
          <w:bCs/>
          <w:color w:val="auto"/>
          <w:sz w:val="28"/>
          <w:szCs w:val="28"/>
          <w:shd w:val="clear" w:color="auto" w:fill="FFFFFF"/>
        </w:rPr>
      </w:pPr>
      <w:r>
        <w:rPr>
          <w:rFonts w:hint="eastAsia" w:cs="宋体" w:asciiTheme="minorEastAsia" w:hAnsiTheme="minorEastAsia"/>
          <w:bCs/>
          <w:color w:val="auto"/>
          <w:sz w:val="28"/>
          <w:szCs w:val="28"/>
          <w:shd w:val="clear" w:color="auto" w:fill="FFFFFF"/>
        </w:rPr>
        <w:t>我</w:t>
      </w:r>
      <w:r>
        <w:rPr>
          <w:rFonts w:hint="eastAsia" w:cs="宋体" w:asciiTheme="minorEastAsia" w:hAnsiTheme="minorEastAsia"/>
          <w:bCs/>
          <w:color w:val="auto"/>
          <w:sz w:val="28"/>
          <w:szCs w:val="28"/>
          <w:shd w:val="clear" w:color="auto" w:fill="FFFFFF"/>
          <w:lang w:eastAsia="zh-CN"/>
        </w:rPr>
        <w:t>校</w:t>
      </w:r>
      <w:r>
        <w:rPr>
          <w:rFonts w:hint="eastAsia" w:cs="宋体" w:asciiTheme="minorEastAsia" w:hAnsiTheme="minorEastAsia"/>
          <w:bCs/>
          <w:color w:val="auto"/>
          <w:sz w:val="28"/>
          <w:szCs w:val="28"/>
          <w:shd w:val="clear" w:color="auto" w:fill="FFFFFF"/>
        </w:rPr>
        <w:t>资产管理由</w:t>
      </w:r>
      <w:r>
        <w:rPr>
          <w:rFonts w:hint="eastAsia" w:cs="宋体" w:asciiTheme="minorEastAsia" w:hAnsiTheme="minorEastAsia"/>
          <w:bCs/>
          <w:color w:val="auto"/>
          <w:sz w:val="28"/>
          <w:szCs w:val="28"/>
          <w:shd w:val="clear" w:color="auto" w:fill="FFFFFF"/>
          <w:lang w:eastAsia="zh-CN"/>
        </w:rPr>
        <w:t>总务室</w:t>
      </w:r>
      <w:r>
        <w:rPr>
          <w:rFonts w:hint="eastAsia" w:cs="宋体" w:asciiTheme="minorEastAsia" w:hAnsiTheme="minorEastAsia"/>
          <w:bCs/>
          <w:color w:val="auto"/>
          <w:sz w:val="28"/>
          <w:szCs w:val="28"/>
          <w:shd w:val="clear" w:color="auto" w:fill="FFFFFF"/>
        </w:rPr>
        <w:t>负责，资产采购按程序实行报批采购，统一在政采云平台下单，采购后登记入账，录入资产信息系统，再派发到相关</w:t>
      </w:r>
      <w:r>
        <w:rPr>
          <w:rFonts w:hint="eastAsia" w:cs="宋体" w:asciiTheme="minorEastAsia" w:hAnsiTheme="minorEastAsia"/>
          <w:bCs/>
          <w:color w:val="auto"/>
          <w:sz w:val="28"/>
          <w:szCs w:val="28"/>
          <w:shd w:val="clear" w:color="auto" w:fill="FFFFFF"/>
          <w:lang w:eastAsia="zh-CN"/>
        </w:rPr>
        <w:t>部门负责人</w:t>
      </w:r>
      <w:r>
        <w:rPr>
          <w:rFonts w:hint="eastAsia" w:cs="宋体" w:asciiTheme="minorEastAsia" w:hAnsiTheme="minorEastAsia"/>
          <w:bCs/>
          <w:color w:val="auto"/>
          <w:sz w:val="28"/>
          <w:szCs w:val="28"/>
          <w:shd w:val="clear" w:color="auto" w:fill="FFFFFF"/>
        </w:rPr>
        <w:t>。一是我</w:t>
      </w:r>
      <w:r>
        <w:rPr>
          <w:rFonts w:hint="eastAsia" w:cs="宋体" w:asciiTheme="minorEastAsia" w:hAnsiTheme="minorEastAsia"/>
          <w:bCs/>
          <w:color w:val="auto"/>
          <w:sz w:val="28"/>
          <w:szCs w:val="28"/>
          <w:shd w:val="clear" w:color="auto" w:fill="FFFFFF"/>
          <w:lang w:eastAsia="zh-CN"/>
        </w:rPr>
        <w:t>校</w:t>
      </w:r>
      <w:r>
        <w:rPr>
          <w:rFonts w:hint="eastAsia" w:cs="宋体" w:asciiTheme="minorEastAsia" w:hAnsiTheme="minorEastAsia"/>
          <w:bCs/>
          <w:color w:val="auto"/>
          <w:sz w:val="28"/>
          <w:szCs w:val="28"/>
          <w:shd w:val="clear" w:color="auto" w:fill="FFFFFF"/>
        </w:rPr>
        <w:t>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keepNext w:val="0"/>
        <w:keepLines w:val="0"/>
        <w:pageBreakBefore w:val="0"/>
        <w:kinsoku/>
        <w:wordWrap/>
        <w:overflowPunct/>
        <w:topLinePunct w:val="0"/>
        <w:bidi w:val="0"/>
        <w:snapToGrid/>
        <w:spacing w:line="440" w:lineRule="exact"/>
        <w:ind w:firstLine="562" w:firstLineChars="200"/>
        <w:jc w:val="left"/>
        <w:textAlignment w:val="auto"/>
        <w:rPr>
          <w:rFonts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（二）职责覆行和主要绩效情况</w:t>
      </w:r>
    </w:p>
    <w:p>
      <w:pPr>
        <w:keepNext w:val="0"/>
        <w:keepLines w:val="0"/>
        <w:pageBreakBefore w:val="0"/>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我校以党建为统领，本着树形象、寻优质、创和谐、促发展的工作思路；求实、求趣、求新、求精的工作作风；规划详尽、落实到位的工作方法；尽心、精心、静心、倾心的工作态度，在疫情期间和后疫情期，我校根据上级有关指示精神，认真做好各项工作，现总结如下：</w:t>
      </w:r>
    </w:p>
    <w:p>
      <w:pPr>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一、党建工作</w:t>
      </w:r>
    </w:p>
    <w:p>
      <w:pPr>
        <w:pStyle w:val="5"/>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default"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今年以来，高撑小学党支部在上级党委领导下，以习近平新时代中国特色社会主义思想为指导，深入学习贯彻党的十九大和十九届历次全会精神，充分发挥学校党支部的战斗堡垒作用和共产党员的先锋模范作用，深入开展“两学一做”学习教育，严格执行“三会一课”制度，推进党员党史学习常态化。全年党支部支委会讨论13次，开展主题党日活动11次，组织意识形态专题学习3次，召开了2022年度基层党组织组织生活会和民主评议党员党员会议。书记上党课2次。由于党支部支委班子不齐，经上级党委同意，3月进行了党支部支委补选会议，选举了新的组织委员和宣传委员。</w:t>
      </w:r>
    </w:p>
    <w:p>
      <w:pPr>
        <w:keepNext w:val="0"/>
        <w:keepLines w:val="0"/>
        <w:pageBreakBefore w:val="0"/>
        <w:numPr>
          <w:ilvl w:val="0"/>
          <w:numId w:val="0"/>
        </w:numPr>
        <w:kinsoku/>
        <w:wordWrap/>
        <w:overflowPunct/>
        <w:topLinePunct w:val="0"/>
        <w:bidi w:val="0"/>
        <w:snapToGrid/>
        <w:spacing w:line="440" w:lineRule="exact"/>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（二）疫情防控</w:t>
      </w:r>
    </w:p>
    <w:p>
      <w:pPr>
        <w:keepNext w:val="0"/>
        <w:keepLines w:val="0"/>
        <w:pageBreakBefore w:val="0"/>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学校制定完善</w:t>
      </w:r>
      <w:bookmarkStart w:id="0" w:name="_GoBack"/>
      <w:bookmarkEnd w:id="0"/>
      <w:r>
        <w:rPr>
          <w:rFonts w:hint="eastAsia" w:eastAsia="宋体" w:cs="宋体" w:asciiTheme="minorEastAsia" w:hAnsiTheme="minorEastAsia"/>
          <w:bCs/>
          <w:color w:val="auto"/>
          <w:kern w:val="0"/>
          <w:sz w:val="28"/>
          <w:szCs w:val="28"/>
          <w:shd w:val="clear" w:color="auto" w:fill="FFFFFF"/>
          <w:lang w:val="en-US" w:eastAsia="zh-CN" w:bidi="ar-SA"/>
        </w:rPr>
        <w:t>了开学后校园疫情防控工作方案、应急处置预案、师生健康防护手册，加强健康监测、信息摸排、校园安全、环境整治、物资储备等工作，开展防控知识培训、应急处置模拟演练等，提升了学校突发事件的处置能力。</w:t>
      </w:r>
    </w:p>
    <w:p>
      <w:pPr>
        <w:keepNext w:val="0"/>
        <w:keepLines w:val="0"/>
        <w:pageBreakBefore w:val="0"/>
        <w:kinsoku/>
        <w:wordWrap/>
        <w:overflowPunct/>
        <w:topLinePunct w:val="0"/>
        <w:bidi w:val="0"/>
        <w:snapToGrid/>
        <w:spacing w:line="440" w:lineRule="exact"/>
        <w:ind w:firstLine="560" w:firstLineChars="200"/>
        <w:textAlignment w:val="auto"/>
        <w:rPr>
          <w:rFonts w:hint="default"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1.学校师生疫苗应接尽接。发放致家长一封信3000余份，疫情防控宣传知识知晓率达100%。</w:t>
      </w:r>
    </w:p>
    <w:p>
      <w:pPr>
        <w:keepNext w:val="0"/>
        <w:keepLines w:val="0"/>
        <w:pageBreakBefore w:val="0"/>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2.严格校园管理整治。我校严格执行校园封闭式管理；进行体温检测、出示健康码、行程码，登记后方可入校；教师进入校门一律检测体温，并填好记录，扫场所码；学生入校前，学校已开展校园环境卫生整治和全面消毒工作。</w:t>
      </w:r>
    </w:p>
    <w:p>
      <w:pPr>
        <w:keepNext w:val="0"/>
        <w:keepLines w:val="0"/>
        <w:pageBreakBefore w:val="0"/>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3.抓好防疫物资保障。做好开学准备，学校已提前配备了口罩15000个、体温枪80把、消毒液10件、洗手液80瓶、防护服25件、消毒专用喷雾器3个等必要的防疫物资。</w:t>
      </w:r>
    </w:p>
    <w:p>
      <w:pPr>
        <w:pStyle w:val="5"/>
        <w:keepNext w:val="0"/>
        <w:keepLines w:val="0"/>
        <w:pageBreakBefore w:val="0"/>
        <w:kinsoku/>
        <w:wordWrap/>
        <w:overflowPunct/>
        <w:topLinePunct w:val="0"/>
        <w:bidi w:val="0"/>
        <w:snapToGrid/>
        <w:spacing w:line="440" w:lineRule="exact"/>
        <w:ind w:left="0" w:leftChars="0" w:firstLine="0" w:firstLineChars="0"/>
        <w:textAlignment w:val="auto"/>
        <w:rPr>
          <w:rFonts w:hint="default"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 xml:space="preserve">   4.2022年4月18日我市突发新冠疫情，我校启动疫情防控应急预案，全面配合疫情防控统一部署，组织教师积极参加志愿服务20人次。复学前，学校组织教职工对校园进行全面消杀，并做好复学准备工作。</w:t>
      </w:r>
    </w:p>
    <w:p>
      <w:pPr>
        <w:keepNext w:val="0"/>
        <w:keepLines w:val="0"/>
        <w:pageBreakBefore w:val="0"/>
        <w:kinsoku/>
        <w:wordWrap/>
        <w:overflowPunct/>
        <w:topLinePunct w:val="0"/>
        <w:bidi w:val="0"/>
        <w:snapToGrid/>
        <w:spacing w:line="440" w:lineRule="exact"/>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(三)教育教学</w:t>
      </w:r>
    </w:p>
    <w:p>
      <w:pPr>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1.组织语文教师参加全区“优化作业设计”竞赛，语文组报送8篇作业设计，分别获得特等奖1名，一等奖3名，二等奖4名。报送1堂英语微课，获区级2等奖。报送1堂数学优质观摩录像课、一堂数学教学录像课、一堂数学微视频讲座，6篇小学数学作业设计、5篇数学论文。</w:t>
      </w:r>
    </w:p>
    <w:p>
      <w:pPr>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2.常态化开展“网络联校”教学活动，学校通过直播在线课程将本校12名骨干教师以及青年教学能手的优质课堂与联盟校进行分享。“校务成员”进课堂落实到人，帮助我校青年教师快速成长。“青蓝结对”10组，每组3人。另外，还开展“数学优质观摩课”活动 ，组织10名教师进行赛课，做到节节有指导，节节有收获。</w:t>
      </w:r>
    </w:p>
    <w:p>
      <w:pPr>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3. 5月25、26日我校组织四年级30名测试生和13名教师参加了国家义务教育质量监测。我校高度负责、全力配合、规范管理、认真落实、严格执行，确保本次质量监测的各项工作，每个环节都能按上级要求高质量完成。</w:t>
      </w:r>
    </w:p>
    <w:p>
      <w:pPr>
        <w:keepNext w:val="0"/>
        <w:keepLines w:val="0"/>
        <w:pageBreakBefore w:val="0"/>
        <w:numPr>
          <w:ilvl w:val="0"/>
          <w:numId w:val="0"/>
        </w:numPr>
        <w:kinsoku/>
        <w:wordWrap/>
        <w:overflowPunct/>
        <w:topLinePunct w:val="0"/>
        <w:bidi w:val="0"/>
        <w:snapToGrid/>
        <w:spacing w:line="440" w:lineRule="exact"/>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(四)师德师风建设</w:t>
      </w:r>
    </w:p>
    <w:p>
      <w:pPr>
        <w:keepNext w:val="0"/>
        <w:keepLines w:val="0"/>
        <w:pageBreakBefore w:val="0"/>
        <w:kinsoku/>
        <w:wordWrap/>
        <w:overflowPunct/>
        <w:topLinePunct w:val="0"/>
        <w:bidi w:val="0"/>
        <w:snapToGrid/>
        <w:spacing w:line="440" w:lineRule="exact"/>
        <w:ind w:firstLine="560" w:firstLineChars="200"/>
        <w:textAlignment w:val="auto"/>
        <w:rPr>
          <w:rFonts w:hint="default"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本学期，我校深入开展师德师风自查自纠活动，学习麻小娟典型事迹，学习“零容忍”，“教师从事校外违规培训”治理。全部教师签订“违规从事校外培训”承诺书，发放“理性选择校外培训”致家长一封信1500余份。</w:t>
      </w:r>
    </w:p>
    <w:p>
      <w:pPr>
        <w:keepNext w:val="0"/>
        <w:keepLines w:val="0"/>
        <w:pageBreakBefore w:val="0"/>
        <w:kinsoku/>
        <w:wordWrap/>
        <w:overflowPunct/>
        <w:topLinePunct w:val="0"/>
        <w:bidi w:val="0"/>
        <w:snapToGrid/>
        <w:spacing w:line="440" w:lineRule="exact"/>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(五)少先队及创文工作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1.本年度加强卫生、两操、安全、纪律、文明礼仪等评比项目的抽查力度，努力营造环境整洁、精神饱满的校容校貌。继续实行学生会干部值日制度，每学期对学生会干部进行评选，并大力进行表彰。</w:t>
      </w:r>
    </w:p>
    <w:p>
      <w:pPr>
        <w:keepNext w:val="0"/>
        <w:keepLines w:val="0"/>
        <w:pageBreakBefore w:val="0"/>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三月份举行了开学典礼、开展防疫、学雷锋志愿服务、共享蓝天一元捐活动；四月份开展清明节祭英烈、防疫、安全黑板报评比活动；五月份开展了劳动美实践活动、文化墙评比活动；六月份开展“喜迎二十大，争做好队员”文艺汇演活动。</w:t>
      </w:r>
      <w:r>
        <w:rPr>
          <w:rFonts w:hint="eastAsia" w:asciiTheme="minorEastAsia" w:hAnsiTheme="minorEastAsia" w:eastAsiaTheme="minorEastAsia" w:cstheme="minorEastAsia"/>
          <w:color w:val="auto"/>
          <w:sz w:val="28"/>
          <w:szCs w:val="28"/>
        </w:rPr>
        <w:t>九月份</w:t>
      </w:r>
      <w:r>
        <w:rPr>
          <w:rFonts w:hint="eastAsia" w:asciiTheme="minorEastAsia" w:hAnsiTheme="minorEastAsia" w:cstheme="minorEastAsia"/>
          <w:color w:val="auto"/>
          <w:sz w:val="28"/>
          <w:szCs w:val="28"/>
          <w:lang w:val="en-US" w:eastAsia="zh-CN"/>
        </w:rPr>
        <w:t>举行</w:t>
      </w:r>
      <w:r>
        <w:rPr>
          <w:rFonts w:hint="eastAsia" w:asciiTheme="minorEastAsia" w:hAnsiTheme="minorEastAsia" w:eastAsiaTheme="minorEastAsia" w:cstheme="minorEastAsia"/>
          <w:color w:val="auto"/>
          <w:sz w:val="28"/>
          <w:szCs w:val="28"/>
        </w:rPr>
        <w:t>开学典礼及一年级新生入学仪式；十月份开展向国旗敬礼活动</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建队日举行入队仪式； 十一月份</w:t>
      </w:r>
      <w:r>
        <w:rPr>
          <w:rFonts w:hint="eastAsia" w:asciiTheme="minorEastAsia" w:hAnsiTheme="minorEastAsia" w:cstheme="minorEastAsia"/>
          <w:color w:val="auto"/>
          <w:sz w:val="28"/>
          <w:szCs w:val="28"/>
          <w:lang w:val="en-US" w:eastAsia="zh-CN"/>
        </w:rPr>
        <w:t>开展</w:t>
      </w:r>
      <w:r>
        <w:rPr>
          <w:rFonts w:hint="eastAsia" w:asciiTheme="minorEastAsia" w:hAnsiTheme="minorEastAsia" w:eastAsiaTheme="minorEastAsia" w:cstheme="minorEastAsia"/>
          <w:color w:val="auto"/>
          <w:sz w:val="28"/>
          <w:szCs w:val="28"/>
        </w:rPr>
        <w:t>感恩教育活动</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鼓号队活动</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 xml:space="preserve"> 十二月</w:t>
      </w:r>
      <w:r>
        <w:rPr>
          <w:rFonts w:hint="eastAsia" w:asciiTheme="minorEastAsia" w:hAnsiTheme="minorEastAsia" w:cstheme="minorEastAsia"/>
          <w:color w:val="auto"/>
          <w:sz w:val="28"/>
          <w:szCs w:val="28"/>
          <w:lang w:val="en-US" w:eastAsia="zh-CN"/>
        </w:rPr>
        <w:t>份举行</w:t>
      </w:r>
      <w:r>
        <w:rPr>
          <w:rFonts w:hint="eastAsia" w:asciiTheme="minorEastAsia" w:hAnsiTheme="minorEastAsia" w:eastAsiaTheme="minorEastAsia" w:cstheme="minorEastAsia"/>
          <w:color w:val="auto"/>
          <w:sz w:val="28"/>
          <w:szCs w:val="28"/>
        </w:rPr>
        <w:t>秋季运动会</w:t>
      </w:r>
      <w:r>
        <w:rPr>
          <w:rFonts w:hint="eastAsia" w:asciiTheme="minorEastAsia" w:hAnsiTheme="minorEastAsia" w:cstheme="minorEastAsia"/>
          <w:color w:val="auto"/>
          <w:sz w:val="28"/>
          <w:szCs w:val="28"/>
          <w:lang w:eastAsia="zh-CN"/>
        </w:rPr>
        <w:t>。</w:t>
      </w:r>
      <w:r>
        <w:rPr>
          <w:rFonts w:hint="eastAsia" w:eastAsia="宋体" w:cs="宋体" w:asciiTheme="minorEastAsia" w:hAnsiTheme="minorEastAsia"/>
          <w:bCs/>
          <w:color w:val="auto"/>
          <w:kern w:val="0"/>
          <w:sz w:val="28"/>
          <w:szCs w:val="28"/>
          <w:shd w:val="clear" w:color="auto" w:fill="FFFFFF"/>
          <w:lang w:val="en-US" w:eastAsia="zh-CN" w:bidi="ar-SA"/>
        </w:rPr>
        <w:t xml:space="preserve"> </w:t>
      </w:r>
    </w:p>
    <w:p>
      <w:pPr>
        <w:keepNext w:val="0"/>
        <w:keepLines w:val="0"/>
        <w:pageBreakBefore w:val="0"/>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ascii="宋体" w:hAnsi="宋体" w:eastAsia="宋体" w:cs="宋体"/>
          <w:sz w:val="28"/>
          <w:szCs w:val="28"/>
        </w:rPr>
        <w:t>我校2020年成功申报省级文明校园，现正在申报国家级文明校园。为了使我校认真、扎实、全面、有效的开展创文工作，成立了“创文工作领导小组”，校长亲自抓，协调和安排整个学校的创文工作，使各项任务层层落实，任务明确。</w:t>
      </w:r>
    </w:p>
    <w:p>
      <w:pPr>
        <w:keepNext w:val="0"/>
        <w:keepLines w:val="0"/>
        <w:pageBreakBefore w:val="0"/>
        <w:kinsoku/>
        <w:wordWrap/>
        <w:overflowPunct/>
        <w:topLinePunct w:val="0"/>
        <w:bidi w:val="0"/>
        <w:snapToGrid/>
        <w:spacing w:line="440" w:lineRule="exact"/>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(六)政教工作</w:t>
      </w:r>
    </w:p>
    <w:p>
      <w:pPr>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1.一年来，各班主任充分利用班会课，对学生的行为习惯加以正面宣扬和教化，如《安全开学第一课》、《交通安全》、《崇尚科学，远离邪教》、《全国安全教育日》、《防溺水主题班会》、《全国防灾减灾日》、《安全生产月》、《珍爱生命，远离毒品》等。</w:t>
      </w:r>
    </w:p>
    <w:p>
      <w:pPr>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2.法制副校长来我校进行《未成年人保护法》讲座、《未成年人性侵教育》讲座、《珍爱生命、预防溺水》安全教育。安全副校长彭四满委员来我校对全体师生进行防溺水安全教育讲座。</w:t>
      </w:r>
    </w:p>
    <w:p>
      <w:pPr>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3.我校对校园周边及校内的危房排查，在唐胜利校长及彭四满委员的带领下，多次进行排查，提出相对应的解决办法，并以文字形式向办事处和区教育局提交了报告。</w:t>
      </w:r>
    </w:p>
    <w:p>
      <w:pPr>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4.我校高度重视防溺水工作，唐胜利校长亲自给3年级—6年级的学生上防溺水安全教育课，蔡辉雄副校长给1年级—2年级的学生上防溺水安全教育课。并安排校务成员及教师对学生上下学路途水域进行排查，形成资料上交教育局。</w:t>
      </w:r>
    </w:p>
    <w:p>
      <w:pPr>
        <w:keepNext w:val="0"/>
        <w:keepLines w:val="0"/>
        <w:pageBreakBefore w:val="0"/>
        <w:kinsoku/>
        <w:wordWrap/>
        <w:overflowPunct/>
        <w:topLinePunct w:val="0"/>
        <w:bidi w:val="0"/>
        <w:snapToGrid/>
        <w:spacing w:line="440" w:lineRule="exact"/>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(七)科技特色教育工作</w:t>
      </w:r>
    </w:p>
    <w:p>
      <w:pPr>
        <w:keepNext w:val="0"/>
        <w:keepLines w:val="0"/>
        <w:pageBreakBefore w:val="0"/>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1.根据市教育局“科普进校园”的文件精神，结合我校实际，在全校开展了“观看天宫第二课堂”科普活动；组织全体师生、家长参与青少年科普活动研究中心举办的中小学人工智能科普教育线上直播课；组织了全体师生和家长参与湖南省教育厅、湖南省气象厅举办的气象水文知识答题活动，超过80%的师生获得了《综合实践活动证书》；组织师生参加邵阳市第43届青少年科技创新大赛。唐胜利校长的《第一届科技节活动方案》获科教方案类三等奖；颜运老师的《人人动手，妆点绿色校园》获科教方案类二等奖；我校四年级科技兴趣小组开展的《走进园林--探索树茎的分枝特征》、五年级科技兴趣小组开展的《探究影响空气动力火箭发射距离的因素》均获科技实践活动类二等奖并送省参赛；在创新成果方面，王敏、曾丽、唐胜利老师辅导的作品《手动自制吸尘器》获三等奖；黄捷、向娴老师辅导的作品《口罩面具》获二等奖；黄捷、黄露、唐胜利老师辅导的《锁定防堵钥匙》获一等奖并送省参赛；王秀秀、杨红芳、李婕老师辅导的作品《滴水成冰》获科学影像类一等奖并送省参赛；朱湘容、唐娜、陈葵爱老师辅导的《观看水中的微生物》获科学影像类二等奖；我校荣获“优秀科技教育创新学校”荣誉称号。</w:t>
      </w:r>
    </w:p>
    <w:p>
      <w:pPr>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2.组织学生开展天文观测活动，用天文望远镜拉进孩子们与太空的距离，极大地激发了学生学习天文、了解宇宙的热情；组织学生观察校园里的植物，重点观察叶片，并手绘植物叶片的形态，让孩子们用科学的眼光观察大自然；市气象局领导在我校开展“应对恶劣天气”气象科普知识讲座。</w:t>
      </w:r>
    </w:p>
    <w:p>
      <w:pPr>
        <w:keepNext w:val="0"/>
        <w:keepLines w:val="0"/>
        <w:pageBreakBefore w:val="0"/>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3.应区科协、区团委的邀请，颜运老师、刘倩老师带领学生在六一儿童节当天给留守儿童带来了一堂精彩的科普教育课和无人机表演；我校颜岚清、曾嘉禾、康宸、陈翰麟、江宇航5位同学代表学校参加市科协举办的机器人竞赛。</w:t>
      </w:r>
    </w:p>
    <w:p>
      <w:pPr>
        <w:pStyle w:val="5"/>
        <w:keepNext w:val="0"/>
        <w:keepLines w:val="0"/>
        <w:pageBreakBefore w:val="0"/>
        <w:numPr>
          <w:ilvl w:val="0"/>
          <w:numId w:val="0"/>
        </w:numPr>
        <w:kinsoku/>
        <w:wordWrap/>
        <w:overflowPunct/>
        <w:topLinePunct w:val="0"/>
        <w:bidi w:val="0"/>
        <w:snapToGrid/>
        <w:spacing w:line="440" w:lineRule="exact"/>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（八）、脱贫攻坚</w:t>
      </w:r>
    </w:p>
    <w:p>
      <w:pPr>
        <w:pStyle w:val="5"/>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学校成立了“学校学生资助工作组织机构”，并明确了各人员的职责，制订并上墙了“资助档案管理制度”、“贫困生资助工作责任追究制度”。组织教职工学习并严格执行上级下发的精准扶贫相关文件、通知。采取多种方式摸底核实扶贫对象，并收集相关资料，建档立卡。所有扶贫对象上报了“全国学生资助管理信息系统”和湖南省“一单式”扶贫系统。严格落实好了扶贫资金发放，组织教师开展了扶贫“走家串户大家访”活动，确保了百分之百的扶贫对象走访率。学校组织开展了“感恩资助，助梦飞翔”的手抄报和演讲比赛。严格落实好了扶贫资金资助发放，2022年度资助贫困生179人，累计发放资助金44750元。还对3名残疾学生开展送教上门。</w:t>
      </w:r>
    </w:p>
    <w:p>
      <w:pPr>
        <w:keepNext w:val="0"/>
        <w:keepLines w:val="0"/>
        <w:pageBreakBefore w:val="0"/>
        <w:kinsoku/>
        <w:wordWrap/>
        <w:overflowPunct/>
        <w:topLinePunct w:val="0"/>
        <w:bidi w:val="0"/>
        <w:snapToGrid/>
        <w:spacing w:line="440" w:lineRule="exact"/>
        <w:jc w:val="both"/>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（九）、学校食堂管理工作</w:t>
      </w:r>
    </w:p>
    <w:p>
      <w:pPr>
        <w:keepNext w:val="0"/>
        <w:keepLines w:val="0"/>
        <w:pageBreakBefore w:val="0"/>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学校食堂制定了完善的切实可行的制度，并上墙公示。所有工作人员都进行了体质健康检测达到了合格标准。开学前期食堂工作人员都进行了岗位培训、食品安全培训，均达到了合格标准。学生搭歺收费标准严格按照发改委的批复标准执行。食堂帐目做到日清月结，校务会及教师代表参与监管。由学校领导，班主任老师，家长委员会代表召开了专题会议，组成了膳食委员会。食品采购实行监管，所有校务成员及教代会代表参与每日验货、过称、监管，确保食品的品质、安全。食堂大宗物品实行定点采购。并与商家签订了采购合同，并及时索取相关的票证。每日实行领导、教师赔餐制度，按照分配每日到相关的班级进行陪餐。学校充分利用周会、班会、手抄报等多种形式对师生开展食品安全教育。</w:t>
      </w:r>
    </w:p>
    <w:p>
      <w:pPr>
        <w:keepNext w:val="0"/>
        <w:keepLines w:val="0"/>
        <w:pageBreakBefore w:val="0"/>
        <w:kinsoku/>
        <w:wordWrap/>
        <w:overflowPunct/>
        <w:topLinePunct w:val="0"/>
        <w:bidi w:val="0"/>
        <w:snapToGrid/>
        <w:spacing w:line="440" w:lineRule="exact"/>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（十）学校收费工作</w:t>
      </w:r>
    </w:p>
    <w:p>
      <w:pPr>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严格按照省、市、区下发的相关学校收费文件、通知进行收费，不乱收费，不搭车收费。组织教职工认真学习师德师风及相关收费文件、通知、精神，并层层签订教辅征订、收费补课等责任状。组织召开家长会向家长宣传学校各项收费政策。严格按照相关文件要求完成教材“一科一辅”征订工作，严格执行征订工作的“五限”要求。所有收费项目在校园醒目位置设立收费公示。</w:t>
      </w:r>
    </w:p>
    <w:p>
      <w:pPr>
        <w:keepNext w:val="0"/>
        <w:keepLines w:val="0"/>
        <w:pageBreakBefore w:val="0"/>
        <w:numPr>
          <w:ilvl w:val="0"/>
          <w:numId w:val="0"/>
        </w:numPr>
        <w:kinsoku/>
        <w:wordWrap/>
        <w:overflowPunct/>
        <w:topLinePunct w:val="0"/>
        <w:bidi w:val="0"/>
        <w:snapToGrid/>
        <w:spacing w:line="440" w:lineRule="exact"/>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（十一）后勤财务管理工作</w:t>
      </w:r>
    </w:p>
    <w:p>
      <w:pPr>
        <w:keepNext w:val="0"/>
        <w:keepLines w:val="0"/>
        <w:pageBreakBefore w:val="0"/>
        <w:numPr>
          <w:ilvl w:val="0"/>
          <w:numId w:val="0"/>
        </w:numPr>
        <w:kinsoku/>
        <w:wordWrap/>
        <w:overflowPunct/>
        <w:topLinePunct w:val="0"/>
        <w:bidi w:val="0"/>
        <w:snapToGrid/>
        <w:spacing w:line="440" w:lineRule="exact"/>
        <w:ind w:firstLine="560" w:firstLineChars="200"/>
        <w:textAlignment w:val="auto"/>
        <w:rPr>
          <w:rFonts w:hint="eastAsia" w:eastAsia="宋体" w:cs="宋体" w:asciiTheme="minorEastAsia" w:hAnsiTheme="minorEastAsia"/>
          <w:bCs/>
          <w:color w:val="auto"/>
          <w:kern w:val="0"/>
          <w:sz w:val="28"/>
          <w:szCs w:val="28"/>
          <w:shd w:val="clear" w:color="auto" w:fill="FFFFFF"/>
          <w:lang w:val="en-US" w:eastAsia="zh-CN" w:bidi="ar-SA"/>
        </w:rPr>
      </w:pPr>
      <w:r>
        <w:rPr>
          <w:rFonts w:hint="eastAsia" w:eastAsia="宋体" w:cs="宋体" w:asciiTheme="minorEastAsia" w:hAnsiTheme="minorEastAsia"/>
          <w:bCs/>
          <w:color w:val="auto"/>
          <w:kern w:val="0"/>
          <w:sz w:val="28"/>
          <w:szCs w:val="28"/>
          <w:shd w:val="clear" w:color="auto" w:fill="FFFFFF"/>
          <w:lang w:val="en-US" w:eastAsia="zh-CN" w:bidi="ar-SA"/>
        </w:rPr>
        <w:t>我校严格执行上级的财务制度，公用经费使用合理，做到收支两条线，财务公开、集中会审，定期召开理财小组开会研讨大宗采购政府手续，完善报账手续、有经手、证明、验货、领导审批。按时完成每月资产月报和债务监测平台数据的上报工作。2022年初，学校进行经费预算和“五险一金”财务数据上报。提高服务意识，完成每月职工工资核对，五险一金的日常管理，教师日常办公用品采购及时，较好的保障了教学工作的顺利进行。后勤部门加强校产管理，制定校产管理制度，建立固定资产账目。各部门物品实行借用登记制度，上半年进行盘底。合理使用水、电、气等高耗品，树立节约意识。加强学生教育，保护学校园花草树木及公共设施，一年来，校园美化工作成效明显。</w:t>
      </w:r>
    </w:p>
    <w:p>
      <w:pPr>
        <w:keepNext w:val="0"/>
        <w:keepLines w:val="0"/>
        <w:pageBreakBefore w:val="0"/>
        <w:kinsoku/>
        <w:wordWrap/>
        <w:overflowPunct/>
        <w:topLinePunct w:val="0"/>
        <w:bidi w:val="0"/>
        <w:snapToGrid/>
        <w:spacing w:line="440" w:lineRule="exact"/>
        <w:ind w:firstLine="562" w:firstLineChars="200"/>
        <w:jc w:val="left"/>
        <w:textAlignment w:val="auto"/>
        <w:rPr>
          <w:rFonts w:hint="eastAsia"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四、存在的问题及原因分析</w:t>
      </w:r>
    </w:p>
    <w:p>
      <w:pPr>
        <w:keepNext w:val="0"/>
        <w:keepLines w:val="0"/>
        <w:pageBreakBefore w:val="0"/>
        <w:kinsoku/>
        <w:wordWrap/>
        <w:overflowPunct/>
        <w:topLinePunct w:val="0"/>
        <w:bidi w:val="0"/>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对预决算业务知识不熟悉，预算和决算存在大的差距，部分经费开支没有执行预算支出。如会议费、工会费、培训费等。今后要加强业务学习，严格按照预算经费执行开支。保障经费全理应用。</w:t>
      </w:r>
    </w:p>
    <w:p>
      <w:pPr>
        <w:pStyle w:val="4"/>
        <w:keepNext w:val="0"/>
        <w:keepLines w:val="0"/>
        <w:pageBreakBefore w:val="0"/>
        <w:kinsoku/>
        <w:wordWrap/>
        <w:overflowPunct/>
        <w:topLinePunct w:val="0"/>
        <w:bidi w:val="0"/>
        <w:snapToGrid/>
        <w:spacing w:before="240" w:beforeAutospacing="0" w:afterAutospacing="0" w:line="440" w:lineRule="exact"/>
        <w:ind w:firstLine="562" w:firstLineChars="200"/>
        <w:textAlignment w:val="auto"/>
        <w:rPr>
          <w:rFonts w:cs="宋体" w:asciiTheme="minorEastAsia" w:hAnsiTheme="minorEastAsia"/>
          <w:b/>
          <w:bCs/>
          <w:color w:val="auto"/>
          <w:sz w:val="28"/>
          <w:szCs w:val="28"/>
          <w:shd w:val="clear" w:color="auto" w:fill="FFFFFF"/>
        </w:rPr>
      </w:pPr>
      <w:r>
        <w:rPr>
          <w:rFonts w:hint="eastAsia" w:cs="宋体" w:asciiTheme="minorEastAsia" w:hAnsiTheme="minorEastAsia"/>
          <w:b/>
          <w:bCs/>
          <w:color w:val="auto"/>
          <w:sz w:val="28"/>
          <w:szCs w:val="28"/>
          <w:shd w:val="clear" w:color="auto" w:fill="FFFFFF"/>
        </w:rPr>
        <w:t>五、改进措施及有关建议</w:t>
      </w:r>
    </w:p>
    <w:p>
      <w:pPr>
        <w:pStyle w:val="8"/>
        <w:keepNext w:val="0"/>
        <w:keepLines w:val="0"/>
        <w:pageBreakBefore w:val="0"/>
        <w:kinsoku/>
        <w:wordWrap/>
        <w:overflowPunct/>
        <w:topLinePunct w:val="0"/>
        <w:bidi w:val="0"/>
        <w:snapToGrid/>
        <w:spacing w:line="440" w:lineRule="exact"/>
        <w:ind w:firstLine="560" w:firstLineChars="200"/>
        <w:textAlignment w:val="auto"/>
        <w:rPr>
          <w:rFonts w:hint="eastAsia" w:cs="宋体" w:asciiTheme="minorEastAsia" w:hAnsiTheme="minorEastAsia" w:eastAsiaTheme="minorEastAsia"/>
          <w:color w:val="auto"/>
          <w:kern w:val="2"/>
          <w:sz w:val="28"/>
          <w:szCs w:val="28"/>
          <w:shd w:val="clear" w:color="auto" w:fill="FFFFFF"/>
        </w:rPr>
      </w:pPr>
      <w:r>
        <w:rPr>
          <w:rFonts w:hint="eastAsia" w:cs="宋体" w:asciiTheme="minorEastAsia" w:hAnsiTheme="minorEastAsia" w:eastAsiaTheme="minorEastAsia"/>
          <w:color w:val="auto"/>
          <w:kern w:val="2"/>
          <w:sz w:val="28"/>
          <w:szCs w:val="28"/>
          <w:shd w:val="clear" w:color="auto" w:fill="FFFFFF"/>
        </w:rPr>
        <w:t>进一步提高绩效管理水平。加强预算执行的准确性，开展好支出绩效管理工作，运用好绩效评价结果，不断提升绩效管理水平。</w:t>
      </w:r>
    </w:p>
    <w:p>
      <w:pPr>
        <w:spacing w:line="600" w:lineRule="exact"/>
        <w:rPr>
          <w:rFonts w:ascii="宋体" w:hAnsi="宋体" w:cs="宋体"/>
          <w:color w:val="auto"/>
          <w:kern w:val="0"/>
          <w:sz w:val="32"/>
          <w:szCs w:val="32"/>
        </w:rPr>
      </w:pPr>
      <w:r>
        <w:rPr>
          <w:rFonts w:hint="eastAsia" w:ascii="黑体" w:hAnsi="宋体" w:eastAsia="黑体" w:cs="宋体"/>
          <w:color w:val="auto"/>
          <w:kern w:val="0"/>
          <w:sz w:val="32"/>
          <w:szCs w:val="32"/>
        </w:rPr>
        <w:t>附件1</w:t>
      </w:r>
      <w:r>
        <w:rPr>
          <w:rFonts w:ascii="黑体" w:hAnsi="宋体" w:eastAsia="黑体" w:cs="宋体"/>
          <w:color w:val="auto"/>
          <w:kern w:val="0"/>
          <w:sz w:val="32"/>
          <w:szCs w:val="32"/>
        </w:rPr>
        <w:tab/>
      </w:r>
      <w:r>
        <w:rPr>
          <w:rFonts w:ascii="宋体" w:hAnsi="宋体" w:cs="宋体"/>
          <w:color w:val="auto"/>
          <w:kern w:val="0"/>
          <w:sz w:val="32"/>
          <w:szCs w:val="32"/>
        </w:rPr>
        <w:tab/>
      </w:r>
      <w:r>
        <w:rPr>
          <w:rFonts w:ascii="宋体" w:hAnsi="宋体" w:cs="宋体"/>
          <w:color w:val="auto"/>
          <w:kern w:val="0"/>
          <w:sz w:val="32"/>
          <w:szCs w:val="32"/>
        </w:rPr>
        <w:tab/>
      </w:r>
      <w:r>
        <w:rPr>
          <w:rFonts w:ascii="宋体" w:hAnsi="宋体" w:cs="宋体"/>
          <w:color w:val="auto"/>
          <w:kern w:val="0"/>
          <w:sz w:val="32"/>
          <w:szCs w:val="32"/>
        </w:rPr>
        <w:tab/>
      </w:r>
      <w:r>
        <w:rPr>
          <w:rFonts w:ascii="宋体" w:hAnsi="宋体" w:cs="宋体"/>
          <w:color w:val="auto"/>
          <w:kern w:val="0"/>
          <w:sz w:val="32"/>
          <w:szCs w:val="32"/>
        </w:rPr>
        <w:tab/>
      </w:r>
      <w:r>
        <w:rPr>
          <w:rFonts w:ascii="宋体" w:hAnsi="宋体" w:cs="宋体"/>
          <w:color w:val="auto"/>
          <w:kern w:val="0"/>
          <w:sz w:val="32"/>
          <w:szCs w:val="32"/>
        </w:rPr>
        <w:tab/>
      </w:r>
      <w:r>
        <w:rPr>
          <w:rFonts w:ascii="宋体" w:hAnsi="宋体" w:cs="宋体"/>
          <w:color w:val="auto"/>
          <w:kern w:val="0"/>
          <w:sz w:val="32"/>
          <w:szCs w:val="32"/>
        </w:rPr>
        <w:tab/>
      </w:r>
    </w:p>
    <w:p>
      <w:pPr>
        <w:widowControl/>
        <w:ind w:left="93"/>
        <w:jc w:val="center"/>
        <w:rPr>
          <w:rFonts w:hint="eastAsia" w:ascii="宋体" w:hAnsi="宋体" w:cs="宋体"/>
          <w:bCs/>
          <w:color w:val="auto"/>
          <w:kern w:val="0"/>
          <w:sz w:val="32"/>
          <w:szCs w:val="32"/>
        </w:rPr>
      </w:pPr>
      <w:r>
        <w:rPr>
          <w:rFonts w:hint="eastAsia" w:ascii="宋体" w:hAnsi="宋体" w:cs="宋体"/>
          <w:bCs/>
          <w:color w:val="auto"/>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一级指标</w:t>
            </w:r>
          </w:p>
        </w:tc>
        <w:tc>
          <w:tcPr>
            <w:tcW w:w="429" w:type="dxa"/>
            <w:noWrap w:val="0"/>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二级指标</w:t>
            </w:r>
          </w:p>
        </w:tc>
        <w:tc>
          <w:tcPr>
            <w:tcW w:w="567" w:type="dxa"/>
            <w:noWrap w:val="0"/>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分值</w:t>
            </w:r>
          </w:p>
        </w:tc>
        <w:tc>
          <w:tcPr>
            <w:tcW w:w="851" w:type="dxa"/>
            <w:noWrap w:val="0"/>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三级   指标</w:t>
            </w:r>
          </w:p>
        </w:tc>
        <w:tc>
          <w:tcPr>
            <w:tcW w:w="567" w:type="dxa"/>
            <w:noWrap w:val="0"/>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分值</w:t>
            </w:r>
          </w:p>
        </w:tc>
        <w:tc>
          <w:tcPr>
            <w:tcW w:w="3118" w:type="dxa"/>
            <w:noWrap w:val="0"/>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评价标准</w:t>
            </w:r>
          </w:p>
        </w:tc>
        <w:tc>
          <w:tcPr>
            <w:tcW w:w="3472" w:type="dxa"/>
            <w:noWrap w:val="0"/>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备注</w:t>
            </w:r>
          </w:p>
        </w:tc>
        <w:tc>
          <w:tcPr>
            <w:tcW w:w="617" w:type="dxa"/>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cs="宋体"/>
                <w:b/>
                <w:bCs/>
                <w:color w:val="auto"/>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18</w:t>
            </w:r>
          </w:p>
        </w:tc>
        <w:tc>
          <w:tcPr>
            <w:tcW w:w="851" w:type="dxa"/>
            <w:noWrap w:val="0"/>
            <w:vAlign w:val="center"/>
          </w:tcPr>
          <w:p>
            <w:pPr>
              <w:widowControl/>
              <w:jc w:val="both"/>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“三公经费”</w:t>
            </w:r>
          </w:p>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变动率</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“三公经费”变动率</w:t>
            </w:r>
            <w:r>
              <w:rPr>
                <w:rFonts w:hint="eastAsia" w:ascii="仿宋_GB2312" w:hAnsi="Arial" w:eastAsia="仿宋_GB2312" w:cs="Arial"/>
                <w:color w:val="auto"/>
                <w:kern w:val="0"/>
                <w:sz w:val="20"/>
                <w:szCs w:val="20"/>
              </w:rPr>
              <w:t>≤</w:t>
            </w:r>
            <w:r>
              <w:rPr>
                <w:rFonts w:hint="eastAsia" w:ascii="仿宋_GB2312" w:hAnsi="宋体" w:eastAsia="仿宋_GB2312" w:cs="宋体"/>
                <w:color w:val="auto"/>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429"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“三公经费”   管理</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①招待费用明确招待标准和招待人数,1分;②车辆维护、燃油使用政府定点，1分。③</w:t>
            </w:r>
            <w:r>
              <w:rPr>
                <w:rFonts w:hint="eastAsia" w:ascii="仿宋_GB2312" w:hAnsi="仿宋" w:eastAsia="仿宋_GB2312" w:cs="仿宋"/>
                <w:color w:val="auto"/>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color w:val="auto"/>
                <w:kern w:val="0"/>
                <w:sz w:val="20"/>
                <w:szCs w:val="20"/>
              </w:rPr>
            </w:pP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429"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w:t>
            </w:r>
          </w:p>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招待费变动率</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“公务招待费”变动率</w:t>
            </w:r>
            <w:r>
              <w:rPr>
                <w:rFonts w:hint="eastAsia" w:ascii="仿宋_GB2312" w:hAnsi="Arial" w:eastAsia="仿宋_GB2312" w:cs="Arial"/>
                <w:color w:val="auto"/>
                <w:kern w:val="0"/>
                <w:sz w:val="20"/>
                <w:szCs w:val="20"/>
              </w:rPr>
              <w:t>≤</w:t>
            </w:r>
            <w:r>
              <w:rPr>
                <w:rFonts w:hint="eastAsia" w:ascii="仿宋_GB2312" w:hAnsi="宋体" w:eastAsia="仿宋_GB2312" w:cs="宋体"/>
                <w:color w:val="auto"/>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429"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公务用车购置</w:t>
            </w:r>
          </w:p>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运行费</w:t>
            </w:r>
          </w:p>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变动率</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“公务用车购置运行费”变动率</w:t>
            </w:r>
            <w:r>
              <w:rPr>
                <w:rFonts w:hint="eastAsia" w:ascii="仿宋_GB2312" w:hAnsi="Arial" w:eastAsia="仿宋_GB2312" w:cs="Arial"/>
                <w:color w:val="auto"/>
                <w:kern w:val="0"/>
                <w:sz w:val="20"/>
                <w:szCs w:val="20"/>
              </w:rPr>
              <w:t>≤</w:t>
            </w:r>
            <w:r>
              <w:rPr>
                <w:rFonts w:hint="eastAsia" w:ascii="仿宋_GB2312" w:hAnsi="宋体" w:eastAsia="仿宋_GB2312" w:cs="宋体"/>
                <w:color w:val="auto"/>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429"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“商品和服务支出”变动率</w:t>
            </w:r>
            <w:r>
              <w:rPr>
                <w:rFonts w:hint="eastAsia" w:ascii="仿宋_GB2312" w:hAnsi="Arial" w:eastAsia="仿宋_GB2312" w:cs="Arial"/>
                <w:color w:val="auto"/>
                <w:kern w:val="0"/>
                <w:sz w:val="20"/>
                <w:szCs w:val="20"/>
              </w:rPr>
              <w:t>≤</w:t>
            </w:r>
            <w:r>
              <w:rPr>
                <w:rFonts w:hint="eastAsia" w:ascii="仿宋_GB2312" w:hAnsi="宋体" w:eastAsia="仿宋_GB2312" w:cs="宋体"/>
                <w:color w:val="auto"/>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429"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  支出  安排率</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重点支出安排率=（重点项目支出/项目总支出）×100%</w:t>
            </w:r>
          </w:p>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429"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非税 收入 管理</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①实行收支两条线，1分；</w:t>
            </w:r>
          </w:p>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color w:val="auto"/>
                <w:kern w:val="0"/>
                <w:sz w:val="20"/>
                <w:szCs w:val="20"/>
              </w:rPr>
            </w:pP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429"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非税 收入 完成率</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非税收入完成率=（</w:t>
            </w:r>
            <w:r>
              <w:rPr>
                <w:rFonts w:hint="eastAsia" w:ascii="仿宋_GB2312" w:hAnsi="宋体" w:eastAsia="仿宋_GB2312" w:cs="宋体"/>
                <w:color w:val="auto"/>
                <w:kern w:val="0"/>
                <w:sz w:val="20"/>
                <w:szCs w:val="20"/>
                <w:lang w:eastAsia="zh-CN"/>
              </w:rPr>
              <w:t>2021</w:t>
            </w:r>
            <w:r>
              <w:rPr>
                <w:rFonts w:hint="eastAsia" w:ascii="仿宋_GB2312" w:hAnsi="宋体" w:eastAsia="仿宋_GB2312" w:cs="宋体"/>
                <w:color w:val="auto"/>
                <w:kern w:val="0"/>
                <w:sz w:val="20"/>
                <w:szCs w:val="20"/>
              </w:rPr>
              <w:t>年度非税实际收入完成数/</w:t>
            </w:r>
            <w:r>
              <w:rPr>
                <w:rFonts w:hint="eastAsia" w:ascii="仿宋_GB2312" w:hAnsi="宋体" w:eastAsia="仿宋_GB2312" w:cs="宋体"/>
                <w:color w:val="auto"/>
                <w:kern w:val="0"/>
                <w:sz w:val="20"/>
                <w:szCs w:val="20"/>
                <w:lang w:eastAsia="zh-CN"/>
              </w:rPr>
              <w:t>2021</w:t>
            </w:r>
            <w:r>
              <w:rPr>
                <w:rFonts w:hint="eastAsia" w:ascii="仿宋_GB2312" w:hAnsi="宋体" w:eastAsia="仿宋_GB2312" w:cs="宋体"/>
                <w:color w:val="auto"/>
                <w:kern w:val="0"/>
                <w:sz w:val="20"/>
                <w:szCs w:val="20"/>
              </w:rPr>
              <w:t>年度非税收入预算数）×100%，有减免因素的，以非税局确定的为准。</w:t>
            </w: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color w:val="auto"/>
                <w:kern w:val="0"/>
                <w:sz w:val="20"/>
                <w:szCs w:val="20"/>
              </w:rPr>
            </w:pPr>
          </w:p>
          <w:p>
            <w:pPr>
              <w:widowControl/>
              <w:jc w:val="center"/>
              <w:rPr>
                <w:rFonts w:hint="eastAsia" w:ascii="仿宋_GB2312" w:hAnsi="宋体" w:eastAsia="仿宋_GB2312" w:cs="宋体"/>
                <w:color w:val="auto"/>
                <w:kern w:val="0"/>
                <w:sz w:val="20"/>
                <w:szCs w:val="20"/>
              </w:rPr>
            </w:pPr>
          </w:p>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过    程</w:t>
            </w:r>
          </w:p>
          <w:p>
            <w:pPr>
              <w:widowControl/>
              <w:ind w:left="113" w:right="113"/>
              <w:jc w:val="center"/>
              <w:rPr>
                <w:rFonts w:hint="eastAsia" w:ascii="仿宋_GB2312" w:hAnsi="宋体" w:eastAsia="仿宋_GB2312" w:cs="宋体"/>
                <w:color w:val="auto"/>
                <w:kern w:val="0"/>
                <w:sz w:val="20"/>
                <w:szCs w:val="20"/>
              </w:rPr>
            </w:pPr>
          </w:p>
          <w:p>
            <w:pPr>
              <w:widowControl/>
              <w:jc w:val="center"/>
              <w:rPr>
                <w:rFonts w:hint="eastAsia" w:ascii="仿宋_GB2312" w:hAnsi="宋体" w:eastAsia="仿宋_GB2312" w:cs="宋体"/>
                <w:color w:val="auto"/>
                <w:kern w:val="0"/>
                <w:sz w:val="20"/>
                <w:szCs w:val="20"/>
              </w:rPr>
            </w:pPr>
          </w:p>
          <w:p>
            <w:pPr>
              <w:widowControl/>
              <w:jc w:val="center"/>
              <w:rPr>
                <w:rFonts w:hint="eastAsia" w:ascii="仿宋_GB2312" w:hAnsi="宋体" w:eastAsia="仿宋_GB2312" w:cs="宋体"/>
                <w:color w:val="auto"/>
                <w:kern w:val="0"/>
                <w:sz w:val="20"/>
                <w:szCs w:val="20"/>
              </w:rPr>
            </w:pPr>
          </w:p>
          <w:p>
            <w:pPr>
              <w:widowControl/>
              <w:jc w:val="center"/>
              <w:rPr>
                <w:rFonts w:hint="eastAsia" w:ascii="仿宋_GB2312" w:hAnsi="宋体" w:eastAsia="仿宋_GB2312" w:cs="宋体"/>
                <w:color w:val="auto"/>
                <w:kern w:val="0"/>
                <w:sz w:val="20"/>
                <w:szCs w:val="20"/>
              </w:rPr>
            </w:pPr>
          </w:p>
          <w:p>
            <w:pPr>
              <w:widowControl/>
              <w:jc w:val="center"/>
              <w:rPr>
                <w:rFonts w:hint="eastAsia" w:ascii="仿宋_GB2312" w:hAnsi="宋体" w:eastAsia="仿宋_GB2312" w:cs="宋体"/>
                <w:color w:val="auto"/>
                <w:kern w:val="0"/>
                <w:sz w:val="20"/>
                <w:szCs w:val="20"/>
              </w:rPr>
            </w:pPr>
          </w:p>
          <w:p>
            <w:pPr>
              <w:widowControl/>
              <w:jc w:val="center"/>
              <w:rPr>
                <w:rFonts w:hint="eastAsia" w:ascii="仿宋_GB2312" w:hAnsi="宋体" w:eastAsia="仿宋_GB2312" w:cs="宋体"/>
                <w:color w:val="auto"/>
                <w:kern w:val="0"/>
                <w:sz w:val="20"/>
                <w:szCs w:val="20"/>
              </w:rPr>
            </w:pPr>
          </w:p>
          <w:p>
            <w:pPr>
              <w:widowControl/>
              <w:jc w:val="center"/>
              <w:rPr>
                <w:rFonts w:hint="eastAsia" w:ascii="仿宋_GB2312" w:hAnsi="宋体" w:eastAsia="仿宋_GB2312" w:cs="宋体"/>
                <w:color w:val="auto"/>
                <w:kern w:val="0"/>
                <w:sz w:val="20"/>
                <w:szCs w:val="20"/>
              </w:rPr>
            </w:pPr>
          </w:p>
          <w:p>
            <w:pPr>
              <w:widowControl/>
              <w:jc w:val="center"/>
              <w:rPr>
                <w:rFonts w:hint="eastAsia" w:ascii="仿宋_GB2312" w:hAnsi="宋体" w:eastAsia="仿宋_GB2312" w:cs="宋体"/>
                <w:color w:val="auto"/>
                <w:kern w:val="0"/>
                <w:sz w:val="20"/>
                <w:szCs w:val="20"/>
              </w:rPr>
            </w:pPr>
          </w:p>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8</w:t>
            </w: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  完成率</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完成率&lt;1，计2分，</w:t>
            </w:r>
          </w:p>
          <w:p>
            <w:pPr>
              <w:widowControl/>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完成率=1，计1分，</w:t>
            </w:r>
          </w:p>
          <w:p>
            <w:pPr>
              <w:widowControl/>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完成率&gt;1，不得分。</w:t>
            </w:r>
          </w:p>
          <w:p>
            <w:pPr>
              <w:widowControl/>
              <w:jc w:val="left"/>
              <w:rPr>
                <w:rFonts w:hint="eastAsia" w:ascii="仿宋_GB2312" w:hAnsi="宋体" w:eastAsia="仿宋_GB2312" w:cs="宋体"/>
                <w:color w:val="auto"/>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color w:val="auto"/>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color w:val="auto"/>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资金  结余</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color w:val="auto"/>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color w:val="auto"/>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“三公经费”</w:t>
            </w:r>
          </w:p>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控制率</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以100%为标准。三公经费控制率</w:t>
            </w:r>
            <w:r>
              <w:rPr>
                <w:rFonts w:hint="eastAsia" w:ascii="仿宋_GB2312" w:hAnsi="Arial" w:eastAsia="仿宋_GB2312" w:cs="Arial"/>
                <w:color w:val="auto"/>
                <w:kern w:val="0"/>
                <w:sz w:val="20"/>
                <w:szCs w:val="20"/>
              </w:rPr>
              <w:t>≤</w:t>
            </w:r>
            <w:r>
              <w:rPr>
                <w:rFonts w:hint="eastAsia" w:ascii="仿宋_GB2312" w:hAnsi="宋体" w:eastAsia="仿宋_GB2312" w:cs="宋体"/>
                <w:color w:val="auto"/>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color w:val="auto"/>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政府</w:t>
            </w:r>
          </w:p>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采购</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 w:hAnsi="仿宋" w:eastAsia="仿宋" w:cs="宋体"/>
                <w:color w:val="auto"/>
                <w:kern w:val="0"/>
                <w:sz w:val="20"/>
                <w:szCs w:val="20"/>
              </w:rPr>
              <w:t>①编</w:t>
            </w:r>
            <w:r>
              <w:rPr>
                <w:rFonts w:hint="eastAsia" w:ascii="仿宋_GB2312" w:hAnsi="宋体" w:eastAsia="仿宋_GB2312" w:cs="宋体"/>
                <w:color w:val="auto"/>
                <w:kern w:val="0"/>
                <w:sz w:val="20"/>
                <w:szCs w:val="20"/>
              </w:rPr>
              <w:t>制政府采购年度预算并上报的，0.5分；②追加并编制政府采购预算的，0.5分；</w:t>
            </w:r>
            <w:r>
              <w:rPr>
                <w:rFonts w:hint="eastAsia" w:ascii="仿宋" w:hAnsi="仿宋" w:eastAsia="仿宋" w:cs="宋体"/>
                <w:color w:val="auto"/>
                <w:kern w:val="0"/>
                <w:sz w:val="20"/>
                <w:szCs w:val="20"/>
              </w:rPr>
              <w:t>③</w:t>
            </w:r>
            <w:r>
              <w:rPr>
                <w:rFonts w:hint="eastAsia" w:ascii="仿宋_GB2312" w:hAnsi="宋体" w:eastAsia="仿宋_GB2312" w:cs="宋体"/>
                <w:color w:val="auto"/>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color w:val="auto"/>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管理  制度</w:t>
            </w:r>
          </w:p>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6</w:t>
            </w:r>
          </w:p>
          <w:p>
            <w:pPr>
              <w:widowControl/>
              <w:jc w:val="both"/>
              <w:rPr>
                <w:rFonts w:hint="eastAsia" w:ascii="仿宋_GB2312" w:hAnsi="宋体" w:eastAsia="仿宋_GB2312" w:cs="宋体"/>
                <w:color w:val="auto"/>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①已制定资金管理办法、内部财务管理制度、会计核算制度等管理制度，1分；</w:t>
            </w:r>
          </w:p>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②建立健全单位内部控制制度，1分；</w:t>
            </w:r>
          </w:p>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③会计人员、机构按规定设置，1分；</w:t>
            </w:r>
          </w:p>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④会计基础工作健全，1分；</w:t>
            </w:r>
          </w:p>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⑤会计档案符合规定要求，1分；</w:t>
            </w:r>
          </w:p>
          <w:p>
            <w:pPr>
              <w:widowControl/>
              <w:jc w:val="left"/>
              <w:rPr>
                <w:rFonts w:hint="eastAsia" w:ascii="仿宋_GB2312" w:hAnsi="宋体" w:eastAsia="仿宋_GB2312" w:cs="宋体"/>
                <w:color w:val="auto"/>
                <w:kern w:val="0"/>
                <w:sz w:val="20"/>
                <w:szCs w:val="20"/>
              </w:rPr>
            </w:pPr>
            <w:r>
              <w:rPr>
                <w:rFonts w:hint="eastAsia" w:ascii="仿宋_GB2312" w:hAnsi="仿宋" w:eastAsia="仿宋_GB2312" w:cs="仿宋"/>
                <w:color w:val="auto"/>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color w:val="auto"/>
                <w:kern w:val="0"/>
                <w:sz w:val="20"/>
                <w:szCs w:val="20"/>
              </w:rPr>
            </w:pPr>
          </w:p>
        </w:tc>
        <w:tc>
          <w:tcPr>
            <w:tcW w:w="617" w:type="dxa"/>
            <w:tcBorders>
              <w:top w:val="single" w:color="auto" w:sz="4" w:space="0"/>
            </w:tcBorders>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color w:val="auto"/>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color w:val="auto"/>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color w:val="auto"/>
                <w:kern w:val="0"/>
                <w:sz w:val="20"/>
                <w:szCs w:val="20"/>
              </w:rPr>
            </w:pPr>
          </w:p>
        </w:tc>
        <w:tc>
          <w:tcPr>
            <w:tcW w:w="617" w:type="dxa"/>
            <w:tcBorders>
              <w:top w:val="single" w:color="auto" w:sz="4" w:space="0"/>
            </w:tcBorders>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color w:val="auto"/>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资金  使用</w:t>
            </w:r>
          </w:p>
          <w:p>
            <w:pPr>
              <w:widowControl/>
              <w:jc w:val="both"/>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合规性</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14</w:t>
            </w:r>
          </w:p>
        </w:tc>
        <w:tc>
          <w:tcPr>
            <w:tcW w:w="3118" w:type="dxa"/>
            <w:noWrap w:val="0"/>
            <w:vAlign w:val="center"/>
          </w:tcPr>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②资金（开支）拨付有完整的审批程序和手续；</w:t>
            </w:r>
          </w:p>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③支出符合部门预算批复的用途；</w:t>
            </w:r>
          </w:p>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④资金使用无截留、挤占、挪用、虚列支出、随意借用、大额现金支付等情况。</w:t>
            </w:r>
          </w:p>
          <w:p>
            <w:pPr>
              <w:widowControl/>
              <w:jc w:val="left"/>
              <w:rPr>
                <w:rFonts w:hint="eastAsia" w:ascii="仿宋_GB2312" w:hAnsi="仿宋" w:eastAsia="仿宋_GB2312" w:cs="仿宋"/>
                <w:color w:val="auto"/>
                <w:kern w:val="0"/>
                <w:sz w:val="20"/>
                <w:szCs w:val="20"/>
              </w:rPr>
            </w:pPr>
            <w:r>
              <w:rPr>
                <w:rFonts w:hint="eastAsia" w:ascii="仿宋_GB2312" w:hAnsi="微软雅黑" w:eastAsia="仿宋_GB2312" w:cs="微软雅黑"/>
                <w:color w:val="auto"/>
                <w:kern w:val="0"/>
                <w:sz w:val="20"/>
                <w:szCs w:val="20"/>
              </w:rPr>
              <w:t>⑤</w:t>
            </w:r>
            <w:r>
              <w:rPr>
                <w:rFonts w:hint="eastAsia" w:ascii="仿宋_GB2312" w:hAnsi="仿宋" w:eastAsia="仿宋_GB2312" w:cs="仿宋"/>
                <w:color w:val="auto"/>
                <w:kern w:val="0"/>
                <w:sz w:val="20"/>
                <w:szCs w:val="20"/>
              </w:rPr>
              <w:t>重大财务事项经由集体研究决策；</w:t>
            </w:r>
          </w:p>
          <w:p>
            <w:pPr>
              <w:widowControl/>
              <w:jc w:val="left"/>
              <w:rPr>
                <w:rFonts w:hint="eastAsia" w:ascii="仿宋_GB2312" w:hAnsi="仿宋" w:eastAsia="仿宋_GB2312" w:cs="仿宋"/>
                <w:color w:val="auto"/>
                <w:kern w:val="0"/>
                <w:sz w:val="20"/>
                <w:szCs w:val="20"/>
              </w:rPr>
            </w:pPr>
            <w:r>
              <w:rPr>
                <w:rFonts w:hint="eastAsia" w:ascii="仿宋_GB2312" w:hAnsi="微软雅黑" w:eastAsia="仿宋_GB2312" w:cs="微软雅黑"/>
                <w:color w:val="auto"/>
                <w:kern w:val="0"/>
                <w:sz w:val="20"/>
                <w:szCs w:val="20"/>
              </w:rPr>
              <w:t>⑥</w:t>
            </w:r>
            <w:r>
              <w:rPr>
                <w:rFonts w:hint="eastAsia" w:ascii="仿宋_GB2312" w:hAnsi="仿宋" w:eastAsia="仿宋_GB2312" w:cs="仿宋"/>
                <w:color w:val="auto"/>
                <w:kern w:val="0"/>
                <w:sz w:val="20"/>
                <w:szCs w:val="20"/>
              </w:rPr>
              <w:t>专项资金做到专款专用；</w:t>
            </w:r>
          </w:p>
          <w:p>
            <w:pPr>
              <w:widowControl/>
              <w:jc w:val="left"/>
              <w:rPr>
                <w:rFonts w:hint="eastAsia" w:ascii="仿宋_GB2312" w:hAnsi="仿宋" w:eastAsia="仿宋_GB2312" w:cs="仿宋"/>
                <w:color w:val="auto"/>
                <w:kern w:val="0"/>
                <w:sz w:val="20"/>
                <w:szCs w:val="20"/>
              </w:rPr>
            </w:pPr>
            <w:r>
              <w:rPr>
                <w:rFonts w:hint="eastAsia" w:ascii="仿宋_GB2312" w:hAnsi="微软雅黑" w:eastAsia="仿宋_GB2312" w:cs="微软雅黑"/>
                <w:color w:val="auto"/>
                <w:kern w:val="0"/>
                <w:sz w:val="20"/>
                <w:szCs w:val="20"/>
              </w:rPr>
              <w:t>⑦</w:t>
            </w:r>
            <w:r>
              <w:rPr>
                <w:rFonts w:hint="eastAsia" w:ascii="仿宋_GB2312" w:hAnsi="仿宋" w:eastAsia="仿宋_GB2312" w:cs="仿宋"/>
                <w:color w:val="auto"/>
                <w:kern w:val="0"/>
                <w:sz w:val="20"/>
                <w:szCs w:val="20"/>
              </w:rPr>
              <w:t>原始凭证的取得真实有效；</w:t>
            </w:r>
          </w:p>
          <w:p>
            <w:pPr>
              <w:widowControl/>
              <w:jc w:val="left"/>
              <w:rPr>
                <w:rFonts w:hint="eastAsia" w:ascii="仿宋_GB2312" w:hAnsi="仿宋" w:eastAsia="仿宋_GB2312" w:cs="仿宋"/>
                <w:color w:val="auto"/>
                <w:kern w:val="0"/>
                <w:sz w:val="20"/>
                <w:szCs w:val="20"/>
              </w:rPr>
            </w:pPr>
            <w:r>
              <w:rPr>
                <w:rFonts w:hint="eastAsia" w:ascii="仿宋_GB2312" w:hAnsi="微软雅黑" w:eastAsia="仿宋_GB2312" w:cs="微软雅黑"/>
                <w:color w:val="auto"/>
                <w:kern w:val="0"/>
                <w:sz w:val="20"/>
                <w:szCs w:val="20"/>
              </w:rPr>
              <w:t>⑧</w:t>
            </w:r>
            <w:r>
              <w:rPr>
                <w:rFonts w:hint="eastAsia" w:ascii="仿宋_GB2312" w:hAnsi="仿宋" w:eastAsia="仿宋_GB2312" w:cs="仿宋"/>
                <w:color w:val="auto"/>
                <w:kern w:val="0"/>
                <w:sz w:val="20"/>
                <w:szCs w:val="20"/>
              </w:rPr>
              <w:t>无超范围、超预算开支；</w:t>
            </w:r>
          </w:p>
          <w:p>
            <w:pPr>
              <w:widowControl/>
              <w:jc w:val="left"/>
              <w:rPr>
                <w:rFonts w:hint="eastAsia" w:ascii="仿宋_GB2312" w:hAnsi="仿宋" w:eastAsia="仿宋_GB2312" w:cs="仿宋"/>
                <w:color w:val="auto"/>
                <w:kern w:val="0"/>
                <w:sz w:val="20"/>
                <w:szCs w:val="20"/>
                <w:lang w:eastAsia="zh-CN"/>
              </w:rPr>
            </w:pPr>
            <w:r>
              <w:rPr>
                <w:rFonts w:hint="eastAsia" w:ascii="仿宋" w:hAnsi="仿宋" w:eastAsia="仿宋" w:cs="仿宋"/>
                <w:color w:val="auto"/>
                <w:kern w:val="0"/>
                <w:sz w:val="20"/>
                <w:szCs w:val="20"/>
              </w:rPr>
              <w:t>⑨</w:t>
            </w:r>
            <w:r>
              <w:rPr>
                <w:rFonts w:hint="eastAsia" w:ascii="仿宋_GB2312" w:hAnsi="仿宋" w:eastAsia="仿宋_GB2312" w:cs="仿宋"/>
                <w:color w:val="auto"/>
                <w:kern w:val="0"/>
                <w:sz w:val="20"/>
                <w:szCs w:val="20"/>
              </w:rPr>
              <w:t>无超标准发放津补贴、奖金，无用公款支付应由个人支付的款项。</w:t>
            </w:r>
          </w:p>
          <w:p>
            <w:pPr>
              <w:widowControl/>
              <w:jc w:val="left"/>
              <w:rPr>
                <w:rFonts w:ascii="仿宋_GB2312" w:hAnsi="宋体" w:eastAsia="仿宋_GB2312" w:cs="宋体"/>
                <w:color w:val="auto"/>
                <w:kern w:val="0"/>
                <w:sz w:val="20"/>
                <w:szCs w:val="20"/>
              </w:rPr>
            </w:pPr>
            <w:r>
              <w:rPr>
                <w:rFonts w:hint="eastAsia" w:ascii="仿宋_GB2312" w:hAnsi="仿宋" w:eastAsia="仿宋_GB2312" w:cs="仿宋"/>
                <w:color w:val="auto"/>
                <w:kern w:val="0"/>
                <w:sz w:val="20"/>
                <w:szCs w:val="20"/>
              </w:rPr>
              <w:t>以上情况每出现一例不</w:t>
            </w:r>
            <w:r>
              <w:rPr>
                <w:rFonts w:hint="eastAsia" w:ascii="仿宋_GB2312" w:hAnsi="宋体" w:eastAsia="仿宋_GB2312" w:cs="宋体"/>
                <w:color w:val="auto"/>
                <w:kern w:val="0"/>
                <w:sz w:val="20"/>
                <w:szCs w:val="20"/>
              </w:rPr>
              <w:t>符合要求的扣2分，扣完为止。</w:t>
            </w:r>
          </w:p>
        </w:tc>
        <w:tc>
          <w:tcPr>
            <w:tcW w:w="3472" w:type="dxa"/>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color w:val="auto"/>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color w:val="auto"/>
                <w:kern w:val="0"/>
                <w:sz w:val="20"/>
                <w:szCs w:val="20"/>
              </w:rPr>
            </w:pPr>
          </w:p>
        </w:tc>
        <w:tc>
          <w:tcPr>
            <w:tcW w:w="851" w:type="dxa"/>
            <w:noWrap w:val="0"/>
            <w:vAlign w:val="center"/>
          </w:tcPr>
          <w:p>
            <w:pPr>
              <w:widowControl/>
              <w:jc w:val="both"/>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预决算信息公开性和完善性</w:t>
            </w:r>
          </w:p>
        </w:tc>
        <w:tc>
          <w:tcPr>
            <w:tcW w:w="567" w:type="dxa"/>
            <w:noWrap w:val="0"/>
            <w:vAlign w:val="center"/>
          </w:tcPr>
          <w:p>
            <w:pPr>
              <w:widowControl/>
              <w:jc w:val="both"/>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4</w:t>
            </w:r>
          </w:p>
        </w:tc>
        <w:tc>
          <w:tcPr>
            <w:tcW w:w="3118" w:type="dxa"/>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color w:val="auto"/>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20</w:t>
            </w:r>
          </w:p>
        </w:tc>
        <w:tc>
          <w:tcPr>
            <w:tcW w:w="851" w:type="dxa"/>
            <w:noWrap w:val="0"/>
            <w:vAlign w:val="center"/>
          </w:tcPr>
          <w:p>
            <w:pPr>
              <w:widowControl/>
              <w:jc w:val="both"/>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管理  制度</w:t>
            </w:r>
          </w:p>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健全性</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①已制定资产管理制度，1分；</w:t>
            </w:r>
          </w:p>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color w:val="auto"/>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资产  管理</w:t>
            </w:r>
          </w:p>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安全性</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16</w:t>
            </w:r>
          </w:p>
        </w:tc>
        <w:tc>
          <w:tcPr>
            <w:tcW w:w="3118" w:type="dxa"/>
            <w:noWrap w:val="0"/>
            <w:vAlign w:val="center"/>
          </w:tcPr>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 xml:space="preserve">①资产保存完整；②资产配置合理；③资产处置规范； </w:t>
            </w:r>
          </w:p>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④资产账务管理合规，帐实帐卡、账账、账表（决算报表等）相符；⑤资产有偿使用及处置收入及时足额上缴；</w:t>
            </w:r>
            <w:r>
              <w:rPr>
                <w:rFonts w:hint="eastAsia" w:ascii="仿宋_GB2312" w:hAnsi="仿宋" w:eastAsia="仿宋_GB2312" w:cs="仿宋"/>
                <w:color w:val="auto"/>
                <w:kern w:val="0"/>
                <w:sz w:val="20"/>
                <w:szCs w:val="20"/>
              </w:rPr>
              <w:t>⑥清查盘点：每年至少清查盘点一次；⑦产权明晰，权证齐全</w:t>
            </w:r>
            <w:r>
              <w:rPr>
                <w:rFonts w:hint="eastAsia" w:ascii="仿宋_GB2312" w:hAnsi="宋体" w:eastAsia="仿宋_GB2312" w:cs="宋体"/>
                <w:color w:val="auto"/>
                <w:kern w:val="0"/>
                <w:sz w:val="20"/>
                <w:szCs w:val="20"/>
              </w:rPr>
              <w:t>；⑧按标准购置固定资产。</w:t>
            </w:r>
          </w:p>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color w:val="auto"/>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固定  资产</w:t>
            </w:r>
          </w:p>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利用率</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color w:val="auto"/>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17</w:t>
            </w: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目标 管理</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8</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①本单位所有专项、项目资金均实行目标管理的，各2分,每少一个专项、项目的，扣1分，扣完为止；②编制并报送</w:t>
            </w:r>
            <w:r>
              <w:rPr>
                <w:rFonts w:hint="eastAsia" w:ascii="仿宋_GB2312" w:hAnsi="宋体" w:eastAsia="仿宋_GB2312" w:cs="宋体"/>
                <w:color w:val="auto"/>
                <w:kern w:val="0"/>
                <w:sz w:val="20"/>
                <w:szCs w:val="20"/>
                <w:lang w:eastAsia="zh-CN"/>
              </w:rPr>
              <w:t>2021</w:t>
            </w:r>
            <w:r>
              <w:rPr>
                <w:rFonts w:hint="eastAsia" w:ascii="仿宋_GB2312" w:hAnsi="宋体" w:eastAsia="仿宋_GB2312" w:cs="宋体"/>
                <w:color w:val="auto"/>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color w:val="auto"/>
                <w:kern w:val="0"/>
                <w:sz w:val="20"/>
                <w:szCs w:val="20"/>
              </w:rPr>
            </w:pP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color w:val="auto"/>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绩效 评价</w:t>
            </w:r>
          </w:p>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管理</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7</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 w:hAnsi="仿宋" w:eastAsia="仿宋" w:cs="宋体"/>
                <w:color w:val="auto"/>
                <w:kern w:val="0"/>
                <w:sz w:val="20"/>
                <w:szCs w:val="20"/>
              </w:rPr>
              <w:t>①</w:t>
            </w:r>
            <w:r>
              <w:rPr>
                <w:rFonts w:hint="eastAsia" w:ascii="仿宋_GB2312" w:hAnsi="宋体" w:eastAsia="仿宋_GB2312" w:cs="宋体"/>
                <w:color w:val="auto"/>
                <w:kern w:val="0"/>
                <w:sz w:val="20"/>
                <w:szCs w:val="20"/>
              </w:rPr>
              <w:t>开展2019年度专项资金绩效自评的，2分，每少一个专项资金的自评扣1分，扣完为止；</w:t>
            </w:r>
            <w:r>
              <w:rPr>
                <w:rFonts w:hint="eastAsia" w:ascii="仿宋" w:hAnsi="仿宋" w:eastAsia="仿宋" w:cs="宋体"/>
                <w:color w:val="auto"/>
                <w:kern w:val="0"/>
                <w:sz w:val="20"/>
                <w:szCs w:val="20"/>
              </w:rPr>
              <w:t>②</w:t>
            </w:r>
            <w:r>
              <w:rPr>
                <w:rFonts w:hint="eastAsia" w:ascii="仿宋_GB2312" w:hAnsi="宋体" w:eastAsia="仿宋_GB2312" w:cs="宋体"/>
                <w:color w:val="auto"/>
                <w:kern w:val="0"/>
                <w:sz w:val="20"/>
                <w:szCs w:val="20"/>
              </w:rPr>
              <w:t>开展2019年度已完工项目绩效自评的，2分，每少一个项目扣1分，扣完为止；</w:t>
            </w:r>
            <w:r>
              <w:rPr>
                <w:rFonts w:hint="eastAsia" w:ascii="仿宋" w:hAnsi="仿宋" w:eastAsia="仿宋" w:cs="宋体"/>
                <w:color w:val="auto"/>
                <w:kern w:val="0"/>
                <w:sz w:val="20"/>
                <w:szCs w:val="20"/>
              </w:rPr>
              <w:t>③</w:t>
            </w:r>
            <w:r>
              <w:rPr>
                <w:rFonts w:hint="eastAsia" w:ascii="仿宋_GB2312" w:hAnsi="宋体" w:eastAsia="仿宋_GB2312" w:cs="宋体"/>
                <w:color w:val="auto"/>
                <w:kern w:val="0"/>
                <w:sz w:val="20"/>
                <w:szCs w:val="20"/>
              </w:rPr>
              <w:t>开展2019年度部门整体支出绩效自评的，1分；</w:t>
            </w:r>
            <w:r>
              <w:rPr>
                <w:rFonts w:hint="eastAsia" w:ascii="仿宋" w:hAnsi="仿宋" w:eastAsia="仿宋" w:cs="宋体"/>
                <w:color w:val="auto"/>
                <w:kern w:val="0"/>
                <w:sz w:val="20"/>
                <w:szCs w:val="20"/>
              </w:rPr>
              <w:t>④</w:t>
            </w:r>
            <w:r>
              <w:rPr>
                <w:rFonts w:hint="eastAsia" w:ascii="仿宋_GB2312" w:hAnsi="宋体" w:eastAsia="仿宋_GB2312" w:cs="宋体"/>
                <w:color w:val="auto"/>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color w:val="auto"/>
                <w:kern w:val="0"/>
                <w:sz w:val="20"/>
                <w:szCs w:val="20"/>
              </w:rPr>
            </w:pP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color w:val="auto"/>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评价 结果 运用</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 w:hAnsi="仿宋" w:eastAsia="仿宋" w:cs="宋体"/>
                <w:color w:val="auto"/>
                <w:sz w:val="20"/>
                <w:szCs w:val="20"/>
              </w:rPr>
            </w:pPr>
            <w:r>
              <w:rPr>
                <w:rFonts w:hint="eastAsia" w:ascii="仿宋_GB2312" w:hAnsi="宋体" w:eastAsia="仿宋_GB2312" w:cs="宋体"/>
                <w:color w:val="auto"/>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color w:val="auto"/>
                <w:kern w:val="0"/>
                <w:sz w:val="20"/>
                <w:szCs w:val="20"/>
              </w:rPr>
            </w:pP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5</w:t>
            </w: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　工作　完成率</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color w:val="auto"/>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工作</w:t>
            </w:r>
          </w:p>
          <w:p>
            <w:pPr>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质量</w:t>
            </w:r>
          </w:p>
        </w:tc>
        <w:tc>
          <w:tcPr>
            <w:tcW w:w="567" w:type="dxa"/>
            <w:noWrap w:val="0"/>
            <w:vAlign w:val="center"/>
          </w:tcPr>
          <w:p>
            <w:pPr>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w:t>
            </w:r>
          </w:p>
        </w:tc>
        <w:tc>
          <w:tcPr>
            <w:tcW w:w="3118" w:type="dxa"/>
            <w:noWrap w:val="0"/>
            <w:vAlign w:val="center"/>
          </w:tcPr>
          <w:p>
            <w:pPr>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color w:val="auto"/>
                <w:kern w:val="0"/>
                <w:sz w:val="20"/>
                <w:szCs w:val="20"/>
              </w:rPr>
            </w:pPr>
          </w:p>
        </w:tc>
        <w:tc>
          <w:tcPr>
            <w:tcW w:w="617" w:type="dxa"/>
            <w:noWrap w:val="0"/>
            <w:vAlign w:val="center"/>
          </w:tcPr>
          <w:p>
            <w:pPr>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4</w:t>
            </w: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此三项指标可根据部门实际并结合</w:t>
            </w:r>
            <w:r>
              <w:rPr>
                <w:rFonts w:hint="eastAsia" w:ascii="仿宋_GB2312" w:hAnsi="宋体" w:eastAsia="仿宋_GB2312" w:cs="宋体"/>
                <w:color w:val="auto"/>
                <w:kern w:val="0"/>
                <w:sz w:val="20"/>
                <w:szCs w:val="20"/>
                <w:lang w:eastAsia="zh-CN"/>
              </w:rPr>
              <w:t>2021</w:t>
            </w:r>
            <w:r>
              <w:rPr>
                <w:rFonts w:hint="eastAsia" w:ascii="仿宋_GB2312" w:hAnsi="宋体" w:eastAsia="仿宋_GB2312" w:cs="宋体"/>
                <w:color w:val="auto"/>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color w:val="auto"/>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color w:val="auto"/>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color w:val="auto"/>
                <w:kern w:val="0"/>
                <w:sz w:val="20"/>
                <w:szCs w:val="20"/>
              </w:rPr>
            </w:pPr>
          </w:p>
        </w:tc>
        <w:tc>
          <w:tcPr>
            <w:tcW w:w="617" w:type="dxa"/>
            <w:vMerge w:val="continue"/>
            <w:noWrap w:val="0"/>
            <w:vAlign w:val="center"/>
          </w:tcPr>
          <w:p>
            <w:pPr>
              <w:widowControl/>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color w:val="auto"/>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color w:val="auto"/>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color w:val="auto"/>
                <w:kern w:val="0"/>
                <w:sz w:val="20"/>
                <w:szCs w:val="20"/>
              </w:rPr>
            </w:pPr>
          </w:p>
        </w:tc>
        <w:tc>
          <w:tcPr>
            <w:tcW w:w="617" w:type="dxa"/>
            <w:vMerge w:val="continue"/>
            <w:noWrap w:val="0"/>
            <w:vAlign w:val="center"/>
          </w:tcPr>
          <w:p>
            <w:pPr>
              <w:widowControl/>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color w:val="auto"/>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color w:val="auto"/>
                <w:kern w:val="0"/>
                <w:sz w:val="20"/>
                <w:szCs w:val="20"/>
              </w:rPr>
            </w:pPr>
          </w:p>
        </w:tc>
        <w:tc>
          <w:tcPr>
            <w:tcW w:w="851"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noWrap w:val="0"/>
            <w:vAlign w:val="center"/>
          </w:tcPr>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90%（含）以上计2分；</w:t>
            </w:r>
          </w:p>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合计</w:t>
            </w:r>
          </w:p>
        </w:tc>
        <w:tc>
          <w:tcPr>
            <w:tcW w:w="8575" w:type="dxa"/>
            <w:gridSpan w:val="5"/>
            <w:noWrap w:val="0"/>
            <w:vAlign w:val="center"/>
          </w:tcPr>
          <w:p>
            <w:pPr>
              <w:widowControl/>
              <w:jc w:val="left"/>
              <w:rPr>
                <w:rFonts w:hint="eastAsia" w:ascii="仿宋_GB2312" w:hAnsi="宋体" w:eastAsia="仿宋_GB2312" w:cs="宋体"/>
                <w:color w:val="auto"/>
                <w:kern w:val="0"/>
                <w:sz w:val="20"/>
                <w:szCs w:val="20"/>
              </w:rPr>
            </w:pPr>
          </w:p>
        </w:tc>
        <w:tc>
          <w:tcPr>
            <w:tcW w:w="617" w:type="dxa"/>
            <w:noWrap w:val="0"/>
            <w:vAlign w:val="center"/>
          </w:tcPr>
          <w:p>
            <w:pPr>
              <w:widowControl/>
              <w:jc w:val="center"/>
              <w:rPr>
                <w:rFonts w:hint="eastAsia" w:ascii="宋体" w:hAnsi="宋体" w:eastAsia="宋体" w:cs="宋体"/>
                <w:color w:val="auto"/>
                <w:kern w:val="0"/>
                <w:sz w:val="24"/>
                <w:szCs w:val="24"/>
                <w:lang w:val="en-US" w:eastAsia="zh-CN"/>
              </w:rPr>
            </w:pPr>
          </w:p>
        </w:tc>
      </w:tr>
    </w:tbl>
    <w:p>
      <w:pPr>
        <w:spacing w:line="600" w:lineRule="exact"/>
        <w:rPr>
          <w:rFonts w:ascii="宋体" w:hAnsi="宋体" w:cs="宋体"/>
          <w:color w:val="auto"/>
          <w:kern w:val="0"/>
          <w:sz w:val="32"/>
          <w:szCs w:val="32"/>
        </w:rPr>
      </w:pPr>
    </w:p>
    <w:p>
      <w:pPr>
        <w:rPr>
          <w:color w:val="auto"/>
        </w:rPr>
      </w:pPr>
    </w:p>
    <w:p>
      <w:pPr>
        <w:pStyle w:val="8"/>
        <w:keepNext w:val="0"/>
        <w:keepLines w:val="0"/>
        <w:pageBreakBefore w:val="0"/>
        <w:kinsoku/>
        <w:wordWrap/>
        <w:overflowPunct/>
        <w:topLinePunct w:val="0"/>
        <w:bidi w:val="0"/>
        <w:snapToGrid/>
        <w:spacing w:line="440" w:lineRule="exact"/>
        <w:ind w:firstLine="560" w:firstLineChars="200"/>
        <w:textAlignment w:val="auto"/>
        <w:rPr>
          <w:rFonts w:hint="eastAsia" w:cs="宋体" w:asciiTheme="minorEastAsia" w:hAnsiTheme="minorEastAsia" w:eastAsiaTheme="minorEastAsia"/>
          <w:color w:val="auto"/>
          <w:kern w:val="2"/>
          <w:sz w:val="28"/>
          <w:szCs w:val="28"/>
          <w:shd w:val="clear" w:color="auto" w:fill="FFFFFF"/>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0045424C"/>
    <w:rsid w:val="003513BC"/>
    <w:rsid w:val="0045424C"/>
    <w:rsid w:val="00554C33"/>
    <w:rsid w:val="007276EF"/>
    <w:rsid w:val="00A20D9A"/>
    <w:rsid w:val="00AA4587"/>
    <w:rsid w:val="00C011E9"/>
    <w:rsid w:val="00CD1C30"/>
    <w:rsid w:val="00D51644"/>
    <w:rsid w:val="025D08EA"/>
    <w:rsid w:val="02600E13"/>
    <w:rsid w:val="02A74CAA"/>
    <w:rsid w:val="05213482"/>
    <w:rsid w:val="09E17252"/>
    <w:rsid w:val="0D5E3707"/>
    <w:rsid w:val="0EE82149"/>
    <w:rsid w:val="11E84674"/>
    <w:rsid w:val="126C42B4"/>
    <w:rsid w:val="13F07810"/>
    <w:rsid w:val="17042185"/>
    <w:rsid w:val="1D41732E"/>
    <w:rsid w:val="1F010C8F"/>
    <w:rsid w:val="20F63895"/>
    <w:rsid w:val="26166273"/>
    <w:rsid w:val="29AB6513"/>
    <w:rsid w:val="2AA1765E"/>
    <w:rsid w:val="2B032004"/>
    <w:rsid w:val="2C016606"/>
    <w:rsid w:val="2C7529D1"/>
    <w:rsid w:val="2D6C05C8"/>
    <w:rsid w:val="31E22A36"/>
    <w:rsid w:val="3619015E"/>
    <w:rsid w:val="36E22B02"/>
    <w:rsid w:val="37A26170"/>
    <w:rsid w:val="3B9303B2"/>
    <w:rsid w:val="3C8416D7"/>
    <w:rsid w:val="3FAB09ED"/>
    <w:rsid w:val="44AF5D78"/>
    <w:rsid w:val="45783060"/>
    <w:rsid w:val="45833892"/>
    <w:rsid w:val="45CB4E15"/>
    <w:rsid w:val="4ACA7AAB"/>
    <w:rsid w:val="4B991F60"/>
    <w:rsid w:val="4D113C42"/>
    <w:rsid w:val="4E58558A"/>
    <w:rsid w:val="4F3501F1"/>
    <w:rsid w:val="52C04276"/>
    <w:rsid w:val="53202F66"/>
    <w:rsid w:val="55C776C9"/>
    <w:rsid w:val="575435C3"/>
    <w:rsid w:val="58CA4CA4"/>
    <w:rsid w:val="58DF2F7C"/>
    <w:rsid w:val="59A70B1E"/>
    <w:rsid w:val="59E60318"/>
    <w:rsid w:val="5B446B6A"/>
    <w:rsid w:val="5CBC5F90"/>
    <w:rsid w:val="5E6D1153"/>
    <w:rsid w:val="5F83500A"/>
    <w:rsid w:val="60745B56"/>
    <w:rsid w:val="641F097E"/>
    <w:rsid w:val="65236940"/>
    <w:rsid w:val="664A41B0"/>
    <w:rsid w:val="66D16D4F"/>
    <w:rsid w:val="66FE6113"/>
    <w:rsid w:val="68224C33"/>
    <w:rsid w:val="6B5E41D4"/>
    <w:rsid w:val="6B874FA2"/>
    <w:rsid w:val="6FD52562"/>
    <w:rsid w:val="70514092"/>
    <w:rsid w:val="70852420"/>
    <w:rsid w:val="73125FD0"/>
    <w:rsid w:val="76DC35F5"/>
    <w:rsid w:val="7832658D"/>
    <w:rsid w:val="78BC1A4A"/>
    <w:rsid w:val="79074D5F"/>
    <w:rsid w:val="7AF745AA"/>
    <w:rsid w:val="7B7D06A6"/>
    <w:rsid w:val="7C036DFE"/>
    <w:rsid w:val="7C0B79BA"/>
    <w:rsid w:val="7DE9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2"/>
    <w:basedOn w:val="3"/>
    <w:qFormat/>
    <w:uiPriority w:val="99"/>
    <w:pPr>
      <w:ind w:firstLine="420" w:firstLineChars="200"/>
    </w:p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9">
    <w:name w:val="18"/>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3327</Words>
  <Characters>332</Characters>
  <Lines>2</Lines>
  <Paragraphs>7</Paragraphs>
  <TotalTime>0</TotalTime>
  <ScaleCrop>false</ScaleCrop>
  <LinksUpToDate>false</LinksUpToDate>
  <CharactersWithSpaces>3652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2023-10-17T10:11:00Z</dcterms:created>
  <dc:creator>Administrator</dc:creator>
  <cp:lastModifiedBy>随风而起</cp:lastModifiedBy>
  <dcterms:modified xsi:type="dcterms:W3CDTF">2024-01-17T09:40:16Z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502D3381443F4A598E70D10384BD66C4_13</vt:lpwstr>
  </property>
</Properties>
</file>