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jc w:val="center"/>
        <w:rPr>
          <w:rFonts w:ascii="黑体" w:hAnsi="黑体" w:eastAsia="黑体" w:cs="微软雅黑"/>
          <w:color w:val="666666"/>
          <w:sz w:val="32"/>
          <w:szCs w:val="32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2022年度部门整体支出绩效评价报告</w:t>
      </w:r>
    </w:p>
    <w:p>
      <w:pPr>
        <w:pStyle w:val="3"/>
        <w:spacing w:before="240" w:beforeAutospacing="0" w:afterAutospacing="0" w:line="440" w:lineRule="exact"/>
        <w:ind w:firstLine="562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一、部门基本情况</w:t>
      </w:r>
    </w:p>
    <w:p>
      <w:pPr>
        <w:spacing w:line="440" w:lineRule="exact"/>
        <w:ind w:firstLine="562" w:firstLineChars="200"/>
        <w:jc w:val="left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（一）机构设置及人员情况</w:t>
      </w:r>
      <w:bookmarkStart w:id="0" w:name="_GoBack"/>
      <w:bookmarkEnd w:id="0"/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1.内设机构设置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邵阳市北塔区教育局内设机构包括：北塔区教育系统共有初级中学2所，九年一贯制学校2所，小学14所、公办幼儿园3所及按公务员法管理及参照公务员法管理的单位1个，全额拨款事业单位共计 22个。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2.决算单位构成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邵阳市北塔区教育局无下属单位，因此，邵阳市北塔区教育局2022年单位决算即邵阳市北塔区教育局本级。</w:t>
      </w:r>
    </w:p>
    <w:p>
      <w:pPr>
        <w:spacing w:line="440" w:lineRule="exact"/>
        <w:ind w:firstLine="562" w:firstLineChars="200"/>
        <w:jc w:val="left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（二）主要工作职责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1.贯彻执行中央、省、市的教育工作方针、政策和法律、法规，拟 定全区教育工作改革与发展战略和规划，并组织实施。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2.统筹管理全区教育经费；指导教育基本建设；指导协调学校技术、 科技装备的配置。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3.指导和监督教育系统内部审计工作；对所属单位的经济活动进行审计监督。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4.负责全区教育工作，全面实施素质教育；管理全区教育招生考试 工作；承担全区语言文字工作；实施教师资格制度，推进学校人事制度改革。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5.管理全区学前教育、基础教育、职业教育、成人教育、高等教育和民办教育工作；指导学校开展教育改革和办学体制、学校内部管理体制改 革。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6.负责教育成果、教育奖励等工作。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7.指导全区教育系统党建、宣传、统战、群团和治安保卫工作，负责教育系统的维稳工作。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8.负责全区教育督导工作，管理全区教育的各项评估、验收和专项 督查。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9.承办区人民政府和上级教育部门交办的其他事项。</w:t>
      </w:r>
    </w:p>
    <w:p>
      <w:pPr>
        <w:pStyle w:val="3"/>
        <w:spacing w:before="240" w:beforeAutospacing="0" w:afterAutospacing="0" w:line="440" w:lineRule="exact"/>
        <w:ind w:firstLine="562" w:firstLineChars="200"/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二、部门整体支出管理及使用情况</w:t>
      </w:r>
    </w:p>
    <w:p>
      <w:pPr>
        <w:spacing w:line="440" w:lineRule="exact"/>
        <w:ind w:firstLine="562" w:firstLineChars="200"/>
        <w:jc w:val="left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（一）预算执行情况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2022年度收、支总计5,876.59万元。与上一年度相比，收、支总计各增加948.63万元，增长19.25%。主要原因是预算调整，财政拨款收入增加，调增948.63万元。</w:t>
      </w:r>
    </w:p>
    <w:p>
      <w:pPr>
        <w:spacing w:line="440" w:lineRule="exact"/>
        <w:ind w:firstLine="562" w:firstLineChars="200"/>
        <w:jc w:val="left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（二）基本支出情况</w:t>
      </w:r>
    </w:p>
    <w:p>
      <w:pPr>
        <w:spacing w:line="440" w:lineRule="exact"/>
        <w:ind w:firstLine="560" w:firstLineChars="200"/>
        <w:jc w:val="left"/>
        <w:rPr>
          <w:rFonts w:asciiTheme="minorEastAsia" w:hAnsiTheme="minorEastAsia"/>
          <w:color w:val="212529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12529"/>
          <w:sz w:val="28"/>
          <w:szCs w:val="28"/>
          <w:shd w:val="clear" w:color="auto" w:fill="FFFFFF"/>
        </w:rPr>
        <w:t>基本支出系保障我局机构正常运转、完成日常工作任务而发生的人员支出和公用支出，包括用于在职和离退休人员基本工资、津贴补贴等人员经费以及办公费、印刷费、水电费、办公设备购置等日常公用经费。2022年我局基本支出3587.59万元，其中：工资福利支出1662.63万元，商品和服务支出1214.07万元，对个人和家庭的补助512.36万元，资本性支出198.53万元。</w:t>
      </w:r>
      <w:r>
        <w:rPr>
          <w:rFonts w:hint="eastAsia" w:asciiTheme="minorEastAsia" w:hAnsiTheme="minorEastAsia"/>
          <w:color w:val="212529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212529"/>
          <w:sz w:val="28"/>
          <w:szCs w:val="28"/>
          <w:shd w:val="clear" w:color="auto" w:fill="FFFFFF"/>
        </w:rPr>
        <w:t xml:space="preserve">    2022年“三公”经费实际开支总额0万元。其中：因公出国（境）费支出本年未发生。公务用车购置及运行维护费实际开支0万元（公务用车购置费未发生，公务用车运行维护费0万元），公务用车保有量0辆；公务接待费实际开支0万元。2022年“三公”经费实际开支总额0万元，比2021年同口径减少4.99万元，下降100%。原因为我局严格贯彻中央“八项规定”和厉行节约的要求。</w:t>
      </w:r>
    </w:p>
    <w:p>
      <w:pPr>
        <w:spacing w:line="440" w:lineRule="exact"/>
        <w:ind w:firstLine="562" w:firstLineChars="200"/>
        <w:jc w:val="left"/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（三）项目支出情况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444444"/>
          <w:sz w:val="28"/>
          <w:szCs w:val="28"/>
          <w:shd w:val="clear" w:color="auto" w:fill="FFFFFF"/>
        </w:rPr>
        <w:t>项目支出系我局为完成工作而发生的支出。2022年我局组织实施专项项目经费当年实际收入2106.98万元，其中包括上年结转和结余0万元，预算安排项目经费355.16万元。项目支出2106.98万元（其中：商品和服务支出338.43万元，资本性支出30.13万元），比上年同口径减少1674.93万，降低44.27%。主要用于原因一是部分项目支出滞后，二是因为往年中小学幼儿园财务与教育局统一核算，2021年将各中小学及幼儿园分别单列为预算单位后，部分项目支出列入学校及幼儿园核算。</w:t>
      </w:r>
    </w:p>
    <w:p>
      <w:pPr>
        <w:pStyle w:val="3"/>
        <w:spacing w:before="240" w:beforeAutospacing="0" w:afterAutospacing="0" w:line="440" w:lineRule="exact"/>
        <w:ind w:firstLine="562" w:firstLineChars="200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三、部门整体支出绩效情况</w:t>
      </w:r>
    </w:p>
    <w:p>
      <w:pPr>
        <w:spacing w:line="440" w:lineRule="exact"/>
        <w:ind w:firstLine="562" w:firstLineChars="200"/>
        <w:jc w:val="left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（一）主要绩效指标完成情况</w:t>
      </w:r>
    </w:p>
    <w:p>
      <w:pPr>
        <w:spacing w:line="440" w:lineRule="exact"/>
        <w:ind w:firstLine="562" w:firstLineChars="200"/>
        <w:jc w:val="left"/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1.预算执行情况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641"/>
        <w:rPr>
          <w:rFonts w:asciiTheme="minorEastAsia" w:hAnsiTheme="minorEastAsia" w:eastAsiaTheme="minorEastAsia"/>
          <w:color w:val="212529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529"/>
          <w:sz w:val="28"/>
          <w:szCs w:val="28"/>
        </w:rPr>
        <w:t>①2022年度财政拨款预算执行数为3,587.59万元，其中：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Theme="minorEastAsia" w:hAnsiTheme="minorEastAsia" w:eastAsiaTheme="minorEastAsia"/>
          <w:color w:val="212529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529"/>
          <w:sz w:val="28"/>
          <w:szCs w:val="28"/>
        </w:rPr>
        <w:t>人员经费2,174.99万元，占基本支出的60.63%，主要包括：基本工资、津贴补贴、奖金、伙食补助费、绩效工资、机关事业单位基本养老保险缴费、职业年金缴费、职工基本医疗保险缴费、其他社会保障缴费、住房公积金、其他工资福利支出、生活补助、助学金、其他对个人和家庭的补助。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Theme="minorEastAsia" w:hAnsiTheme="minorEastAsia" w:eastAsiaTheme="minorEastAsia"/>
          <w:color w:val="212529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529"/>
          <w:sz w:val="28"/>
          <w:szCs w:val="28"/>
        </w:rPr>
        <w:t>②公用经费1,412.6万元，占基本支出的39.37%，主要包括：办公设备购置、专用设备购置、信息网络及软件购置更新、其他资本性支出、办公费、印刷费、咨询费、手续费、邮电费、差旅费、维修（护）费、租赁费、培训费、专用材料费、劳务费、委托业务费、工会经费、其他交通费用、其他商品和服务支出。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Theme="minorEastAsia" w:hAnsiTheme="minorEastAsia" w:eastAsiaTheme="minorEastAsia"/>
          <w:color w:val="212529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212529"/>
          <w:sz w:val="28"/>
          <w:szCs w:val="28"/>
          <w:shd w:val="clear" w:color="auto" w:fill="FFFFFF"/>
        </w:rPr>
        <w:t>③2022年度“三公”经费财政拨款支出预算为0万元，支出决算为0万元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Theme="minorEastAsia" w:hAnsiTheme="minorEastAsia" w:eastAsiaTheme="minorEastAsia"/>
          <w:color w:val="212529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212529"/>
          <w:sz w:val="28"/>
          <w:szCs w:val="28"/>
        </w:rPr>
        <w:t>④邵阳市北塔区教育局2022年度政府采购支出总额0万元，其中：政府采购货物支出0万元、政府采购工程支出0万元、政府采购服务支出0万元。授予中小企业合同金额0万元，占政府采购支出总额的0%，其中：授予小微企业合同金额0万元，占政府采购支出总额的0%。货物采购授予中小企业合同金额占货物支出金额的0%，工程采购授予中小企业合同金额占工程支出金额的0%，服务采购授予中小企业合同金额占服务支出金额的0%。</w:t>
      </w:r>
    </w:p>
    <w:p>
      <w:pPr>
        <w:pStyle w:val="3"/>
        <w:widowControl/>
        <w:spacing w:before="240" w:beforeAutospacing="0" w:afterAutospacing="0" w:line="440" w:lineRule="exact"/>
        <w:ind w:firstLine="562" w:firstLineChars="200"/>
        <w:jc w:val="both"/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2.预决算信息公开情况</w:t>
      </w:r>
    </w:p>
    <w:p>
      <w:pPr>
        <w:pStyle w:val="3"/>
        <w:widowControl/>
        <w:spacing w:before="240" w:beforeAutospacing="0" w:afterAutospacing="0" w:line="440" w:lineRule="exact"/>
        <w:ind w:firstLine="420"/>
        <w:jc w:val="both"/>
        <w:rPr>
          <w:rFonts w:hint="eastAsia" w:cs="宋体" w:asciiTheme="minorEastAsia" w:hAnsiTheme="minorEastAsia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cs="方正小标宋_GBK" w:asciiTheme="minorEastAsia" w:hAnsiTheme="minorEastAsia"/>
          <w:sz w:val="28"/>
          <w:szCs w:val="28"/>
        </w:rPr>
        <w:t>北塔区教育局</w:t>
      </w:r>
      <w:r>
        <w:rPr>
          <w:rFonts w:hint="eastAsia" w:cs="宋体" w:asciiTheme="minorEastAsia" w:hAnsiTheme="minorEastAsia"/>
          <w:color w:val="444444"/>
          <w:kern w:val="2"/>
          <w:sz w:val="28"/>
          <w:szCs w:val="28"/>
          <w:shd w:val="clear" w:color="auto" w:fill="FFFFFF"/>
        </w:rPr>
        <w:t>及时在区政府统一平台公开了部门预算、决算和绩效目标、绩效自评报告、“三公经费”等信息，接受群众和社会监督。</w:t>
      </w:r>
    </w:p>
    <w:p>
      <w:pPr>
        <w:pStyle w:val="3"/>
        <w:widowControl/>
        <w:spacing w:before="240" w:beforeAutospacing="0" w:afterAutospacing="0" w:line="440" w:lineRule="exact"/>
        <w:ind w:firstLine="420"/>
        <w:jc w:val="both"/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3.资产管理情况</w:t>
      </w:r>
    </w:p>
    <w:p>
      <w:pPr>
        <w:pStyle w:val="3"/>
        <w:widowControl/>
        <w:spacing w:before="240" w:beforeAutospacing="0" w:afterAutospacing="0" w:line="440" w:lineRule="exact"/>
        <w:ind w:firstLine="420"/>
        <w:jc w:val="both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 xml:space="preserve">  我局资产管理由办公室负责，资产采购按程序实行报批采购，统一在政采云平台下单，采购后登记入账，录入资产信息系统，再派发到相关业务股室。一是我局资产管理和使用坚持统一政策、统一领导、分级管理、责任到人、物尽其用的原则。二是运用资产信息管理系统加强资产管理。对固定资产分别按使用部门、存放地点和使用人顺序编排编码排序，统一录入“一物一条码”信息管理系统，分部门打印出条形码，发放到各部门按要求统一粘贴到固定资产上，并指定专人负责管理。三是每年组织一次固定资产资产清查工作，使固定资产检查常态化，确保账、卡、实相符。四是根据《湖南省财政厅关于做好行政事业性国有资产月报试编工作的通知》文件要求，每月及时通过财政部统一报表系统上报资产月报电子数据，每年编制一次固定资产年报。</w:t>
      </w:r>
    </w:p>
    <w:p>
      <w:pPr>
        <w:pStyle w:val="3"/>
        <w:widowControl/>
        <w:spacing w:before="240" w:beforeAutospacing="0" w:afterAutospacing="0" w:line="440" w:lineRule="exact"/>
        <w:ind w:firstLine="420"/>
        <w:jc w:val="both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截至2022年12月31日，邵阳市北塔区教育局资产总额为10239.13万元，主要由以下部分构成：流动资产334.12万元,占资产总额的3.26%,主要为其他应收款等;固定资产9544.48万元,占资产总额的93.21%，主要包括房屋、办公设备等，在建工程360.524万，占资产总额3.53%。</w:t>
      </w:r>
    </w:p>
    <w:p>
      <w:pPr>
        <w:spacing w:line="440" w:lineRule="exact"/>
        <w:ind w:firstLine="562" w:firstLineChars="200"/>
        <w:jc w:val="left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（二）职责覆行和主要绩效情况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2022年，我局充分履行职责职能，严格执行各项管理制度，经济、社会等效益显著、社会公众满意度上升，较好地完成了全年工作目标。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1. 强化教育履职。加强了“党委统一领导、党政齐抓共管、部门各负其责”的教育工作领导体制，确立了将教育作为“民生福区”的首要举措，以“把北塔区打造成为湖南教育优质均衡示范区”为目标，在推进教育高质量发展上闯出新路子、展现新作为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2. 强化理论武装。坚持把学习贯彻新时代党的创新理论作为首要政治任务，推行教育系统理论学习中心组学习“每月一次、上下同题”，分级分类抓好党史学习教育、五中六中全会精神学习，广泛开展宣传宣讲，深学细照笃行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3. 强化党建引领。全面落实党组织领导下的校长负责制，在基层党支部支部中实施“党建+”“双培养”工程，在团员青年中大力开展“青年大学习”，在广大少先队员中开展“系好人生第一粒扣子”系列主题活动，党建引领、群团跟进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4. 强化执纪监督。压紧压实全面从严治党主体责任，将清廉之责嵌入教育履职的出发点，以“师德师风建设年”为契机，通过开展“六个一”活动，筑牢班子、党员和广大教师清廉履职的“防火墙”，“崇廉倡廉”成为办学治校的有力抓手，“清廉学校”创建收到了扎实成效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5. 全面深化教育督导体制机制改革。调整区人民政府教育督导委员会组成人员和成员单位，设立总督学1人、副总督学1人，合理划分督学责任区，配备专任、职任督学。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6. 统筹推进优质均衡改革试点。制订并出台《北塔区义务教育优质均衡发展督导评估工作规划（2022—2025年）》。投入250余万元完成柑子塘小学等六所乡村小规模学校提质改造，实施状元中学、茶元头中学、陈家桥学校、状元小学协以及鑫阳光小学的运动场及附属设施建设，启动高撑小学扩建和茶元头中学运动场建设两个项目，成功举办以“我的学校，我的愿景”为主题的办学成效展示交流活动，展示各中小学校园风貌、师生风采、办学特色和学校发展愿景。</w:t>
      </w:r>
    </w:p>
    <w:p>
      <w:pPr>
        <w:spacing w:line="440" w:lineRule="exact"/>
        <w:ind w:firstLine="560" w:firstLineChars="200"/>
        <w:jc w:val="left"/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444"/>
          <w:sz w:val="28"/>
          <w:szCs w:val="28"/>
          <w:shd w:val="clear" w:color="auto" w:fill="FFFFFF"/>
        </w:rPr>
        <w:t>7. 深化教师综合管理改革。师资结构进一步优化，2022年通过公招、选调、商调、接收委培毕业生等途径新增教师46人，其中100%以上为本科及以上学历，保障了人才支撑。30名教师进行轮岗交流，促进了城乡师资均衡。本年度120余人参加了国培省培；评定了28名区级骨干教师，区级以上骨干教师达到教师总数的12%，校级以上骨干教师达到教师总数的20%，聘请了27位名师，确定了名师工作室培养对象80人。</w:t>
      </w:r>
    </w:p>
    <w:p>
      <w:pPr>
        <w:spacing w:line="440" w:lineRule="exact"/>
        <w:ind w:firstLine="562" w:firstLineChars="200"/>
        <w:jc w:val="left"/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四、存在的问题及原因分析</w:t>
      </w:r>
    </w:p>
    <w:p>
      <w:pPr>
        <w:spacing w:line="440" w:lineRule="exact"/>
        <w:ind w:firstLine="560" w:firstLineChars="200"/>
        <w:jc w:val="left"/>
        <w:rPr>
          <w:rFonts w:cs="宋体" w:asciiTheme="minorEastAsia" w:hAnsiTheme="minorEastAsia"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12529"/>
          <w:sz w:val="28"/>
          <w:szCs w:val="28"/>
          <w:shd w:val="clear" w:color="auto" w:fill="FFFFFF"/>
        </w:rPr>
        <w:t>2022年部分资金兑付滞后，具体原因是各部门领导会议较多，业务繁忙，导致会审不及时。应对措施：今后将积极统筹安排集中会审时间。</w:t>
      </w:r>
    </w:p>
    <w:p>
      <w:pPr>
        <w:pStyle w:val="3"/>
        <w:spacing w:before="240" w:beforeAutospacing="0" w:afterAutospacing="0" w:line="440" w:lineRule="exact"/>
        <w:ind w:firstLine="562" w:firstLineChars="200"/>
        <w:rPr>
          <w:rFonts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444444"/>
          <w:sz w:val="28"/>
          <w:szCs w:val="28"/>
          <w:shd w:val="clear" w:color="auto" w:fill="FFFFFF"/>
        </w:rPr>
        <w:t>五、改进措施及有关建议</w:t>
      </w:r>
    </w:p>
    <w:p>
      <w:pPr>
        <w:pStyle w:val="6"/>
        <w:spacing w:line="440" w:lineRule="exact"/>
        <w:ind w:firstLine="560" w:firstLineChars="200"/>
        <w:rPr>
          <w:rFonts w:cs="宋体" w:asciiTheme="minorEastAsia" w:hAnsiTheme="minorEastAsia" w:eastAsiaTheme="minorEastAsia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444444"/>
          <w:kern w:val="2"/>
          <w:sz w:val="28"/>
          <w:szCs w:val="28"/>
          <w:shd w:val="clear" w:color="auto" w:fill="FFFFFF"/>
        </w:rPr>
        <w:t>进一步提高绩效管理水平。加强预算执行的准确性，开展好支出绩效管理工作，运用好绩效评价结果，不断提升绩效管理水平。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2E2NThmNTlmNmMzMDE1ZGUyMTE2NzZkNjRjMDEifQ=="/>
  </w:docVars>
  <w:rsids>
    <w:rsidRoot w:val="0045424C"/>
    <w:rsid w:val="003513BC"/>
    <w:rsid w:val="0045424C"/>
    <w:rsid w:val="00554C33"/>
    <w:rsid w:val="007276EF"/>
    <w:rsid w:val="00A20D9A"/>
    <w:rsid w:val="00AA4587"/>
    <w:rsid w:val="00C011E9"/>
    <w:rsid w:val="00CD1C30"/>
    <w:rsid w:val="00D51644"/>
    <w:rsid w:val="025D08EA"/>
    <w:rsid w:val="02A74CAA"/>
    <w:rsid w:val="05213482"/>
    <w:rsid w:val="09E17252"/>
    <w:rsid w:val="0D5E3707"/>
    <w:rsid w:val="11E84674"/>
    <w:rsid w:val="126C42B4"/>
    <w:rsid w:val="17042185"/>
    <w:rsid w:val="1F010C8F"/>
    <w:rsid w:val="20F63895"/>
    <w:rsid w:val="26166273"/>
    <w:rsid w:val="2B032004"/>
    <w:rsid w:val="2C7529D1"/>
    <w:rsid w:val="2D6C05C8"/>
    <w:rsid w:val="34E06D2A"/>
    <w:rsid w:val="3619015E"/>
    <w:rsid w:val="36E22B02"/>
    <w:rsid w:val="37A26170"/>
    <w:rsid w:val="3B9303B2"/>
    <w:rsid w:val="3C8416D7"/>
    <w:rsid w:val="3FAB09ED"/>
    <w:rsid w:val="44AF5D78"/>
    <w:rsid w:val="45833892"/>
    <w:rsid w:val="45CB4E15"/>
    <w:rsid w:val="4ACA7AAB"/>
    <w:rsid w:val="4B991F60"/>
    <w:rsid w:val="4D113C42"/>
    <w:rsid w:val="4E58558A"/>
    <w:rsid w:val="4F3501F1"/>
    <w:rsid w:val="52C04276"/>
    <w:rsid w:val="53202F66"/>
    <w:rsid w:val="55C776C9"/>
    <w:rsid w:val="575435C3"/>
    <w:rsid w:val="58CA4CA4"/>
    <w:rsid w:val="59A70B1E"/>
    <w:rsid w:val="59E60318"/>
    <w:rsid w:val="5CBC5F90"/>
    <w:rsid w:val="5E6D1153"/>
    <w:rsid w:val="5F83500A"/>
    <w:rsid w:val="60745B56"/>
    <w:rsid w:val="641F097E"/>
    <w:rsid w:val="65236940"/>
    <w:rsid w:val="664A41B0"/>
    <w:rsid w:val="66D16D4F"/>
    <w:rsid w:val="66FE6113"/>
    <w:rsid w:val="6B874FA2"/>
    <w:rsid w:val="6FD52562"/>
    <w:rsid w:val="70514092"/>
    <w:rsid w:val="70852420"/>
    <w:rsid w:val="73125FD0"/>
    <w:rsid w:val="76DC35F5"/>
    <w:rsid w:val="7832658D"/>
    <w:rsid w:val="79074D5F"/>
    <w:rsid w:val="7AF745AA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7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3327</Words>
  <Characters>332</Characters>
  <Lines>2</Lines>
  <Paragraphs>7</Paragraphs>
  <TotalTime>30</TotalTime>
  <ScaleCrop>false</ScaleCrop>
  <LinksUpToDate>false</LinksUpToDate>
  <CharactersWithSpaces>3652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2023-10-17T10:11:00Z</dcterms:created>
  <dc:creator>Administrator</dc:creator>
  <cp:lastModifiedBy>云蓝</cp:lastModifiedBy>
  <dcterms:modified xsi:type="dcterms:W3CDTF">2023-10-19T07:04:04Z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940B8059199B4A289414AF523A65E0B0_13</vt:lpwstr>
  </property>
</Properties>
</file>