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after="300" w:line="600" w:lineRule="atLeast"/>
        <w:jc w:val="center"/>
      </w:pPr>
      <w:r>
        <w:rPr>
          <w:rFonts w:hint="eastAsia" w:ascii="宋体" w:hAnsi="宋体" w:eastAsia="宋体" w:cs="宋体"/>
          <w:color w:val="444444"/>
          <w:sz w:val="28"/>
          <w:szCs w:val="28"/>
          <w:shd w:val="clear" w:color="auto" w:fill="FFFFFF"/>
        </w:rPr>
        <w:t> </w:t>
      </w:r>
    </w:p>
    <w:p>
      <w:pPr>
        <w:pStyle w:val="4"/>
        <w:widowControl/>
        <w:spacing w:after="300" w:line="600" w:lineRule="atLeast"/>
        <w:jc w:val="center"/>
      </w:pPr>
      <w:r>
        <w:rPr>
          <w:rFonts w:hint="eastAsia" w:ascii="宋体" w:hAnsi="宋体" w:eastAsia="宋体" w:cs="宋体"/>
          <w:color w:val="444444"/>
          <w:kern w:val="0"/>
          <w:sz w:val="28"/>
          <w:szCs w:val="28"/>
          <w:shd w:val="clear" w:color="auto" w:fill="FFFFFF"/>
        </w:rPr>
        <w:t>第五部分</w:t>
      </w:r>
    </w:p>
    <w:p>
      <w:pPr>
        <w:pStyle w:val="4"/>
        <w:widowControl/>
        <w:spacing w:after="300" w:line="600" w:lineRule="atLeast"/>
        <w:jc w:val="center"/>
      </w:pPr>
      <w:r>
        <w:rPr>
          <w:rFonts w:hint="eastAsia" w:ascii="宋体" w:hAnsi="宋体" w:eastAsia="宋体" w:cs="宋体"/>
          <w:color w:val="444444"/>
          <w:sz w:val="28"/>
          <w:szCs w:val="28"/>
          <w:shd w:val="clear" w:color="auto" w:fill="FFFFFF"/>
        </w:rPr>
        <w:t> </w:t>
      </w:r>
    </w:p>
    <w:p>
      <w:pPr>
        <w:pStyle w:val="4"/>
        <w:widowControl/>
        <w:spacing w:after="300" w:line="600" w:lineRule="atLeast"/>
        <w:jc w:val="center"/>
      </w:pPr>
      <w:r>
        <w:rPr>
          <w:rFonts w:hint="eastAsia" w:ascii="宋体" w:hAnsi="宋体" w:eastAsia="宋体" w:cs="宋体"/>
          <w:color w:val="444444"/>
          <w:kern w:val="0"/>
          <w:sz w:val="28"/>
          <w:szCs w:val="28"/>
          <w:shd w:val="clear" w:color="auto" w:fill="FFFFFF"/>
        </w:rPr>
        <w:t>附件</w:t>
      </w:r>
    </w:p>
    <w:p>
      <w:pPr>
        <w:pStyle w:val="4"/>
        <w:widowControl/>
        <w:spacing w:after="300" w:line="600" w:lineRule="atLeast"/>
        <w:jc w:val="left"/>
      </w:pPr>
      <w:r>
        <w:rPr>
          <w:rFonts w:hint="eastAsia" w:ascii="宋体" w:hAnsi="宋体" w:eastAsia="宋体" w:cs="宋体"/>
          <w:color w:val="444444"/>
          <w:sz w:val="28"/>
          <w:szCs w:val="28"/>
          <w:shd w:val="clear" w:color="auto" w:fill="FFFFFF"/>
        </w:rPr>
        <w:t> </w:t>
      </w:r>
    </w:p>
    <w:p>
      <w:pPr>
        <w:pStyle w:val="4"/>
        <w:widowControl/>
        <w:spacing w:after="300" w:line="600" w:lineRule="atLeast"/>
        <w:jc w:val="center"/>
      </w:pPr>
      <w:r>
        <w:rPr>
          <w:rFonts w:hint="eastAsia" w:ascii="宋体" w:hAnsi="宋体" w:eastAsia="宋体" w:cs="宋体"/>
          <w:color w:val="444444"/>
          <w:sz w:val="28"/>
          <w:szCs w:val="28"/>
          <w:shd w:val="clear" w:color="auto" w:fill="FFFFFF"/>
        </w:rPr>
        <w:t> </w:t>
      </w:r>
    </w:p>
    <w:p>
      <w:pPr>
        <w:pStyle w:val="4"/>
        <w:widowControl/>
        <w:spacing w:after="300" w:line="600" w:lineRule="atLeast"/>
        <w:jc w:val="center"/>
        <w:rPr>
          <w:rFonts w:eastAsia="宋体"/>
          <w:b/>
          <w:sz w:val="36"/>
        </w:rPr>
      </w:pPr>
      <w:r>
        <w:rPr>
          <w:rFonts w:ascii="Times New Roman" w:hAnsi="Times New Roman" w:eastAsia="微软雅黑" w:cs="Times New Roman"/>
          <w:b/>
          <w:bCs/>
          <w:color w:val="444444"/>
          <w:sz w:val="40"/>
          <w:szCs w:val="28"/>
          <w:shd w:val="clear" w:color="auto" w:fill="FFFFFF"/>
        </w:rPr>
        <w:t>2021</w:t>
      </w:r>
      <w:r>
        <w:rPr>
          <w:rFonts w:hint="eastAsia" w:ascii="宋体" w:hAnsi="宋体" w:eastAsia="宋体" w:cs="宋体"/>
          <w:b/>
          <w:bCs/>
          <w:color w:val="444444"/>
          <w:sz w:val="40"/>
          <w:szCs w:val="28"/>
          <w:shd w:val="clear" w:color="auto" w:fill="FFFFFF"/>
        </w:rPr>
        <w:t>年度部门整体支出绩效评价报告</w:t>
      </w:r>
    </w:p>
    <w:p>
      <w:pPr>
        <w:pStyle w:val="4"/>
        <w:widowControl/>
        <w:spacing w:after="300" w:line="600" w:lineRule="atLeast"/>
        <w:jc w:val="left"/>
        <w:rPr>
          <w:rFonts w:ascii="宋体" w:hAnsi="宋体" w:eastAsia="宋体" w:cs="宋体"/>
          <w:b/>
          <w:color w:val="444444"/>
          <w:kern w:val="0"/>
          <w:sz w:val="28"/>
          <w:szCs w:val="28"/>
          <w:shd w:val="clear" w:color="auto" w:fill="FFFFFF"/>
        </w:rPr>
      </w:pPr>
      <w:r>
        <w:rPr>
          <w:rFonts w:hint="eastAsia" w:ascii="宋体" w:hAnsi="宋体" w:eastAsia="宋体" w:cs="宋体"/>
          <w:b/>
          <w:color w:val="444444"/>
          <w:kern w:val="0"/>
          <w:sz w:val="28"/>
          <w:szCs w:val="28"/>
          <w:shd w:val="clear" w:color="auto" w:fill="FFFFFF"/>
        </w:rPr>
        <w:t>一、部门概况</w:t>
      </w:r>
    </w:p>
    <w:p>
      <w:pPr>
        <w:pStyle w:val="4"/>
        <w:widowControl/>
        <w:spacing w:after="300" w:line="600" w:lineRule="atLeast"/>
        <w:jc w:val="left"/>
        <w:rPr>
          <w:rFonts w:ascii="宋体" w:hAnsi="宋体" w:eastAsia="宋体" w:cs="宋体"/>
          <w:color w:val="444444"/>
          <w:kern w:val="0"/>
          <w:sz w:val="28"/>
          <w:szCs w:val="28"/>
          <w:shd w:val="clear" w:color="auto" w:fill="FFFFFF"/>
        </w:rPr>
      </w:pPr>
      <w:r>
        <w:rPr>
          <w:rFonts w:hint="eastAsia"/>
          <w:color w:val="1E1E1E"/>
        </w:rPr>
        <w:t>邵阳市北塔区工商业联合会（总商会）（以下简称北塔区工商联），是中共邵阳市北塔区委领导的以非公有制企业和非公有制经济人士为主体，具有统战性、经济性、民间性的人民团体和商会组织，为正科级。在区委、区政府领导下做好非公有制经济代表人士思想政治工作，充分发挥桥梁纽带作用。</w:t>
      </w:r>
    </w:p>
    <w:p>
      <w:pPr>
        <w:pStyle w:val="4"/>
        <w:widowControl/>
        <w:spacing w:after="300" w:line="600" w:lineRule="atLeast"/>
        <w:jc w:val="left"/>
        <w:rPr>
          <w:b/>
        </w:rPr>
      </w:pPr>
      <w:r>
        <w:rPr>
          <w:rFonts w:hint="eastAsia" w:ascii="宋体" w:hAnsi="宋体" w:eastAsia="宋体" w:cs="宋体"/>
          <w:b/>
          <w:color w:val="444444"/>
          <w:kern w:val="0"/>
          <w:sz w:val="28"/>
          <w:szCs w:val="28"/>
          <w:shd w:val="clear" w:color="auto" w:fill="FFFFFF"/>
        </w:rPr>
        <w:t>（一）基本情况。</w:t>
      </w:r>
    </w:p>
    <w:p>
      <w:pPr>
        <w:shd w:val="clear" w:color="auto" w:fill="FFFFFF"/>
        <w:spacing w:before="100" w:beforeAutospacing="1" w:after="100" w:afterAutospacing="1" w:line="480" w:lineRule="exact"/>
        <w:ind w:firstLine="560" w:firstLineChars="200"/>
        <w:rPr>
          <w:rFonts w:ascii="宋体" w:hAnsi="宋体" w:eastAsia="宋体" w:cs="宋体"/>
          <w:color w:val="444444"/>
          <w:kern w:val="0"/>
          <w:sz w:val="28"/>
          <w:szCs w:val="28"/>
          <w:shd w:val="clear" w:color="auto" w:fill="FFFFFF"/>
        </w:rPr>
      </w:pPr>
      <w:r>
        <w:rPr>
          <w:rFonts w:hint="eastAsia" w:ascii="宋体" w:hAnsi="宋体" w:eastAsia="宋体" w:cs="宋体"/>
          <w:color w:val="444444"/>
          <w:kern w:val="0"/>
          <w:sz w:val="28"/>
          <w:szCs w:val="28"/>
          <w:shd w:val="clear" w:color="auto" w:fill="FFFFFF"/>
        </w:rPr>
        <w:t>1．主要职能。</w:t>
      </w:r>
    </w:p>
    <w:p>
      <w:pPr>
        <w:shd w:val="clear" w:color="auto" w:fill="FFFFFF"/>
        <w:spacing w:before="100" w:beforeAutospacing="1" w:after="100" w:afterAutospacing="1" w:line="480" w:lineRule="exact"/>
        <w:ind w:firstLine="480" w:firstLineChars="200"/>
        <w:rPr>
          <w:rFonts w:ascii="宋体" w:hAnsi="宋体" w:eastAsia="宋体" w:cs="宋体"/>
          <w:color w:val="1E1E1E"/>
          <w:kern w:val="0"/>
          <w:sz w:val="24"/>
        </w:rPr>
      </w:pPr>
      <w:r>
        <w:rPr>
          <w:rFonts w:hint="eastAsia" w:ascii="宋体" w:hAnsi="宋体" w:eastAsia="宋体" w:cs="宋体"/>
          <w:color w:val="1E1E1E"/>
          <w:sz w:val="24"/>
        </w:rPr>
        <w:t>（一）参政议政，参与政府事务和经济、社会重大决策的政治协商，发挥民主监督作用，做好非公有制经济代表人士政治安排的推荐工作，对本区有关政策的制订提出建议并协助贯彻执行。</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（二）宣传国家方针政策，加强和改进思想政治工作，对会员进行团结、引导、服务、教育，引导民营企业家自觉做爱国敬业、守法经营、创业创新、回报社会的典范。</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（三）维护会员的合法利益，反映会员的意见、要求和建议，在会员与政府之间发挥桥梁纽带作用，当好政府管理和服务非公有制经济的助手。</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四）为会员在参与社会主义市场经济建设过程中，提供市场、技术、商品等信息服务，为会员管理提供法律、会计、审计等咨询服务，帮助会员改善经营管理、提高生产技术和产品质量，改进财务、纳税等工作。</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（五）组织会员举办和参加各种展览会、交易会，组织会员出国、出省进行商务活动，帮助会员开拓国内、国际市场。</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（六）为会员提供必要的证明，协调会员与相关部门的联系，为会员和会员企业调解有关经济纠纷。</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（七）指导异地北塔商会、行业商协会、乡（街道）基层商会贯彻执行党的路线、方针、政策，加强党的建设，加强行业协作和自律。</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（八）联络异地北塔商会、行业商协会；为异地北塔商会、行业商协会的发展提供指导、引导、协调和服务；指导做好异地北塔商协会的联络工作。</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（九）增进与台湾、香港、澳门地区和世界工商社团及经济界人士的联系和联谊，促进经济技术、贸易合作的发展，协助引进资金、技术、人才。</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（十）组织非公有制经济人士积极参与党和政府中心工作，参与同心工程、社会主义新农村建设和社会公益事业，积极做好“光彩事业”及其他社会服务工作。</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（十一）协助管理非公有制经济方面的专业技术职务评聘、产品质量监督、经济仲裁及其他人事管理等有关工作。</w:t>
      </w:r>
    </w:p>
    <w:p>
      <w:pPr>
        <w:shd w:val="clear" w:color="auto" w:fill="FFFFFF"/>
        <w:spacing w:before="100" w:beforeAutospacing="1"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（十二）完成区委、区政府交办的其他任务。</w:t>
      </w:r>
    </w:p>
    <w:p>
      <w:pPr>
        <w:pStyle w:val="4"/>
        <w:widowControl/>
        <w:spacing w:after="300" w:line="600" w:lineRule="atLeast"/>
        <w:jc w:val="left"/>
      </w:pPr>
    </w:p>
    <w:p>
      <w:pPr>
        <w:pStyle w:val="4"/>
        <w:widowControl/>
        <w:spacing w:after="300" w:line="600" w:lineRule="atLeast"/>
        <w:jc w:val="left"/>
        <w:rPr>
          <w:rFonts w:ascii="宋体" w:hAnsi="宋体" w:eastAsia="宋体" w:cs="宋体"/>
          <w:b/>
          <w:color w:val="444444"/>
          <w:kern w:val="0"/>
          <w:sz w:val="28"/>
          <w:szCs w:val="28"/>
          <w:shd w:val="clear" w:color="auto" w:fill="FFFFFF"/>
        </w:rPr>
      </w:pPr>
      <w:r>
        <w:rPr>
          <w:rFonts w:hint="eastAsia" w:ascii="宋体" w:hAnsi="宋体" w:eastAsia="宋体" w:cs="宋体"/>
          <w:b/>
          <w:color w:val="444444"/>
          <w:kern w:val="0"/>
          <w:sz w:val="28"/>
          <w:szCs w:val="28"/>
          <w:shd w:val="clear" w:color="auto" w:fill="FFFFFF"/>
        </w:rPr>
        <w:t>2.机构情况。</w:t>
      </w:r>
    </w:p>
    <w:p>
      <w:pPr>
        <w:pStyle w:val="4"/>
        <w:widowControl/>
        <w:spacing w:after="300" w:line="600" w:lineRule="atLeast"/>
        <w:jc w:val="left"/>
      </w:pPr>
      <w:r>
        <w:rPr>
          <w:rFonts w:hint="eastAsia"/>
          <w:color w:val="1E1E1E"/>
        </w:rPr>
        <w:t>北塔区工商联设办公室、会员和商会部、经济联络与法律服务部等</w:t>
      </w:r>
      <w:r>
        <w:rPr>
          <w:rFonts w:hint="eastAsia"/>
          <w:color w:val="1E1E1E"/>
          <w:lang w:val="en-US" w:eastAsia="zh-CN"/>
        </w:rPr>
        <w:t>4</w:t>
      </w:r>
      <w:bookmarkStart w:id="1" w:name="_GoBack"/>
      <w:bookmarkEnd w:id="1"/>
      <w:r>
        <w:rPr>
          <w:rFonts w:hint="eastAsia"/>
          <w:color w:val="1E1E1E"/>
        </w:rPr>
        <w:t>个股室。</w:t>
      </w:r>
    </w:p>
    <w:p>
      <w:pPr>
        <w:pStyle w:val="4"/>
        <w:widowControl/>
        <w:spacing w:after="300" w:line="600" w:lineRule="atLeast"/>
        <w:jc w:val="left"/>
        <w:rPr>
          <w:rFonts w:ascii="宋体" w:hAnsi="宋体" w:eastAsia="宋体" w:cs="宋体"/>
          <w:b/>
          <w:color w:val="444444"/>
          <w:kern w:val="0"/>
          <w:sz w:val="28"/>
          <w:szCs w:val="28"/>
          <w:shd w:val="clear" w:color="auto" w:fill="FFFFFF"/>
        </w:rPr>
      </w:pPr>
      <w:r>
        <w:rPr>
          <w:rFonts w:hint="eastAsia" w:ascii="宋体" w:hAnsi="宋体" w:eastAsia="宋体" w:cs="宋体"/>
          <w:b/>
          <w:color w:val="444444"/>
          <w:kern w:val="0"/>
          <w:sz w:val="28"/>
          <w:szCs w:val="28"/>
          <w:shd w:val="clear" w:color="auto" w:fill="FFFFFF"/>
        </w:rPr>
        <w:t>3.人员情况。</w:t>
      </w:r>
    </w:p>
    <w:p>
      <w:pPr>
        <w:pStyle w:val="4"/>
        <w:widowControl/>
        <w:spacing w:after="300" w:line="600" w:lineRule="atLeast"/>
        <w:jc w:val="left"/>
      </w:pPr>
      <w:r>
        <w:rPr>
          <w:rFonts w:hint="eastAsia"/>
          <w:color w:val="1E1E1E"/>
        </w:rPr>
        <w:t>北塔区工商联编制人数3人，实际人数3人，离退休0人，小车编制数0台，实际无，办公室2间，房屋面积共40平方米。</w:t>
      </w:r>
    </w:p>
    <w:p>
      <w:pPr>
        <w:pStyle w:val="4"/>
        <w:widowControl/>
        <w:spacing w:after="300" w:line="600" w:lineRule="atLeast"/>
        <w:jc w:val="left"/>
        <w:rPr>
          <w:b/>
        </w:rPr>
      </w:pPr>
      <w:r>
        <w:rPr>
          <w:rFonts w:hint="eastAsia" w:ascii="宋体" w:hAnsi="宋体" w:eastAsia="宋体" w:cs="宋体"/>
          <w:b/>
          <w:color w:val="444444"/>
          <w:kern w:val="0"/>
          <w:sz w:val="28"/>
          <w:szCs w:val="28"/>
          <w:shd w:val="clear" w:color="auto" w:fill="FFFFFF"/>
        </w:rPr>
        <w:t>二、部门整体支出管理及使用情况</w:t>
      </w:r>
    </w:p>
    <w:p>
      <w:pPr>
        <w:pStyle w:val="4"/>
        <w:widowControl/>
        <w:spacing w:after="300" w:line="600" w:lineRule="atLeast"/>
        <w:jc w:val="left"/>
      </w:pPr>
      <w:r>
        <w:rPr>
          <w:rFonts w:hint="eastAsia" w:ascii="宋体" w:hAnsi="宋体" w:eastAsia="宋体" w:cs="宋体"/>
          <w:color w:val="444444"/>
          <w:kern w:val="0"/>
          <w:sz w:val="28"/>
          <w:szCs w:val="28"/>
          <w:shd w:val="clear" w:color="auto" w:fill="FFFFFF"/>
        </w:rPr>
        <w:t>（一）基本支出</w:t>
      </w:r>
    </w:p>
    <w:p>
      <w:pPr>
        <w:pStyle w:val="4"/>
        <w:widowControl/>
        <w:spacing w:after="300" w:line="600" w:lineRule="atLeast"/>
        <w:jc w:val="left"/>
      </w:pPr>
      <w:r>
        <w:rPr>
          <w:rFonts w:hint="eastAsia" w:ascii="宋体" w:hAnsi="宋体" w:eastAsia="宋体" w:cs="宋体"/>
          <w:color w:val="444444"/>
          <w:kern w:val="0"/>
          <w:sz w:val="28"/>
          <w:szCs w:val="28"/>
          <w:shd w:val="clear" w:color="auto" w:fill="FFFFFF"/>
        </w:rPr>
        <w:t>基本支出系保障我局机构正常运转、完成日常工作任务而发生的人员支出和公用支出，包括用于在职和离退休人员基本工资、津贴补贴等人员经费以及办公费、印刷费、水电费、办公设备购置等日常公用经费。2021年我联基本支出65.55万元，比上年同口径增加16.38万元，增长33.31%。其中：工资福利支出49.26万元，商品和服务支出14.29万元，对个人和家庭的补助2.01万元，资本性支出0万元。</w:t>
      </w:r>
    </w:p>
    <w:p>
      <w:pPr>
        <w:pStyle w:val="4"/>
        <w:widowControl/>
        <w:spacing w:after="300" w:line="600" w:lineRule="atLeast"/>
        <w:jc w:val="left"/>
      </w:pPr>
      <w:r>
        <w:rPr>
          <w:rFonts w:hint="eastAsia" w:ascii="宋体" w:hAnsi="宋体" w:eastAsia="宋体" w:cs="宋体"/>
          <w:color w:val="444444"/>
          <w:kern w:val="0"/>
          <w:sz w:val="28"/>
          <w:szCs w:val="28"/>
          <w:shd w:val="clear" w:color="auto" w:fill="FFFFFF"/>
        </w:rPr>
        <w:t>2021年“三公”经费实际开支总额0.05万元。其中：因公出国（境）费支出本年未发生。公务用车购置及运行维护费实际开支0万元（公务用车购置费未发生，公务用车运行维护费0万元），公务用车保有量0辆；公务接待费实际开支0.05万元，公务接待2批次4人次。2021年“三公”经费实际开支总额比2020年同口径增加了0.05万原因为接待了外单位来访</w:t>
      </w:r>
    </w:p>
    <w:p>
      <w:pPr>
        <w:pStyle w:val="4"/>
        <w:widowControl/>
        <w:spacing w:after="300" w:line="600" w:lineRule="atLeast"/>
        <w:jc w:val="left"/>
        <w:rPr>
          <w:rFonts w:ascii="宋体" w:hAnsi="宋体" w:eastAsia="宋体" w:cs="宋体"/>
          <w:color w:val="444444"/>
          <w:kern w:val="0"/>
          <w:sz w:val="28"/>
          <w:szCs w:val="28"/>
          <w:shd w:val="clear" w:color="auto" w:fill="FFFFFF"/>
        </w:rPr>
      </w:pPr>
      <w:r>
        <w:rPr>
          <w:rFonts w:hint="eastAsia" w:ascii="宋体" w:hAnsi="宋体" w:eastAsia="宋体" w:cs="宋体"/>
          <w:color w:val="444444"/>
          <w:kern w:val="0"/>
          <w:sz w:val="28"/>
          <w:szCs w:val="28"/>
          <w:shd w:val="clear" w:color="auto" w:fill="FFFFFF"/>
        </w:rPr>
        <w:t>（二）专项支出</w:t>
      </w:r>
    </w:p>
    <w:p>
      <w:pPr>
        <w:pStyle w:val="4"/>
        <w:widowControl/>
        <w:spacing w:after="300" w:line="600" w:lineRule="atLeast"/>
        <w:jc w:val="left"/>
      </w:pPr>
      <w:r>
        <w:rPr>
          <w:rFonts w:hint="eastAsia" w:ascii="宋体" w:hAnsi="宋体" w:eastAsia="宋体" w:cs="宋体"/>
          <w:color w:val="444444"/>
          <w:kern w:val="0"/>
          <w:sz w:val="28"/>
          <w:szCs w:val="28"/>
          <w:shd w:val="clear" w:color="auto" w:fill="FFFFFF"/>
        </w:rPr>
        <w:t>2021年我联项目支出0万元。</w:t>
      </w:r>
    </w:p>
    <w:p>
      <w:pPr>
        <w:pStyle w:val="4"/>
        <w:widowControl/>
        <w:spacing w:after="300" w:line="600" w:lineRule="atLeast"/>
        <w:jc w:val="left"/>
        <w:rPr>
          <w:b/>
        </w:rPr>
      </w:pPr>
      <w:r>
        <w:rPr>
          <w:rFonts w:hint="eastAsia" w:ascii="宋体" w:hAnsi="宋体" w:eastAsia="宋体" w:cs="宋体"/>
          <w:b/>
          <w:color w:val="444444"/>
          <w:kern w:val="0"/>
          <w:sz w:val="28"/>
          <w:szCs w:val="28"/>
          <w:shd w:val="clear" w:color="auto" w:fill="FFFFFF"/>
        </w:rPr>
        <w:t>三、资产管理情况</w:t>
      </w:r>
    </w:p>
    <w:p>
      <w:pPr>
        <w:pStyle w:val="4"/>
        <w:widowControl/>
        <w:spacing w:after="300" w:line="600" w:lineRule="atLeast"/>
        <w:jc w:val="left"/>
        <w:rPr>
          <w:rFonts w:eastAsia="宋体"/>
        </w:rPr>
      </w:pPr>
      <w:r>
        <w:rPr>
          <w:rFonts w:ascii="仿宋" w:hAnsi="仿宋" w:eastAsia="仿宋" w:cs="仿宋"/>
          <w:sz w:val="32"/>
          <w:szCs w:val="32"/>
        </w:rPr>
        <w:t>我</w:t>
      </w:r>
      <w:r>
        <w:rPr>
          <w:rFonts w:hint="eastAsia" w:ascii="仿宋" w:hAnsi="仿宋" w:eastAsia="仿宋" w:cs="仿宋"/>
          <w:sz w:val="32"/>
          <w:szCs w:val="32"/>
        </w:rPr>
        <w:t>联</w:t>
      </w:r>
      <w:r>
        <w:rPr>
          <w:rFonts w:ascii="仿宋" w:hAnsi="仿宋" w:eastAsia="仿宋" w:cs="仿宋"/>
          <w:sz w:val="32"/>
          <w:szCs w:val="32"/>
        </w:rPr>
        <w:t>资产管理由办公室负责，资产采购按程序实行报批采购，</w:t>
      </w:r>
      <w:r>
        <w:rPr>
          <w:rFonts w:hint="eastAsia" w:ascii="仿宋" w:hAnsi="仿宋" w:eastAsia="仿宋" w:cs="仿宋"/>
          <w:sz w:val="32"/>
          <w:szCs w:val="32"/>
        </w:rPr>
        <w:t>统一在政采云平台下单，</w:t>
      </w:r>
      <w:r>
        <w:rPr>
          <w:rFonts w:ascii="仿宋" w:hAnsi="仿宋" w:eastAsia="仿宋" w:cs="仿宋"/>
          <w:sz w:val="32"/>
          <w:szCs w:val="32"/>
        </w:rPr>
        <w:t>采购后登记</w:t>
      </w:r>
      <w:r>
        <w:rPr>
          <w:rFonts w:hint="eastAsia" w:ascii="仿宋" w:hAnsi="仿宋" w:eastAsia="仿宋" w:cs="仿宋"/>
          <w:sz w:val="32"/>
          <w:szCs w:val="32"/>
        </w:rPr>
        <w:t>入账，录入资产信息系统</w:t>
      </w:r>
      <w:r>
        <w:rPr>
          <w:rFonts w:ascii="仿宋" w:hAnsi="仿宋" w:eastAsia="仿宋" w:cs="仿宋"/>
          <w:sz w:val="32"/>
          <w:szCs w:val="32"/>
        </w:rPr>
        <w:t>，再派发到相关科室。</w:t>
      </w:r>
      <w:r>
        <w:rPr>
          <w:rFonts w:hint="eastAsia" w:ascii="仿宋" w:hAnsi="仿宋" w:eastAsia="仿宋" w:cs="仿宋"/>
          <w:sz w:val="32"/>
          <w:szCs w:val="32"/>
        </w:rPr>
        <w:t>一是我联资产管理和使用坚持统一政策、统一领导、分级管理、责任到人、物尽其用的原则。</w:t>
      </w:r>
      <w:r>
        <w:rPr>
          <w:rFonts w:ascii="仿宋" w:hAnsi="仿宋" w:eastAsia="仿宋" w:cs="仿宋"/>
          <w:sz w:val="32"/>
          <w:szCs w:val="32"/>
        </w:rPr>
        <w:t>二是运用</w:t>
      </w:r>
      <w:r>
        <w:rPr>
          <w:rFonts w:hint="eastAsia" w:ascii="仿宋" w:hAnsi="仿宋" w:eastAsia="仿宋" w:cs="仿宋"/>
          <w:sz w:val="32"/>
          <w:szCs w:val="32"/>
        </w:rPr>
        <w:t>资产</w:t>
      </w:r>
      <w:r>
        <w:rPr>
          <w:rFonts w:ascii="仿宋" w:hAnsi="仿宋" w:eastAsia="仿宋" w:cs="仿宋"/>
          <w:sz w:val="32"/>
          <w:szCs w:val="32"/>
        </w:rPr>
        <w:t>信息管理系统加强资产管理。</w:t>
      </w:r>
      <w:r>
        <w:rPr>
          <w:rFonts w:hint="eastAsia" w:ascii="仿宋" w:hAnsi="仿宋" w:eastAsia="仿宋" w:cs="仿宋"/>
          <w:sz w:val="32"/>
          <w:szCs w:val="32"/>
        </w:rPr>
        <w:t>对</w:t>
      </w:r>
      <w:r>
        <w:rPr>
          <w:rFonts w:ascii="仿宋" w:hAnsi="仿宋" w:eastAsia="仿宋" w:cs="仿宋"/>
          <w:sz w:val="32"/>
          <w:szCs w:val="32"/>
        </w:rPr>
        <w:t>固定资产分别按使用部门、存放地点和</w:t>
      </w:r>
      <w:r>
        <w:rPr>
          <w:rFonts w:hint="eastAsia" w:ascii="仿宋" w:hAnsi="仿宋" w:eastAsia="仿宋" w:cs="仿宋"/>
          <w:sz w:val="32"/>
          <w:szCs w:val="32"/>
        </w:rPr>
        <w:t>使用</w:t>
      </w:r>
      <w:r>
        <w:rPr>
          <w:rFonts w:ascii="仿宋" w:hAnsi="仿宋" w:eastAsia="仿宋" w:cs="仿宋"/>
          <w:sz w:val="32"/>
          <w:szCs w:val="32"/>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仿宋" w:hAnsi="仿宋" w:eastAsia="仿宋" w:cs="仿宋"/>
          <w:sz w:val="32"/>
          <w:szCs w:val="32"/>
        </w:rPr>
        <w:t>常态</w:t>
      </w:r>
      <w:r>
        <w:rPr>
          <w:rFonts w:ascii="仿宋" w:hAnsi="仿宋" w:eastAsia="仿宋" w:cs="仿宋"/>
          <w:sz w:val="32"/>
          <w:szCs w:val="32"/>
        </w:rPr>
        <w:t>化，确保账、卡、实相符。四是根据《湖南省财政厅关于做好行政事业性国有资产月报试编工作的通知》文件要求，每月及时通过财政部统一报表系统上报资产月报电子数据</w:t>
      </w:r>
      <w:r>
        <w:rPr>
          <w:rFonts w:hint="eastAsia" w:ascii="仿宋" w:hAnsi="仿宋" w:eastAsia="仿宋" w:cs="仿宋"/>
          <w:sz w:val="32"/>
          <w:szCs w:val="32"/>
        </w:rPr>
        <w:t>，每年编制一次固定资产年报</w:t>
      </w:r>
    </w:p>
    <w:p>
      <w:pPr>
        <w:pStyle w:val="4"/>
        <w:widowControl/>
        <w:spacing w:after="300" w:line="600" w:lineRule="atLeast"/>
        <w:jc w:val="left"/>
      </w:pPr>
      <w:r>
        <w:rPr>
          <w:rFonts w:hint="eastAsia" w:ascii="宋体" w:hAnsi="宋体" w:eastAsia="宋体" w:cs="宋体"/>
          <w:color w:val="444444"/>
          <w:kern w:val="0"/>
          <w:sz w:val="28"/>
          <w:szCs w:val="28"/>
          <w:shd w:val="clear" w:color="auto" w:fill="FFFFFF"/>
        </w:rPr>
        <w:t>截至2021年12月31日，邵阳市北塔区工商业联合会（总商会）资产总额为2.26万元，主要由以下部分构成：流动资产0万元,占资产总额的0%,主要为银行存款及其他应收款等;固定资产2.26万元,占资产总额的100%，主要包括办公设备等。</w:t>
      </w:r>
      <w:r>
        <w:rPr>
          <w:rFonts w:hint="eastAsia" w:ascii="微软雅黑" w:hAnsi="微软雅黑" w:eastAsia="微软雅黑" w:cs="微软雅黑"/>
          <w:color w:val="444444"/>
          <w:sz w:val="28"/>
          <w:szCs w:val="28"/>
          <w:shd w:val="clear" w:color="auto" w:fill="FFFFFF"/>
        </w:rPr>
        <w:t> </w:t>
      </w:r>
    </w:p>
    <w:p>
      <w:pPr>
        <w:pStyle w:val="4"/>
        <w:widowControl/>
        <w:spacing w:after="300" w:line="600" w:lineRule="atLeast"/>
        <w:jc w:val="left"/>
        <w:rPr>
          <w:b/>
        </w:rPr>
      </w:pPr>
      <w:r>
        <w:rPr>
          <w:rFonts w:hint="eastAsia" w:ascii="宋体" w:hAnsi="宋体" w:eastAsia="宋体" w:cs="宋体"/>
          <w:b/>
          <w:color w:val="444444"/>
          <w:kern w:val="0"/>
          <w:sz w:val="28"/>
          <w:szCs w:val="28"/>
          <w:shd w:val="clear" w:color="auto" w:fill="FFFFFF"/>
        </w:rPr>
        <w:t>四、部门整体支出绩效情况</w:t>
      </w:r>
    </w:p>
    <w:p>
      <w:pPr>
        <w:pStyle w:val="4"/>
        <w:widowControl/>
        <w:spacing w:after="300" w:line="600" w:lineRule="atLeast"/>
        <w:jc w:val="left"/>
        <w:rPr>
          <w:rFonts w:ascii="宋体" w:hAnsi="宋体" w:eastAsia="宋体" w:cs="宋体"/>
          <w:color w:val="444444"/>
          <w:kern w:val="0"/>
          <w:sz w:val="28"/>
          <w:szCs w:val="28"/>
          <w:shd w:val="clear" w:color="auto" w:fill="FFFFFF"/>
        </w:rPr>
      </w:pPr>
      <w:r>
        <w:rPr>
          <w:rFonts w:hint="eastAsia" w:ascii="宋体" w:hAnsi="宋体" w:eastAsia="宋体" w:cs="宋体"/>
          <w:color w:val="444444"/>
          <w:kern w:val="0"/>
          <w:sz w:val="28"/>
          <w:szCs w:val="28"/>
          <w:shd w:val="clear" w:color="auto" w:fill="FFFFFF"/>
        </w:rPr>
        <w:t>2021年，我联充分履行职责职能，严格执行各项管理制度，经济、社会等效益显著、社会公众满意度上升，较好地完成了全年工作目标。</w:t>
      </w:r>
    </w:p>
    <w:p>
      <w:pPr>
        <w:shd w:val="clear" w:color="auto" w:fill="FFFFFF"/>
        <w:spacing w:before="100" w:beforeAutospacing="1" w:after="100" w:afterAutospacing="1" w:line="480" w:lineRule="exact"/>
        <w:ind w:firstLine="482" w:firstLineChars="200"/>
        <w:jc w:val="left"/>
        <w:rPr>
          <w:rFonts w:ascii="宋体" w:hAnsi="宋体" w:eastAsia="宋体" w:cs="宋体"/>
          <w:color w:val="1E1E1E"/>
          <w:kern w:val="0"/>
          <w:sz w:val="24"/>
        </w:rPr>
      </w:pPr>
      <w:r>
        <w:rPr>
          <w:rFonts w:hint="eastAsia" w:ascii="宋体" w:hAnsi="宋体" w:eastAsia="宋体" w:cs="宋体"/>
          <w:b/>
          <w:bCs/>
          <w:color w:val="1E1E1E"/>
          <w:sz w:val="24"/>
        </w:rPr>
        <w:t>（一）预算配置</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2021年，我联在职人员编制数为3人，年末实际在职人数为3人，财政在职人员控制率为100%。年初预算收入43.75万元，年末决算收入65.55万元；年末决算支出65.55万元，项目资金结转结余0万元。</w:t>
      </w:r>
    </w:p>
    <w:p>
      <w:pPr>
        <w:shd w:val="clear" w:color="auto" w:fill="FFFFFF"/>
        <w:spacing w:before="100" w:beforeAutospacing="1" w:after="100" w:afterAutospacing="1" w:line="480" w:lineRule="exact"/>
        <w:ind w:firstLine="482" w:firstLineChars="200"/>
        <w:jc w:val="left"/>
        <w:rPr>
          <w:rFonts w:ascii="宋体" w:hAnsi="宋体" w:eastAsia="宋体" w:cs="宋体"/>
          <w:color w:val="1E1E1E"/>
          <w:kern w:val="0"/>
          <w:sz w:val="24"/>
        </w:rPr>
      </w:pPr>
      <w:r>
        <w:rPr>
          <w:rFonts w:hint="eastAsia" w:ascii="宋体" w:hAnsi="宋体" w:eastAsia="宋体" w:cs="宋体"/>
          <w:b/>
          <w:bCs/>
          <w:color w:val="1E1E1E"/>
          <w:sz w:val="24"/>
        </w:rPr>
        <w:t>（二）预算执行</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政务公开网公布部门财政预算批复及执行情况，及时公布“三公经费”支出情况，接受监督。三是建立健全项目资金管理制度。对于财政性专项资金，在区财政局的督导下，严格按专项资金项目实施方案执行，督促项目承担单位加快项目实施进度，及时办理报账、验收、结算等相关手续，做到不集中使用、不滥用资金，最大限度提高专项资金利用效率。</w:t>
      </w:r>
    </w:p>
    <w:p>
      <w:pPr>
        <w:shd w:val="clear" w:color="auto" w:fill="FFFFFF"/>
        <w:spacing w:before="100" w:beforeAutospacing="1" w:after="100" w:afterAutospacing="1" w:line="480" w:lineRule="exact"/>
        <w:ind w:firstLine="482" w:firstLineChars="200"/>
        <w:jc w:val="left"/>
        <w:rPr>
          <w:rFonts w:ascii="宋体" w:hAnsi="宋体" w:eastAsia="宋体" w:cs="宋体"/>
          <w:color w:val="1E1E1E"/>
          <w:kern w:val="0"/>
          <w:sz w:val="24"/>
        </w:rPr>
      </w:pPr>
      <w:r>
        <w:rPr>
          <w:rFonts w:hint="eastAsia" w:ascii="宋体" w:hAnsi="宋体" w:eastAsia="宋体" w:cs="宋体"/>
          <w:b/>
          <w:bCs/>
          <w:color w:val="1E1E1E"/>
          <w:sz w:val="24"/>
        </w:rPr>
        <w:t>（三）预算管理</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为规范机关财务管理，建立健全财务管理制度，我联制订了《邵阳市北塔区工商联内部管理制度》等一系列合法合规、较为完整的、具有很强的可操作性财务管理制度。坚持经费预算科学化、精细化，执行控制规范化、责任化，监督检查常态化、同步化。</w:t>
      </w:r>
    </w:p>
    <w:p>
      <w:pPr>
        <w:shd w:val="clear" w:color="auto" w:fill="FFFFFF"/>
        <w:spacing w:before="100" w:beforeAutospacing="1"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pStyle w:val="4"/>
        <w:widowControl/>
        <w:spacing w:after="300" w:line="600" w:lineRule="atLeast"/>
        <w:jc w:val="left"/>
        <w:rPr>
          <w:b/>
        </w:rPr>
      </w:pPr>
      <w:r>
        <w:rPr>
          <w:rFonts w:hint="eastAsia" w:ascii="宋体" w:hAnsi="宋体" w:eastAsia="宋体" w:cs="宋体"/>
          <w:b/>
          <w:color w:val="444444"/>
          <w:kern w:val="0"/>
          <w:sz w:val="28"/>
          <w:szCs w:val="28"/>
          <w:shd w:val="clear" w:color="auto" w:fill="FFFFFF"/>
        </w:rPr>
        <w:t>五、综合评价情况及评价结论</w:t>
      </w:r>
    </w:p>
    <w:p>
      <w:pPr>
        <w:pStyle w:val="4"/>
        <w:widowControl/>
        <w:spacing w:after="300" w:line="600" w:lineRule="atLeast"/>
        <w:jc w:val="left"/>
      </w:pPr>
      <w:r>
        <w:rPr>
          <w:rFonts w:hint="eastAsia" w:ascii="宋体" w:hAnsi="宋体" w:eastAsia="宋体" w:cs="宋体"/>
          <w:color w:val="444444"/>
          <w:kern w:val="0"/>
          <w:sz w:val="28"/>
          <w:szCs w:val="28"/>
          <w:shd w:val="clear" w:color="auto" w:fill="FFFFFF"/>
        </w:rPr>
        <w:t>2021年我联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联整体支出绩效自评90分，自评结果为良好。</w:t>
      </w:r>
    </w:p>
    <w:p>
      <w:pPr>
        <w:pStyle w:val="4"/>
        <w:widowControl/>
        <w:spacing w:after="300" w:line="600" w:lineRule="atLeast"/>
        <w:jc w:val="left"/>
        <w:rPr>
          <w:rFonts w:ascii="宋体" w:hAnsi="宋体" w:eastAsia="宋体" w:cs="宋体"/>
          <w:b/>
          <w:color w:val="444444"/>
          <w:kern w:val="0"/>
          <w:sz w:val="28"/>
          <w:szCs w:val="28"/>
          <w:shd w:val="clear" w:color="auto" w:fill="FFFFFF"/>
        </w:rPr>
      </w:pPr>
      <w:r>
        <w:rPr>
          <w:rFonts w:hint="eastAsia" w:ascii="宋体" w:hAnsi="宋体" w:eastAsia="宋体" w:cs="宋体"/>
          <w:b/>
          <w:color w:val="444444"/>
          <w:kern w:val="0"/>
          <w:sz w:val="28"/>
          <w:szCs w:val="28"/>
          <w:shd w:val="clear" w:color="auto" w:fill="FFFFFF"/>
        </w:rPr>
        <w:t>六、存在的问题及原因分析</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1、绩效评价工作机制有待进一步完善，由于平时工作中未加强对绩效监控工作的重视，绩效监控工作容易滞后，未形成对绩效目标进行监控的习惯。</w:t>
      </w:r>
    </w:p>
    <w:p>
      <w:pPr>
        <w:shd w:val="clear" w:color="auto" w:fill="FFFFFF"/>
        <w:spacing w:before="100" w:beforeAutospacing="1"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2、在编制部门年度预算时，虽然根据本单位职能职责和年度工作计划编制，但在2021年部门预算执行过程中，仍然存在以下问题，年初预算编制不合理或部分经费计划比较紧张，往往需要在年度中间进行预算追加和调整。</w:t>
      </w:r>
    </w:p>
    <w:p>
      <w:pPr>
        <w:pStyle w:val="4"/>
        <w:widowControl/>
        <w:spacing w:after="300" w:line="600" w:lineRule="atLeast"/>
        <w:jc w:val="left"/>
        <w:rPr>
          <w:b/>
        </w:rPr>
      </w:pPr>
    </w:p>
    <w:p>
      <w:pPr>
        <w:pStyle w:val="4"/>
        <w:widowControl/>
        <w:spacing w:after="300" w:line="600" w:lineRule="atLeast"/>
        <w:jc w:val="left"/>
        <w:rPr>
          <w:rFonts w:ascii="宋体" w:hAnsi="宋体" w:eastAsia="宋体" w:cs="宋体"/>
          <w:b/>
          <w:color w:val="444444"/>
          <w:kern w:val="0"/>
          <w:sz w:val="28"/>
          <w:szCs w:val="28"/>
          <w:shd w:val="clear" w:color="auto" w:fill="FFFFFF"/>
        </w:rPr>
      </w:pPr>
      <w:r>
        <w:rPr>
          <w:rFonts w:hint="eastAsia" w:ascii="宋体" w:hAnsi="宋体" w:eastAsia="宋体" w:cs="宋体"/>
          <w:b/>
          <w:color w:val="444444"/>
          <w:kern w:val="0"/>
          <w:sz w:val="28"/>
          <w:szCs w:val="28"/>
          <w:shd w:val="clear" w:color="auto" w:fill="FFFFFF"/>
        </w:rPr>
        <w:t>七、下一步改进措施</w:t>
      </w:r>
    </w:p>
    <w:p>
      <w:pPr>
        <w:shd w:val="clear" w:color="auto" w:fill="FFFFFF"/>
        <w:spacing w:before="100" w:beforeAutospacing="1" w:after="100" w:afterAutospacing="1" w:line="480" w:lineRule="exact"/>
        <w:ind w:firstLine="482" w:firstLineChars="200"/>
        <w:jc w:val="left"/>
        <w:rPr>
          <w:rFonts w:ascii="宋体" w:hAnsi="宋体" w:eastAsia="宋体" w:cs="宋体"/>
          <w:color w:val="1E1E1E"/>
          <w:kern w:val="0"/>
          <w:sz w:val="24"/>
        </w:rPr>
      </w:pPr>
      <w:r>
        <w:rPr>
          <w:rFonts w:hint="eastAsia" w:ascii="宋体" w:hAnsi="宋体" w:eastAsia="宋体" w:cs="宋体"/>
          <w:b/>
          <w:bCs/>
          <w:color w:val="1E1E1E"/>
          <w:sz w:val="24"/>
        </w:rPr>
        <w:t>（一）进一步加强项目资金管理</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pPr>
        <w:shd w:val="clear" w:color="auto" w:fill="FFFFFF"/>
        <w:spacing w:before="100" w:beforeAutospacing="1" w:after="100" w:afterAutospacing="1" w:line="480" w:lineRule="exact"/>
        <w:ind w:firstLine="482" w:firstLineChars="200"/>
        <w:jc w:val="left"/>
        <w:rPr>
          <w:rFonts w:ascii="宋体" w:hAnsi="宋体" w:eastAsia="宋体" w:cs="宋体"/>
          <w:color w:val="1E1E1E"/>
          <w:kern w:val="0"/>
          <w:sz w:val="24"/>
        </w:rPr>
      </w:pPr>
      <w:r>
        <w:rPr>
          <w:rFonts w:hint="eastAsia" w:ascii="宋体" w:hAnsi="宋体" w:eastAsia="宋体" w:cs="宋体"/>
          <w:b/>
          <w:bCs/>
          <w:color w:val="1E1E1E"/>
          <w:sz w:val="24"/>
        </w:rPr>
        <w:t>（二）进一步提高绩效管理水平</w:t>
      </w:r>
    </w:p>
    <w:p>
      <w:pPr>
        <w:shd w:val="clear" w:color="auto" w:fill="FFFFFF"/>
        <w:spacing w:before="100" w:beforeAutospacing="1"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加强预算执行的准确性，开展好支出绩效管理工作，运用好绩效评价结果，不断提升绩效管理水平。</w:t>
      </w:r>
    </w:p>
    <w:p>
      <w:pPr>
        <w:pStyle w:val="4"/>
        <w:widowControl/>
        <w:spacing w:after="300" w:line="600" w:lineRule="atLeast"/>
        <w:jc w:val="left"/>
        <w:rPr>
          <w:b/>
        </w:rPr>
      </w:pP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ign w:val="center"/>
          </w:tcPr>
          <w:p>
            <w:pPr>
              <w:widowControl/>
              <w:jc w:val="center"/>
              <w:rPr>
                <w:rFonts w:ascii="宋体" w:hAnsi="宋体" w:cs="宋体"/>
                <w:b/>
                <w:bCs/>
                <w:kern w:val="0"/>
                <w:sz w:val="24"/>
                <w:szCs w:val="20"/>
              </w:rPr>
            </w:pPr>
            <w:r>
              <w:rPr>
                <w:rFonts w:hint="eastAsia" w:ascii="宋体" w:hAnsi="宋体" w:cs="宋体"/>
                <w:b/>
                <w:bCs/>
                <w:kern w:val="0"/>
                <w:sz w:val="24"/>
                <w:szCs w:val="20"/>
              </w:rPr>
              <w:t>一级指标</w:t>
            </w:r>
          </w:p>
        </w:tc>
        <w:tc>
          <w:tcPr>
            <w:tcW w:w="429" w:type="dxa"/>
            <w:noWrap/>
            <w:vAlign w:val="center"/>
          </w:tcPr>
          <w:p>
            <w:pPr>
              <w:widowControl/>
              <w:jc w:val="center"/>
              <w:rPr>
                <w:rFonts w:ascii="宋体" w:hAnsi="宋体" w:cs="宋体"/>
                <w:b/>
                <w:bCs/>
                <w:kern w:val="0"/>
                <w:sz w:val="24"/>
                <w:szCs w:val="20"/>
              </w:rPr>
            </w:pPr>
            <w:r>
              <w:rPr>
                <w:rFonts w:hint="eastAsia" w:ascii="宋体" w:hAnsi="宋体" w:cs="宋体"/>
                <w:b/>
                <w:bCs/>
                <w:kern w:val="0"/>
                <w:sz w:val="24"/>
                <w:szCs w:val="20"/>
              </w:rPr>
              <w:t>二级指标</w:t>
            </w:r>
          </w:p>
        </w:tc>
        <w:tc>
          <w:tcPr>
            <w:tcW w:w="567" w:type="dxa"/>
            <w:noWrap/>
            <w:vAlign w:val="center"/>
          </w:tcPr>
          <w:p>
            <w:pPr>
              <w:widowControl/>
              <w:jc w:val="center"/>
              <w:rPr>
                <w:rFonts w:ascii="宋体" w:hAnsi="宋体" w:cs="宋体"/>
                <w:b/>
                <w:bCs/>
                <w:kern w:val="0"/>
                <w:sz w:val="24"/>
                <w:szCs w:val="20"/>
              </w:rPr>
            </w:pPr>
            <w:r>
              <w:rPr>
                <w:rFonts w:hint="eastAsia" w:ascii="宋体" w:hAnsi="宋体" w:cs="宋体"/>
                <w:b/>
                <w:bCs/>
                <w:kern w:val="0"/>
                <w:sz w:val="24"/>
                <w:szCs w:val="20"/>
              </w:rPr>
              <w:t>分值</w:t>
            </w:r>
          </w:p>
        </w:tc>
        <w:tc>
          <w:tcPr>
            <w:tcW w:w="851" w:type="dxa"/>
            <w:noWrap/>
            <w:vAlign w:val="center"/>
          </w:tcPr>
          <w:p>
            <w:pPr>
              <w:widowControl/>
              <w:jc w:val="center"/>
              <w:rPr>
                <w:rFonts w:ascii="宋体" w:hAnsi="宋体" w:cs="宋体"/>
                <w:b/>
                <w:bCs/>
                <w:kern w:val="0"/>
                <w:sz w:val="24"/>
                <w:szCs w:val="20"/>
              </w:rPr>
            </w:pPr>
            <w:r>
              <w:rPr>
                <w:rFonts w:hint="eastAsia" w:ascii="宋体" w:hAnsi="宋体" w:cs="宋体"/>
                <w:b/>
                <w:bCs/>
                <w:kern w:val="0"/>
                <w:sz w:val="24"/>
                <w:szCs w:val="20"/>
              </w:rPr>
              <w:t>三级   指标</w:t>
            </w:r>
          </w:p>
        </w:tc>
        <w:tc>
          <w:tcPr>
            <w:tcW w:w="567" w:type="dxa"/>
            <w:noWrap/>
            <w:vAlign w:val="center"/>
          </w:tcPr>
          <w:p>
            <w:pPr>
              <w:widowControl/>
              <w:jc w:val="center"/>
              <w:rPr>
                <w:rFonts w:ascii="宋体" w:hAnsi="宋体" w:cs="宋体"/>
                <w:b/>
                <w:bCs/>
                <w:kern w:val="0"/>
                <w:sz w:val="24"/>
                <w:szCs w:val="20"/>
              </w:rPr>
            </w:pPr>
            <w:r>
              <w:rPr>
                <w:rFonts w:hint="eastAsia" w:ascii="宋体" w:hAnsi="宋体" w:cs="宋体"/>
                <w:b/>
                <w:bCs/>
                <w:kern w:val="0"/>
                <w:sz w:val="24"/>
                <w:szCs w:val="20"/>
              </w:rPr>
              <w:t>分值</w:t>
            </w:r>
          </w:p>
        </w:tc>
        <w:tc>
          <w:tcPr>
            <w:tcW w:w="3118" w:type="dxa"/>
            <w:noWrap/>
            <w:vAlign w:val="center"/>
          </w:tcPr>
          <w:p>
            <w:pPr>
              <w:widowControl/>
              <w:jc w:val="center"/>
              <w:rPr>
                <w:rFonts w:ascii="宋体" w:hAnsi="宋体" w:cs="宋体"/>
                <w:b/>
                <w:bCs/>
                <w:kern w:val="0"/>
                <w:sz w:val="24"/>
                <w:szCs w:val="20"/>
              </w:rPr>
            </w:pPr>
            <w:r>
              <w:rPr>
                <w:rFonts w:hint="eastAsia" w:ascii="宋体" w:hAnsi="宋体" w:cs="宋体"/>
                <w:b/>
                <w:bCs/>
                <w:kern w:val="0"/>
                <w:sz w:val="24"/>
                <w:szCs w:val="20"/>
              </w:rPr>
              <w:t>评价标准</w:t>
            </w:r>
          </w:p>
        </w:tc>
        <w:tc>
          <w:tcPr>
            <w:tcW w:w="3472" w:type="dxa"/>
            <w:noWrap/>
            <w:vAlign w:val="center"/>
          </w:tcPr>
          <w:p>
            <w:pPr>
              <w:widowControl/>
              <w:jc w:val="center"/>
              <w:rPr>
                <w:rFonts w:ascii="宋体" w:hAnsi="宋体" w:cs="宋体"/>
                <w:b/>
                <w:bCs/>
                <w:kern w:val="0"/>
                <w:sz w:val="24"/>
                <w:szCs w:val="20"/>
              </w:rPr>
            </w:pPr>
            <w:r>
              <w:rPr>
                <w:rFonts w:hint="eastAsia" w:ascii="宋体" w:hAnsi="宋体" w:cs="宋体"/>
                <w:b/>
                <w:bCs/>
                <w:kern w:val="0"/>
                <w:sz w:val="24"/>
                <w:szCs w:val="20"/>
              </w:rPr>
              <w:t>备注</w:t>
            </w:r>
          </w:p>
        </w:tc>
        <w:tc>
          <w:tcPr>
            <w:tcW w:w="617" w:type="dxa"/>
            <w:noWrap/>
            <w:vAlign w:val="center"/>
          </w:tcPr>
          <w:p>
            <w:pPr>
              <w:widowControl/>
              <w:jc w:val="center"/>
              <w:rPr>
                <w:rFonts w:ascii="宋体" w:hAnsi="宋体" w:eastAsia="宋体" w:cs="宋体"/>
                <w:b/>
                <w:bCs/>
                <w:kern w:val="0"/>
                <w:sz w:val="24"/>
              </w:rPr>
            </w:pPr>
            <w:r>
              <w:rPr>
                <w:rFonts w:hint="eastAsia" w:ascii="宋体" w:hAnsi="宋体" w:cs="宋体"/>
                <w:b/>
                <w:bCs/>
                <w:kern w:val="0"/>
                <w:sz w:val="24"/>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textDirection w:val="tbRlV"/>
            <w:vAlign w:val="center"/>
          </w:tcPr>
          <w:p>
            <w:pPr>
              <w:widowControl/>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投    入</w:t>
            </w:r>
          </w:p>
        </w:tc>
        <w:tc>
          <w:tcPr>
            <w:tcW w:w="429" w:type="dxa"/>
            <w:vMerge w:val="restart"/>
            <w:noWrap/>
            <w:vAlign w:val="center"/>
          </w:tcPr>
          <w:p>
            <w:pPr>
              <w:widowControl/>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预算配置</w:t>
            </w:r>
          </w:p>
        </w:tc>
        <w:tc>
          <w:tcPr>
            <w:tcW w:w="567" w:type="dxa"/>
            <w:vMerge w:val="restart"/>
            <w:noWrap/>
            <w:vAlign w:val="center"/>
          </w:tcPr>
          <w:p>
            <w:pPr>
              <w:widowControl/>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18</w:t>
            </w: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“三公经费”</w:t>
            </w:r>
            <w:r>
              <w:rPr>
                <w:rFonts w:hint="eastAsia" w:ascii="仿宋_GB2312" w:hAnsi="宋体" w:eastAsia="仿宋_GB2312" w:cs="宋体"/>
                <w:kern w:val="0"/>
                <w:sz w:val="24"/>
                <w:szCs w:val="20"/>
              </w:rPr>
              <w:br w:type="textWrapping"/>
            </w:r>
            <w:r>
              <w:rPr>
                <w:rFonts w:hint="eastAsia" w:ascii="仿宋_GB2312" w:hAnsi="宋体" w:eastAsia="仿宋_GB2312" w:cs="宋体"/>
                <w:kern w:val="0"/>
                <w:sz w:val="24"/>
                <w:szCs w:val="20"/>
              </w:rPr>
              <w:t>变动率</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3</w:t>
            </w:r>
          </w:p>
        </w:tc>
        <w:tc>
          <w:tcPr>
            <w:tcW w:w="3118"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“三公经费”变动率</w:t>
            </w:r>
            <w:r>
              <w:rPr>
                <w:rFonts w:hint="eastAsia" w:ascii="仿宋_GB2312" w:hAnsi="Arial" w:eastAsia="仿宋_GB2312" w:cs="Arial"/>
                <w:kern w:val="0"/>
                <w:sz w:val="24"/>
                <w:szCs w:val="20"/>
              </w:rPr>
              <w:t>≤</w:t>
            </w:r>
            <w:r>
              <w:rPr>
                <w:rFonts w:hint="eastAsia" w:ascii="仿宋_GB2312" w:hAnsi="宋体" w:eastAsia="仿宋_GB2312" w:cs="宋体"/>
                <w:kern w:val="0"/>
                <w:sz w:val="24"/>
                <w:szCs w:val="20"/>
              </w:rPr>
              <w:t>0,计3分；“三公经费”＞0，每超过一个百分点扣0.3分，扣完为止。</w:t>
            </w:r>
          </w:p>
        </w:tc>
        <w:tc>
          <w:tcPr>
            <w:tcW w:w="3472"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“三公经费”变动率=[（本年度“三公经费”总额-上年度“三公经费”总额）/上年度“三公经费”总额]×100%。</w:t>
            </w:r>
            <w:r>
              <w:rPr>
                <w:rFonts w:hint="eastAsia" w:ascii="仿宋_GB2312" w:hAnsi="宋体" w:eastAsia="仿宋_GB2312" w:cs="宋体"/>
                <w:kern w:val="0"/>
                <w:sz w:val="24"/>
                <w:szCs w:val="20"/>
              </w:rPr>
              <w:br w:type="textWrapping"/>
            </w:r>
            <w:r>
              <w:rPr>
                <w:rFonts w:hint="eastAsia" w:ascii="仿宋_GB2312" w:hAnsi="宋体" w:eastAsia="仿宋_GB2312" w:cs="宋体"/>
                <w:kern w:val="0"/>
                <w:sz w:val="24"/>
                <w:szCs w:val="20"/>
              </w:rPr>
              <w:t>“三公经费”：指政府部门人员因公出国（境）经费、公务车购置及运行费、公务招待费产生的消费。</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ign w:val="center"/>
          </w:tcPr>
          <w:p>
            <w:pPr>
              <w:widowControl/>
              <w:jc w:val="center"/>
              <w:rPr>
                <w:rFonts w:ascii="仿宋_GB2312" w:hAnsi="宋体" w:eastAsia="仿宋_GB2312" w:cs="宋体"/>
                <w:kern w:val="0"/>
                <w:sz w:val="24"/>
                <w:szCs w:val="20"/>
              </w:rPr>
            </w:pPr>
          </w:p>
        </w:tc>
        <w:tc>
          <w:tcPr>
            <w:tcW w:w="429" w:type="dxa"/>
            <w:vMerge w:val="continue"/>
            <w:noWrap/>
            <w:vAlign w:val="center"/>
          </w:tcPr>
          <w:p>
            <w:pPr>
              <w:widowControl/>
              <w:jc w:val="center"/>
              <w:rPr>
                <w:rFonts w:ascii="仿宋_GB2312" w:hAnsi="宋体" w:eastAsia="仿宋_GB2312" w:cs="宋体"/>
                <w:kern w:val="0"/>
                <w:sz w:val="24"/>
                <w:szCs w:val="20"/>
              </w:rPr>
            </w:pPr>
          </w:p>
        </w:tc>
        <w:tc>
          <w:tcPr>
            <w:tcW w:w="567" w:type="dxa"/>
            <w:vMerge w:val="continue"/>
            <w:noWrap/>
            <w:vAlign w:val="center"/>
          </w:tcPr>
          <w:p>
            <w:pPr>
              <w:widowControl/>
              <w:jc w:val="center"/>
              <w:rPr>
                <w:rFonts w:ascii="仿宋_GB2312" w:hAnsi="宋体" w:eastAsia="仿宋_GB2312" w:cs="宋体"/>
                <w:kern w:val="0"/>
                <w:sz w:val="24"/>
                <w:szCs w:val="20"/>
              </w:rPr>
            </w:pP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“三公经费”   管理</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3</w:t>
            </w:r>
          </w:p>
        </w:tc>
        <w:tc>
          <w:tcPr>
            <w:tcW w:w="3118"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①招待费用明确招待标准和招待人数,1分;②车辆维护、燃油使用政府定点，1分。③</w:t>
            </w:r>
            <w:r>
              <w:rPr>
                <w:rFonts w:hint="eastAsia" w:ascii="仿宋_GB2312" w:hAnsi="仿宋" w:eastAsia="仿宋_GB2312" w:cs="仿宋"/>
                <w:kern w:val="0"/>
                <w:sz w:val="24"/>
                <w:szCs w:val="20"/>
              </w:rPr>
              <w:t>制定“三公经费”管理办法，1分，每少一项扣1分，扣完为止。</w:t>
            </w:r>
          </w:p>
        </w:tc>
        <w:tc>
          <w:tcPr>
            <w:tcW w:w="3472" w:type="dxa"/>
            <w:noWrap/>
            <w:vAlign w:val="center"/>
          </w:tcPr>
          <w:p>
            <w:pPr>
              <w:widowControl/>
              <w:jc w:val="left"/>
              <w:rPr>
                <w:rFonts w:ascii="仿宋_GB2312" w:hAnsi="宋体" w:eastAsia="仿宋_GB2312" w:cs="宋体"/>
                <w:kern w:val="0"/>
                <w:sz w:val="24"/>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ign w:val="center"/>
          </w:tcPr>
          <w:p>
            <w:pPr>
              <w:widowControl/>
              <w:jc w:val="center"/>
              <w:rPr>
                <w:rFonts w:ascii="仿宋_GB2312" w:hAnsi="宋体" w:eastAsia="仿宋_GB2312" w:cs="宋体"/>
                <w:kern w:val="0"/>
                <w:sz w:val="24"/>
                <w:szCs w:val="20"/>
              </w:rPr>
            </w:pPr>
          </w:p>
        </w:tc>
        <w:tc>
          <w:tcPr>
            <w:tcW w:w="429" w:type="dxa"/>
            <w:vMerge w:val="continue"/>
            <w:noWrap/>
            <w:vAlign w:val="center"/>
          </w:tcPr>
          <w:p>
            <w:pPr>
              <w:widowControl/>
              <w:jc w:val="center"/>
              <w:rPr>
                <w:rFonts w:ascii="仿宋_GB2312" w:hAnsi="宋体" w:eastAsia="仿宋_GB2312" w:cs="宋体"/>
                <w:kern w:val="0"/>
                <w:sz w:val="24"/>
                <w:szCs w:val="20"/>
              </w:rPr>
            </w:pPr>
          </w:p>
        </w:tc>
        <w:tc>
          <w:tcPr>
            <w:tcW w:w="567" w:type="dxa"/>
            <w:vMerge w:val="continue"/>
            <w:noWrap/>
            <w:vAlign w:val="center"/>
          </w:tcPr>
          <w:p>
            <w:pPr>
              <w:widowControl/>
              <w:jc w:val="center"/>
              <w:rPr>
                <w:rFonts w:ascii="仿宋_GB2312" w:hAnsi="宋体" w:eastAsia="仿宋_GB2312" w:cs="宋体"/>
                <w:kern w:val="0"/>
                <w:sz w:val="24"/>
                <w:szCs w:val="20"/>
              </w:rPr>
            </w:pP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公务</w:t>
            </w:r>
          </w:p>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招待费变动率</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2</w:t>
            </w:r>
          </w:p>
        </w:tc>
        <w:tc>
          <w:tcPr>
            <w:tcW w:w="3118"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“公务招待费”变动率</w:t>
            </w:r>
            <w:r>
              <w:rPr>
                <w:rFonts w:hint="eastAsia" w:ascii="仿宋_GB2312" w:hAnsi="Arial" w:eastAsia="仿宋_GB2312" w:cs="Arial"/>
                <w:kern w:val="0"/>
                <w:sz w:val="24"/>
                <w:szCs w:val="20"/>
              </w:rPr>
              <w:t>≤</w:t>
            </w:r>
            <w:r>
              <w:rPr>
                <w:rFonts w:hint="eastAsia" w:ascii="仿宋_GB2312" w:hAnsi="宋体" w:eastAsia="仿宋_GB2312" w:cs="宋体"/>
                <w:kern w:val="0"/>
                <w:sz w:val="24"/>
                <w:szCs w:val="20"/>
              </w:rPr>
              <w:t>0,计2分；“公务招待费变动率”＞0，每超过一个百分点扣0.2分，扣完为止。</w:t>
            </w:r>
          </w:p>
        </w:tc>
        <w:tc>
          <w:tcPr>
            <w:tcW w:w="3472"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公务招待费变动率=[（本年度“公务招待费”总额-上年度“公务招待费”总额）/上年度“公务招待费”总额]×100%。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ign w:val="center"/>
          </w:tcPr>
          <w:p>
            <w:pPr>
              <w:widowControl/>
              <w:jc w:val="center"/>
              <w:rPr>
                <w:rFonts w:ascii="仿宋_GB2312" w:hAnsi="宋体" w:eastAsia="仿宋_GB2312" w:cs="宋体"/>
                <w:kern w:val="0"/>
                <w:sz w:val="24"/>
                <w:szCs w:val="20"/>
              </w:rPr>
            </w:pPr>
          </w:p>
        </w:tc>
        <w:tc>
          <w:tcPr>
            <w:tcW w:w="429" w:type="dxa"/>
            <w:vMerge w:val="continue"/>
            <w:noWrap/>
            <w:vAlign w:val="center"/>
          </w:tcPr>
          <w:p>
            <w:pPr>
              <w:widowControl/>
              <w:jc w:val="center"/>
              <w:rPr>
                <w:rFonts w:ascii="仿宋_GB2312" w:hAnsi="宋体" w:eastAsia="仿宋_GB2312" w:cs="宋体"/>
                <w:kern w:val="0"/>
                <w:sz w:val="24"/>
                <w:szCs w:val="20"/>
              </w:rPr>
            </w:pPr>
          </w:p>
        </w:tc>
        <w:tc>
          <w:tcPr>
            <w:tcW w:w="567" w:type="dxa"/>
            <w:vMerge w:val="continue"/>
            <w:noWrap/>
            <w:vAlign w:val="center"/>
          </w:tcPr>
          <w:p>
            <w:pPr>
              <w:widowControl/>
              <w:jc w:val="center"/>
              <w:rPr>
                <w:rFonts w:ascii="仿宋_GB2312" w:hAnsi="宋体" w:eastAsia="仿宋_GB2312" w:cs="宋体"/>
                <w:kern w:val="0"/>
                <w:sz w:val="24"/>
                <w:szCs w:val="20"/>
              </w:rPr>
            </w:pP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公务用车购置</w:t>
            </w:r>
          </w:p>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运行费</w:t>
            </w:r>
          </w:p>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变动率</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2</w:t>
            </w:r>
          </w:p>
        </w:tc>
        <w:tc>
          <w:tcPr>
            <w:tcW w:w="3118"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“公务用车购置运行费”变动率</w:t>
            </w:r>
            <w:r>
              <w:rPr>
                <w:rFonts w:hint="eastAsia" w:ascii="仿宋_GB2312" w:hAnsi="Arial" w:eastAsia="仿宋_GB2312" w:cs="Arial"/>
                <w:kern w:val="0"/>
                <w:sz w:val="24"/>
                <w:szCs w:val="20"/>
              </w:rPr>
              <w:t>≤</w:t>
            </w:r>
            <w:r>
              <w:rPr>
                <w:rFonts w:hint="eastAsia" w:ascii="仿宋_GB2312" w:hAnsi="宋体" w:eastAsia="仿宋_GB2312" w:cs="宋体"/>
                <w:kern w:val="0"/>
                <w:sz w:val="24"/>
                <w:szCs w:val="20"/>
              </w:rPr>
              <w:t>0,计2分；“公务用车购置运行费变动率”＞0，每超过一个百分点扣0.2分，扣完为止。</w:t>
            </w:r>
          </w:p>
        </w:tc>
        <w:tc>
          <w:tcPr>
            <w:tcW w:w="3472"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公务用车购置运行费变动率=[（本年度“公务用车购置运行费”总额-上年度“公务用车购置运行费”总额）/上年度“公务用车购置运行费”总额]×100%。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ign w:val="center"/>
          </w:tcPr>
          <w:p>
            <w:pPr>
              <w:widowControl/>
              <w:jc w:val="center"/>
              <w:rPr>
                <w:rFonts w:ascii="仿宋_GB2312" w:hAnsi="宋体" w:eastAsia="仿宋_GB2312" w:cs="宋体"/>
                <w:kern w:val="0"/>
                <w:sz w:val="24"/>
                <w:szCs w:val="20"/>
              </w:rPr>
            </w:pPr>
          </w:p>
        </w:tc>
        <w:tc>
          <w:tcPr>
            <w:tcW w:w="429" w:type="dxa"/>
            <w:vMerge w:val="continue"/>
            <w:noWrap/>
            <w:vAlign w:val="center"/>
          </w:tcPr>
          <w:p>
            <w:pPr>
              <w:widowControl/>
              <w:jc w:val="center"/>
              <w:rPr>
                <w:rFonts w:ascii="仿宋_GB2312" w:hAnsi="宋体" w:eastAsia="仿宋_GB2312" w:cs="宋体"/>
                <w:kern w:val="0"/>
                <w:sz w:val="24"/>
                <w:szCs w:val="20"/>
              </w:rPr>
            </w:pPr>
          </w:p>
        </w:tc>
        <w:tc>
          <w:tcPr>
            <w:tcW w:w="567" w:type="dxa"/>
            <w:vMerge w:val="continue"/>
            <w:noWrap/>
            <w:vAlign w:val="center"/>
          </w:tcPr>
          <w:p>
            <w:pPr>
              <w:widowControl/>
              <w:jc w:val="center"/>
              <w:rPr>
                <w:rFonts w:ascii="仿宋_GB2312" w:hAnsi="宋体" w:eastAsia="仿宋_GB2312" w:cs="宋体"/>
                <w:kern w:val="0"/>
                <w:sz w:val="24"/>
                <w:szCs w:val="20"/>
              </w:rPr>
            </w:pP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商品 和服务支出 变动率</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2</w:t>
            </w:r>
          </w:p>
        </w:tc>
        <w:tc>
          <w:tcPr>
            <w:tcW w:w="3118"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“商品和服务支出”变动率</w:t>
            </w:r>
            <w:r>
              <w:rPr>
                <w:rFonts w:hint="eastAsia" w:ascii="仿宋_GB2312" w:hAnsi="Arial" w:eastAsia="仿宋_GB2312" w:cs="Arial"/>
                <w:kern w:val="0"/>
                <w:sz w:val="24"/>
                <w:szCs w:val="20"/>
              </w:rPr>
              <w:t>≤</w:t>
            </w:r>
            <w:r>
              <w:rPr>
                <w:rFonts w:hint="eastAsia" w:ascii="仿宋_GB2312" w:hAnsi="宋体" w:eastAsia="仿宋_GB2312" w:cs="宋体"/>
                <w:kern w:val="0"/>
                <w:sz w:val="24"/>
                <w:szCs w:val="20"/>
              </w:rPr>
              <w:t>0,计2分；“商品和服务支出”变动率＞0，每超过一个百分点扣0.2分，扣完为止。</w:t>
            </w:r>
          </w:p>
        </w:tc>
        <w:tc>
          <w:tcPr>
            <w:tcW w:w="3472"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“商品和服务支出”变动率=[（本年度“商品和服务支出”总额-上年度“商品和服务支出”总额）/上年度“商品和服务支出”总额]×100%。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ign w:val="center"/>
          </w:tcPr>
          <w:p>
            <w:pPr>
              <w:widowControl/>
              <w:jc w:val="center"/>
              <w:rPr>
                <w:rFonts w:ascii="仿宋_GB2312" w:hAnsi="宋体" w:eastAsia="仿宋_GB2312" w:cs="宋体"/>
                <w:kern w:val="0"/>
                <w:sz w:val="24"/>
                <w:szCs w:val="20"/>
              </w:rPr>
            </w:pPr>
          </w:p>
        </w:tc>
        <w:tc>
          <w:tcPr>
            <w:tcW w:w="429" w:type="dxa"/>
            <w:vMerge w:val="continue"/>
            <w:noWrap/>
            <w:vAlign w:val="center"/>
          </w:tcPr>
          <w:p>
            <w:pPr>
              <w:widowControl/>
              <w:jc w:val="center"/>
              <w:rPr>
                <w:rFonts w:ascii="仿宋_GB2312" w:hAnsi="宋体" w:eastAsia="仿宋_GB2312" w:cs="宋体"/>
                <w:kern w:val="0"/>
                <w:sz w:val="24"/>
                <w:szCs w:val="20"/>
              </w:rPr>
            </w:pPr>
          </w:p>
        </w:tc>
        <w:tc>
          <w:tcPr>
            <w:tcW w:w="567" w:type="dxa"/>
            <w:vMerge w:val="continue"/>
            <w:noWrap/>
            <w:vAlign w:val="center"/>
          </w:tcPr>
          <w:p>
            <w:pPr>
              <w:widowControl/>
              <w:jc w:val="center"/>
              <w:rPr>
                <w:rFonts w:ascii="仿宋_GB2312" w:hAnsi="宋体" w:eastAsia="仿宋_GB2312" w:cs="宋体"/>
                <w:kern w:val="0"/>
                <w:sz w:val="24"/>
                <w:szCs w:val="20"/>
              </w:rPr>
            </w:pP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重点  支出  安排率</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2</w:t>
            </w:r>
          </w:p>
        </w:tc>
        <w:tc>
          <w:tcPr>
            <w:tcW w:w="3118"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重点支出安排率≥90%，计2分；80%（含）-90%，计1分；70%（含）-80%，计0.5分；低于70%不得分。</w:t>
            </w:r>
          </w:p>
        </w:tc>
        <w:tc>
          <w:tcPr>
            <w:tcW w:w="3472"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重点支出安排率=（重点项目支出/项目总支出）×100%</w:t>
            </w:r>
            <w:r>
              <w:rPr>
                <w:rFonts w:hint="eastAsia" w:ascii="仿宋_GB2312" w:hAnsi="宋体" w:eastAsia="仿宋_GB2312" w:cs="宋体"/>
                <w:kern w:val="0"/>
                <w:sz w:val="24"/>
                <w:szCs w:val="20"/>
              </w:rPr>
              <w:br w:type="textWrapping"/>
            </w:r>
            <w:r>
              <w:rPr>
                <w:rFonts w:hint="eastAsia" w:ascii="仿宋_GB2312" w:hAnsi="宋体" w:eastAsia="仿宋_GB2312" w:cs="宋体"/>
                <w:kern w:val="0"/>
                <w:sz w:val="24"/>
                <w:szCs w:val="20"/>
              </w:rPr>
              <w:t>重点项目支出：市政府确定的为民办实事和部门重点工程与重点工作支出。项目总支出：部门（单位）年度预算安排的项目支出总额。</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ign w:val="center"/>
          </w:tcPr>
          <w:p>
            <w:pPr>
              <w:widowControl/>
              <w:jc w:val="center"/>
              <w:rPr>
                <w:rFonts w:ascii="仿宋_GB2312" w:hAnsi="宋体" w:eastAsia="仿宋_GB2312" w:cs="宋体"/>
                <w:kern w:val="0"/>
                <w:sz w:val="24"/>
                <w:szCs w:val="20"/>
              </w:rPr>
            </w:pPr>
          </w:p>
        </w:tc>
        <w:tc>
          <w:tcPr>
            <w:tcW w:w="429" w:type="dxa"/>
            <w:vMerge w:val="continue"/>
            <w:noWrap/>
            <w:vAlign w:val="center"/>
          </w:tcPr>
          <w:p>
            <w:pPr>
              <w:widowControl/>
              <w:jc w:val="center"/>
              <w:rPr>
                <w:rFonts w:ascii="仿宋_GB2312" w:hAnsi="宋体" w:eastAsia="仿宋_GB2312" w:cs="宋体"/>
                <w:kern w:val="0"/>
                <w:sz w:val="24"/>
                <w:szCs w:val="20"/>
              </w:rPr>
            </w:pPr>
          </w:p>
        </w:tc>
        <w:tc>
          <w:tcPr>
            <w:tcW w:w="567" w:type="dxa"/>
            <w:vMerge w:val="continue"/>
            <w:noWrap/>
            <w:vAlign w:val="center"/>
          </w:tcPr>
          <w:p>
            <w:pPr>
              <w:widowControl/>
              <w:jc w:val="center"/>
              <w:rPr>
                <w:rFonts w:ascii="仿宋_GB2312" w:hAnsi="宋体" w:eastAsia="仿宋_GB2312" w:cs="宋体"/>
                <w:kern w:val="0"/>
                <w:sz w:val="24"/>
                <w:szCs w:val="20"/>
              </w:rPr>
            </w:pP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非税 收入 管理</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2</w:t>
            </w:r>
          </w:p>
        </w:tc>
        <w:tc>
          <w:tcPr>
            <w:tcW w:w="3118"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①实行收支两条线，1分；</w:t>
            </w:r>
          </w:p>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②未发生截留、坐支或转移，1分。以上每发现一次违规现象扣1分，扣完为止。</w:t>
            </w:r>
          </w:p>
        </w:tc>
        <w:tc>
          <w:tcPr>
            <w:tcW w:w="3472" w:type="dxa"/>
            <w:noWrap/>
            <w:vAlign w:val="center"/>
          </w:tcPr>
          <w:p>
            <w:pPr>
              <w:widowControl/>
              <w:jc w:val="left"/>
              <w:rPr>
                <w:rFonts w:ascii="仿宋_GB2312" w:hAnsi="宋体" w:eastAsia="仿宋_GB2312" w:cs="宋体"/>
                <w:kern w:val="0"/>
                <w:sz w:val="24"/>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ign w:val="center"/>
          </w:tcPr>
          <w:p>
            <w:pPr>
              <w:widowControl/>
              <w:jc w:val="center"/>
              <w:rPr>
                <w:rFonts w:ascii="仿宋_GB2312" w:hAnsi="宋体" w:eastAsia="仿宋_GB2312" w:cs="宋体"/>
                <w:kern w:val="0"/>
                <w:sz w:val="24"/>
                <w:szCs w:val="20"/>
              </w:rPr>
            </w:pPr>
          </w:p>
        </w:tc>
        <w:tc>
          <w:tcPr>
            <w:tcW w:w="429" w:type="dxa"/>
            <w:vMerge w:val="continue"/>
            <w:noWrap/>
            <w:vAlign w:val="center"/>
          </w:tcPr>
          <w:p>
            <w:pPr>
              <w:widowControl/>
              <w:jc w:val="center"/>
              <w:rPr>
                <w:rFonts w:ascii="仿宋_GB2312" w:hAnsi="宋体" w:eastAsia="仿宋_GB2312" w:cs="宋体"/>
                <w:kern w:val="0"/>
                <w:sz w:val="24"/>
                <w:szCs w:val="20"/>
              </w:rPr>
            </w:pPr>
          </w:p>
        </w:tc>
        <w:tc>
          <w:tcPr>
            <w:tcW w:w="567" w:type="dxa"/>
            <w:vMerge w:val="continue"/>
            <w:noWrap/>
            <w:vAlign w:val="center"/>
          </w:tcPr>
          <w:p>
            <w:pPr>
              <w:widowControl/>
              <w:jc w:val="center"/>
              <w:rPr>
                <w:rFonts w:ascii="仿宋_GB2312" w:hAnsi="宋体" w:eastAsia="仿宋_GB2312" w:cs="宋体"/>
                <w:kern w:val="0"/>
                <w:sz w:val="24"/>
                <w:szCs w:val="20"/>
              </w:rPr>
            </w:pP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非税 收入 完成率</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2</w:t>
            </w:r>
          </w:p>
        </w:tc>
        <w:tc>
          <w:tcPr>
            <w:tcW w:w="3118"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非税收入完成率100%，2分，每少一个百分点，扣0.1分，扣完为止。</w:t>
            </w:r>
          </w:p>
        </w:tc>
        <w:tc>
          <w:tcPr>
            <w:tcW w:w="3472"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非税收入完成率=（2021年度非税实际收入完成数/2021年度非税收入预算数）×100%，有减免因素的，以非税局确定的为准。</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textDirection w:val="tbRlV"/>
            <w:vAlign w:val="center"/>
          </w:tcPr>
          <w:p>
            <w:pPr>
              <w:widowControl/>
              <w:jc w:val="center"/>
              <w:rPr>
                <w:rFonts w:ascii="仿宋_GB2312" w:hAnsi="宋体" w:eastAsia="仿宋_GB2312" w:cs="宋体"/>
                <w:kern w:val="0"/>
                <w:sz w:val="24"/>
                <w:szCs w:val="20"/>
              </w:rPr>
            </w:pPr>
          </w:p>
          <w:p>
            <w:pPr>
              <w:widowControl/>
              <w:jc w:val="center"/>
              <w:rPr>
                <w:rFonts w:ascii="仿宋_GB2312" w:hAnsi="宋体" w:eastAsia="仿宋_GB2312" w:cs="宋体"/>
                <w:kern w:val="0"/>
                <w:sz w:val="24"/>
                <w:szCs w:val="20"/>
              </w:rPr>
            </w:pPr>
          </w:p>
          <w:p>
            <w:pPr>
              <w:widowControl/>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过    程</w:t>
            </w:r>
          </w:p>
          <w:p>
            <w:pPr>
              <w:widowControl/>
              <w:ind w:left="113" w:right="113"/>
              <w:jc w:val="center"/>
              <w:rPr>
                <w:rFonts w:ascii="仿宋_GB2312" w:hAnsi="宋体" w:eastAsia="仿宋_GB2312" w:cs="宋体"/>
                <w:kern w:val="0"/>
                <w:sz w:val="24"/>
                <w:szCs w:val="20"/>
              </w:rPr>
            </w:pPr>
          </w:p>
          <w:p>
            <w:pPr>
              <w:widowControl/>
              <w:jc w:val="center"/>
              <w:rPr>
                <w:rFonts w:ascii="仿宋_GB2312" w:hAnsi="宋体" w:eastAsia="仿宋_GB2312" w:cs="宋体"/>
                <w:kern w:val="0"/>
                <w:sz w:val="24"/>
                <w:szCs w:val="20"/>
              </w:rPr>
            </w:pPr>
          </w:p>
          <w:p>
            <w:pPr>
              <w:widowControl/>
              <w:jc w:val="center"/>
              <w:rPr>
                <w:rFonts w:ascii="仿宋_GB2312" w:hAnsi="宋体" w:eastAsia="仿宋_GB2312" w:cs="宋体"/>
                <w:kern w:val="0"/>
                <w:sz w:val="24"/>
                <w:szCs w:val="20"/>
              </w:rPr>
            </w:pPr>
          </w:p>
          <w:p>
            <w:pPr>
              <w:widowControl/>
              <w:jc w:val="center"/>
              <w:rPr>
                <w:rFonts w:ascii="仿宋_GB2312" w:hAnsi="宋体" w:eastAsia="仿宋_GB2312" w:cs="宋体"/>
                <w:kern w:val="0"/>
                <w:sz w:val="24"/>
                <w:szCs w:val="20"/>
              </w:rPr>
            </w:pPr>
          </w:p>
          <w:p>
            <w:pPr>
              <w:widowControl/>
              <w:jc w:val="center"/>
              <w:rPr>
                <w:rFonts w:ascii="仿宋_GB2312" w:hAnsi="宋体" w:eastAsia="仿宋_GB2312" w:cs="宋体"/>
                <w:kern w:val="0"/>
                <w:sz w:val="24"/>
                <w:szCs w:val="20"/>
              </w:rPr>
            </w:pPr>
          </w:p>
          <w:p>
            <w:pPr>
              <w:widowControl/>
              <w:jc w:val="center"/>
              <w:rPr>
                <w:rFonts w:ascii="仿宋_GB2312" w:hAnsi="宋体" w:eastAsia="仿宋_GB2312" w:cs="宋体"/>
                <w:kern w:val="0"/>
                <w:sz w:val="24"/>
                <w:szCs w:val="20"/>
              </w:rPr>
            </w:pPr>
          </w:p>
          <w:p>
            <w:pPr>
              <w:widowControl/>
              <w:jc w:val="center"/>
              <w:rPr>
                <w:rFonts w:ascii="仿宋_GB2312" w:hAnsi="宋体" w:eastAsia="仿宋_GB2312" w:cs="宋体"/>
                <w:kern w:val="0"/>
                <w:sz w:val="24"/>
                <w:szCs w:val="20"/>
              </w:rPr>
            </w:pPr>
          </w:p>
          <w:p>
            <w:pPr>
              <w:widowControl/>
              <w:jc w:val="center"/>
              <w:rPr>
                <w:rFonts w:ascii="仿宋_GB2312" w:hAnsi="宋体" w:eastAsia="仿宋_GB2312" w:cs="宋体"/>
                <w:kern w:val="0"/>
                <w:sz w:val="24"/>
                <w:szCs w:val="20"/>
              </w:rPr>
            </w:pPr>
          </w:p>
          <w:p>
            <w:pPr>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过      程</w:t>
            </w:r>
          </w:p>
        </w:tc>
        <w:tc>
          <w:tcPr>
            <w:tcW w:w="429" w:type="dxa"/>
            <w:vMerge w:val="restart"/>
            <w:tcBorders>
              <w:right w:val="single" w:color="auto" w:sz="4" w:space="0"/>
            </w:tcBorders>
            <w:noWrap/>
            <w:vAlign w:val="center"/>
          </w:tcPr>
          <w:p>
            <w:pPr>
              <w:widowControl/>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预算执行</w:t>
            </w:r>
          </w:p>
        </w:tc>
        <w:tc>
          <w:tcPr>
            <w:tcW w:w="567" w:type="dxa"/>
            <w:vMerge w:val="restart"/>
            <w:tcBorders>
              <w:left w:val="single" w:color="auto" w:sz="4" w:space="0"/>
            </w:tcBorders>
            <w:noWrap/>
            <w:vAlign w:val="center"/>
          </w:tcPr>
          <w:p>
            <w:pPr>
              <w:widowControl/>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8</w:t>
            </w: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预算  完成率</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2</w:t>
            </w:r>
          </w:p>
        </w:tc>
        <w:tc>
          <w:tcPr>
            <w:tcW w:w="3118"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完成率&lt;1，计2分，</w:t>
            </w:r>
          </w:p>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完成率=1，计1分，</w:t>
            </w:r>
          </w:p>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完成率&gt;1，不得分。</w:t>
            </w:r>
          </w:p>
          <w:p>
            <w:pPr>
              <w:widowControl/>
              <w:jc w:val="left"/>
              <w:rPr>
                <w:rFonts w:ascii="仿宋_GB2312" w:hAnsi="宋体" w:eastAsia="仿宋_GB2312" w:cs="宋体"/>
                <w:kern w:val="0"/>
                <w:sz w:val="24"/>
                <w:szCs w:val="20"/>
              </w:rPr>
            </w:pPr>
          </w:p>
        </w:tc>
        <w:tc>
          <w:tcPr>
            <w:tcW w:w="3472" w:type="dxa"/>
            <w:noWrap/>
            <w:vAlign w:val="center"/>
          </w:tcPr>
          <w:p>
            <w:pPr>
              <w:autoSpaceDN w:val="0"/>
              <w:jc w:val="left"/>
              <w:textAlignment w:val="center"/>
              <w:rPr>
                <w:rFonts w:ascii="仿宋_GB2312" w:hAnsi="宋体" w:eastAsia="仿宋_GB2312" w:cs="宋体"/>
                <w:kern w:val="0"/>
                <w:sz w:val="24"/>
                <w:szCs w:val="20"/>
              </w:rPr>
            </w:pPr>
            <w:r>
              <w:rPr>
                <w:rFonts w:hint="eastAsia" w:ascii="仿宋_GB2312" w:hAnsi="宋体" w:eastAsia="仿宋_GB2312" w:cs="宋体"/>
                <w:kern w:val="0"/>
                <w:sz w:val="24"/>
                <w:szCs w:val="20"/>
              </w:rPr>
              <w:t>预算完成率=（预算完成数/预算数）×100%。预算完成数：部门（单位）本年度实际完成的预算数；预算数：财政部门批复的本年度部门（单位）预算数。</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ign w:val="center"/>
          </w:tcPr>
          <w:p>
            <w:pPr>
              <w:jc w:val="center"/>
              <w:rPr>
                <w:rFonts w:ascii="仿宋_GB2312" w:hAnsi="宋体" w:eastAsia="仿宋_GB2312" w:cs="宋体"/>
                <w:kern w:val="0"/>
                <w:sz w:val="24"/>
                <w:szCs w:val="20"/>
              </w:rPr>
            </w:pPr>
          </w:p>
        </w:tc>
        <w:tc>
          <w:tcPr>
            <w:tcW w:w="429" w:type="dxa"/>
            <w:vMerge w:val="continue"/>
            <w:tcBorders>
              <w:right w:val="single" w:color="auto" w:sz="4" w:space="0"/>
            </w:tcBorders>
            <w:noWrap/>
            <w:vAlign w:val="center"/>
          </w:tcPr>
          <w:p>
            <w:pPr>
              <w:jc w:val="center"/>
              <w:rPr>
                <w:rFonts w:ascii="仿宋_GB2312" w:hAnsi="宋体" w:eastAsia="仿宋_GB2312" w:cs="宋体"/>
                <w:kern w:val="0"/>
                <w:sz w:val="24"/>
                <w:szCs w:val="20"/>
              </w:rPr>
            </w:pPr>
          </w:p>
        </w:tc>
        <w:tc>
          <w:tcPr>
            <w:tcW w:w="567" w:type="dxa"/>
            <w:vMerge w:val="continue"/>
            <w:tcBorders>
              <w:left w:val="single" w:color="auto" w:sz="4" w:space="0"/>
            </w:tcBorders>
            <w:noWrap/>
            <w:vAlign w:val="center"/>
          </w:tcPr>
          <w:p>
            <w:pPr>
              <w:jc w:val="center"/>
              <w:rPr>
                <w:rFonts w:ascii="仿宋_GB2312" w:hAnsi="宋体" w:eastAsia="仿宋_GB2312" w:cs="宋体"/>
                <w:kern w:val="0"/>
                <w:sz w:val="24"/>
                <w:szCs w:val="20"/>
              </w:rPr>
            </w:pP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资金  结余</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2</w:t>
            </w:r>
          </w:p>
        </w:tc>
        <w:tc>
          <w:tcPr>
            <w:tcW w:w="3118"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结余超过10%（不含），2分；结余在0-10%（含）的，1分；本年超支不得分。</w:t>
            </w:r>
          </w:p>
        </w:tc>
        <w:tc>
          <w:tcPr>
            <w:tcW w:w="3472"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本项结余不含未完工项目资金的结转数。</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ign w:val="center"/>
          </w:tcPr>
          <w:p>
            <w:pPr>
              <w:jc w:val="center"/>
              <w:rPr>
                <w:rFonts w:ascii="仿宋_GB2312" w:hAnsi="宋体" w:eastAsia="仿宋_GB2312" w:cs="宋体"/>
                <w:kern w:val="0"/>
                <w:sz w:val="24"/>
                <w:szCs w:val="20"/>
              </w:rPr>
            </w:pPr>
          </w:p>
        </w:tc>
        <w:tc>
          <w:tcPr>
            <w:tcW w:w="429" w:type="dxa"/>
            <w:vMerge w:val="continue"/>
            <w:tcBorders>
              <w:right w:val="single" w:color="auto" w:sz="4" w:space="0"/>
            </w:tcBorders>
            <w:noWrap/>
            <w:vAlign w:val="center"/>
          </w:tcPr>
          <w:p>
            <w:pPr>
              <w:jc w:val="center"/>
              <w:rPr>
                <w:rFonts w:ascii="仿宋_GB2312" w:hAnsi="宋体" w:eastAsia="仿宋_GB2312" w:cs="宋体"/>
                <w:kern w:val="0"/>
                <w:sz w:val="24"/>
                <w:szCs w:val="20"/>
              </w:rPr>
            </w:pPr>
          </w:p>
        </w:tc>
        <w:tc>
          <w:tcPr>
            <w:tcW w:w="567" w:type="dxa"/>
            <w:vMerge w:val="continue"/>
            <w:tcBorders>
              <w:left w:val="single" w:color="auto" w:sz="4" w:space="0"/>
            </w:tcBorders>
            <w:noWrap/>
            <w:vAlign w:val="center"/>
          </w:tcPr>
          <w:p>
            <w:pPr>
              <w:jc w:val="center"/>
              <w:rPr>
                <w:rFonts w:ascii="仿宋_GB2312" w:hAnsi="宋体" w:eastAsia="仿宋_GB2312" w:cs="宋体"/>
                <w:kern w:val="0"/>
                <w:sz w:val="24"/>
                <w:szCs w:val="20"/>
              </w:rPr>
            </w:pP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“三公经费”</w:t>
            </w:r>
            <w:r>
              <w:rPr>
                <w:rFonts w:hint="eastAsia" w:ascii="仿宋_GB2312" w:hAnsi="宋体" w:eastAsia="仿宋_GB2312" w:cs="宋体"/>
                <w:kern w:val="0"/>
                <w:sz w:val="24"/>
                <w:szCs w:val="20"/>
              </w:rPr>
              <w:br w:type="textWrapping"/>
            </w:r>
            <w:r>
              <w:rPr>
                <w:rFonts w:hint="eastAsia" w:ascii="仿宋_GB2312" w:hAnsi="宋体" w:eastAsia="仿宋_GB2312" w:cs="宋体"/>
                <w:kern w:val="0"/>
                <w:sz w:val="24"/>
                <w:szCs w:val="20"/>
              </w:rPr>
              <w:t>控制率</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2</w:t>
            </w:r>
          </w:p>
        </w:tc>
        <w:tc>
          <w:tcPr>
            <w:tcW w:w="3118"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以100%为标准。三公经费控制率</w:t>
            </w:r>
            <w:r>
              <w:rPr>
                <w:rFonts w:hint="eastAsia" w:ascii="仿宋_GB2312" w:hAnsi="Arial" w:eastAsia="仿宋_GB2312" w:cs="Arial"/>
                <w:kern w:val="0"/>
                <w:sz w:val="24"/>
                <w:szCs w:val="20"/>
              </w:rPr>
              <w:t>≤</w:t>
            </w:r>
            <w:r>
              <w:rPr>
                <w:rFonts w:hint="eastAsia" w:ascii="仿宋_GB2312" w:hAnsi="宋体" w:eastAsia="仿宋_GB2312" w:cs="宋体"/>
                <w:kern w:val="0"/>
                <w:sz w:val="24"/>
                <w:szCs w:val="20"/>
              </w:rPr>
              <w:t>100%，计2分；每超过一个百分点扣0.2分，扣完为止。单位没有制定“三公”经费预算，该项不得分。</w:t>
            </w:r>
          </w:p>
        </w:tc>
        <w:tc>
          <w:tcPr>
            <w:tcW w:w="3472"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“三公经费”控制率=（“三公经费”实际支出数/“三公经费”预算安排数）×100%。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ign w:val="center"/>
          </w:tcPr>
          <w:p>
            <w:pPr>
              <w:jc w:val="center"/>
              <w:rPr>
                <w:rFonts w:ascii="仿宋_GB2312" w:hAnsi="宋体" w:eastAsia="仿宋_GB2312" w:cs="宋体"/>
                <w:kern w:val="0"/>
                <w:sz w:val="24"/>
                <w:szCs w:val="20"/>
              </w:rPr>
            </w:pPr>
          </w:p>
        </w:tc>
        <w:tc>
          <w:tcPr>
            <w:tcW w:w="429" w:type="dxa"/>
            <w:vMerge w:val="continue"/>
            <w:tcBorders>
              <w:bottom w:val="single" w:color="auto" w:sz="4" w:space="0"/>
              <w:right w:val="single" w:color="auto" w:sz="4" w:space="0"/>
            </w:tcBorders>
            <w:noWrap/>
            <w:vAlign w:val="center"/>
          </w:tcPr>
          <w:p>
            <w:pPr>
              <w:widowControl/>
              <w:jc w:val="center"/>
              <w:rPr>
                <w:rFonts w:ascii="仿宋_GB2312" w:hAnsi="宋体" w:eastAsia="仿宋_GB2312" w:cs="宋体"/>
                <w:kern w:val="0"/>
                <w:sz w:val="24"/>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4"/>
                <w:szCs w:val="20"/>
              </w:rPr>
            </w:pP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政府</w:t>
            </w:r>
          </w:p>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采购</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2</w:t>
            </w:r>
          </w:p>
        </w:tc>
        <w:tc>
          <w:tcPr>
            <w:tcW w:w="3118" w:type="dxa"/>
            <w:noWrap/>
            <w:vAlign w:val="center"/>
          </w:tcPr>
          <w:p>
            <w:pPr>
              <w:widowControl/>
              <w:jc w:val="left"/>
              <w:rPr>
                <w:rFonts w:ascii="仿宋_GB2312" w:hAnsi="宋体" w:eastAsia="仿宋_GB2312" w:cs="宋体"/>
                <w:kern w:val="0"/>
                <w:sz w:val="24"/>
                <w:szCs w:val="20"/>
              </w:rPr>
            </w:pPr>
            <w:r>
              <w:rPr>
                <w:rFonts w:hint="eastAsia" w:ascii="仿宋" w:hAnsi="仿宋" w:eastAsia="仿宋" w:cs="宋体"/>
                <w:kern w:val="0"/>
                <w:sz w:val="24"/>
                <w:szCs w:val="20"/>
              </w:rPr>
              <w:t>①编</w:t>
            </w:r>
            <w:r>
              <w:rPr>
                <w:rFonts w:hint="eastAsia" w:ascii="仿宋_GB2312" w:hAnsi="宋体" w:eastAsia="仿宋_GB2312" w:cs="宋体"/>
                <w:kern w:val="0"/>
                <w:sz w:val="24"/>
                <w:szCs w:val="20"/>
              </w:rPr>
              <w:t>制政府采购年度预算并上报的，0.5分；②追加并编制政府采购预算的，0.5分；</w:t>
            </w:r>
            <w:r>
              <w:rPr>
                <w:rFonts w:hint="eastAsia" w:ascii="仿宋" w:hAnsi="仿宋" w:eastAsia="仿宋" w:cs="宋体"/>
                <w:kern w:val="0"/>
                <w:sz w:val="24"/>
                <w:szCs w:val="20"/>
              </w:rPr>
              <w:t>③</w:t>
            </w:r>
            <w:r>
              <w:rPr>
                <w:rFonts w:hint="eastAsia" w:ascii="仿宋_GB2312" w:hAnsi="宋体" w:eastAsia="仿宋_GB2312" w:cs="宋体"/>
                <w:kern w:val="0"/>
                <w:sz w:val="24"/>
                <w:szCs w:val="20"/>
              </w:rPr>
              <w:t>政府采购执行率=100%，计1分；每少一个百分点扣0.1分，扣完为止。</w:t>
            </w:r>
          </w:p>
        </w:tc>
        <w:tc>
          <w:tcPr>
            <w:tcW w:w="3472"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政府采购执行率=（实际实行政府采购金额/应实行政府采购金额）×100%。应实行政府采金额以《湘财购[2012]27号》文件为标准。</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ign w:val="center"/>
          </w:tcPr>
          <w:p>
            <w:pPr>
              <w:widowControl/>
              <w:jc w:val="center"/>
              <w:rPr>
                <w:rFonts w:ascii="仿宋_GB2312" w:hAnsi="宋体" w:eastAsia="仿宋_GB2312" w:cs="宋体"/>
                <w:kern w:val="0"/>
                <w:sz w:val="24"/>
                <w:szCs w:val="20"/>
              </w:rPr>
            </w:pPr>
          </w:p>
        </w:tc>
        <w:tc>
          <w:tcPr>
            <w:tcW w:w="429" w:type="dxa"/>
            <w:vMerge w:val="restart"/>
            <w:tcBorders>
              <w:top w:val="single" w:color="auto" w:sz="4" w:space="0"/>
              <w:right w:val="single" w:color="auto" w:sz="4" w:space="0"/>
            </w:tcBorders>
            <w:noWrap/>
            <w:vAlign w:val="center"/>
          </w:tcPr>
          <w:p>
            <w:pPr>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预算管理</w:t>
            </w:r>
          </w:p>
        </w:tc>
        <w:tc>
          <w:tcPr>
            <w:tcW w:w="567" w:type="dxa"/>
            <w:vMerge w:val="restart"/>
            <w:tcBorders>
              <w:top w:val="single" w:color="auto" w:sz="4" w:space="0"/>
              <w:left w:val="single" w:color="auto" w:sz="4" w:space="0"/>
            </w:tcBorders>
            <w:noWrap/>
            <w:vAlign w:val="center"/>
          </w:tcPr>
          <w:p>
            <w:pPr>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28</w:t>
            </w:r>
          </w:p>
        </w:tc>
        <w:tc>
          <w:tcPr>
            <w:tcW w:w="851" w:type="dxa"/>
            <w:tcBorders>
              <w:top w:val="single" w:color="auto" w:sz="4" w:space="0"/>
            </w:tcBorders>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管理  制度</w:t>
            </w:r>
            <w:r>
              <w:rPr>
                <w:rFonts w:hint="eastAsia" w:ascii="仿宋_GB2312" w:hAnsi="宋体" w:eastAsia="仿宋_GB2312" w:cs="宋体"/>
                <w:kern w:val="0"/>
                <w:sz w:val="24"/>
                <w:szCs w:val="20"/>
              </w:rPr>
              <w:br w:type="textWrapping"/>
            </w:r>
            <w:r>
              <w:rPr>
                <w:rFonts w:hint="eastAsia" w:ascii="仿宋_GB2312" w:hAnsi="宋体" w:eastAsia="仿宋_GB2312" w:cs="宋体"/>
                <w:kern w:val="0"/>
                <w:sz w:val="24"/>
                <w:szCs w:val="20"/>
              </w:rPr>
              <w:t>健全性</w:t>
            </w:r>
          </w:p>
        </w:tc>
        <w:tc>
          <w:tcPr>
            <w:tcW w:w="567" w:type="dxa"/>
            <w:tcBorders>
              <w:top w:val="single" w:color="auto" w:sz="4" w:space="0"/>
            </w:tcBorders>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6</w:t>
            </w:r>
          </w:p>
          <w:p>
            <w:pPr>
              <w:widowControl/>
              <w:rPr>
                <w:rFonts w:ascii="仿宋_GB2312" w:hAnsi="宋体" w:eastAsia="仿宋_GB2312" w:cs="宋体"/>
                <w:kern w:val="0"/>
                <w:sz w:val="24"/>
                <w:szCs w:val="20"/>
              </w:rPr>
            </w:pPr>
          </w:p>
        </w:tc>
        <w:tc>
          <w:tcPr>
            <w:tcW w:w="3118" w:type="dxa"/>
            <w:tcBorders>
              <w:top w:val="single" w:color="auto" w:sz="4" w:space="0"/>
            </w:tcBorders>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①已制定资金管理办法、内部财务管理制度、会计核算制度等管理制度，1分；</w:t>
            </w:r>
            <w:r>
              <w:rPr>
                <w:rFonts w:hint="eastAsia" w:ascii="仿宋_GB2312" w:hAnsi="宋体" w:eastAsia="仿宋_GB2312" w:cs="宋体"/>
                <w:kern w:val="0"/>
                <w:sz w:val="24"/>
                <w:szCs w:val="20"/>
              </w:rPr>
              <w:br w:type="textWrapping"/>
            </w:r>
            <w:r>
              <w:rPr>
                <w:rFonts w:hint="eastAsia" w:ascii="仿宋_GB2312" w:hAnsi="宋体" w:eastAsia="仿宋_GB2312" w:cs="宋体"/>
                <w:kern w:val="0"/>
                <w:sz w:val="24"/>
                <w:szCs w:val="20"/>
              </w:rPr>
              <w:t>②建立健全单位内部控制制度，1分；</w:t>
            </w:r>
            <w:r>
              <w:rPr>
                <w:rFonts w:hint="eastAsia" w:ascii="仿宋_GB2312" w:hAnsi="宋体" w:eastAsia="仿宋_GB2312" w:cs="宋体"/>
                <w:kern w:val="0"/>
                <w:sz w:val="24"/>
                <w:szCs w:val="20"/>
              </w:rPr>
              <w:br w:type="textWrapping"/>
            </w:r>
            <w:r>
              <w:rPr>
                <w:rFonts w:hint="eastAsia" w:ascii="仿宋_GB2312" w:hAnsi="宋体" w:eastAsia="仿宋_GB2312" w:cs="宋体"/>
                <w:kern w:val="0"/>
                <w:sz w:val="24"/>
                <w:szCs w:val="20"/>
              </w:rPr>
              <w:t>③会计人员、机构按规定设置，1分；</w:t>
            </w:r>
          </w:p>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④会计基础工作健全，1分；</w:t>
            </w:r>
          </w:p>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⑤会计档案符合规定要求，1分；</w:t>
            </w:r>
          </w:p>
          <w:p>
            <w:pPr>
              <w:widowControl/>
              <w:jc w:val="left"/>
              <w:rPr>
                <w:rFonts w:ascii="仿宋_GB2312" w:hAnsi="宋体" w:eastAsia="仿宋_GB2312" w:cs="宋体"/>
                <w:kern w:val="0"/>
                <w:sz w:val="24"/>
                <w:szCs w:val="20"/>
              </w:rPr>
            </w:pPr>
            <w:r>
              <w:rPr>
                <w:rFonts w:hint="eastAsia" w:ascii="仿宋_GB2312" w:hAnsi="仿宋" w:eastAsia="仿宋_GB2312" w:cs="仿宋"/>
                <w:kern w:val="0"/>
                <w:sz w:val="24"/>
                <w:szCs w:val="20"/>
              </w:rPr>
              <w:t>⑥项目管理规范（包括项目立项、申报、招投标、制度建立、按时完工等），1分，每发现少一项扣0.2分，扣完为止。</w:t>
            </w:r>
          </w:p>
        </w:tc>
        <w:tc>
          <w:tcPr>
            <w:tcW w:w="3472" w:type="dxa"/>
            <w:tcBorders>
              <w:top w:val="single" w:color="auto" w:sz="4" w:space="0"/>
            </w:tcBorders>
            <w:noWrap/>
            <w:vAlign w:val="center"/>
          </w:tcPr>
          <w:p>
            <w:pPr>
              <w:widowControl/>
              <w:jc w:val="left"/>
              <w:rPr>
                <w:rFonts w:ascii="仿宋_GB2312" w:hAnsi="宋体" w:eastAsia="仿宋_GB2312" w:cs="宋体"/>
                <w:kern w:val="0"/>
                <w:sz w:val="24"/>
                <w:szCs w:val="20"/>
              </w:rPr>
            </w:pPr>
          </w:p>
        </w:tc>
        <w:tc>
          <w:tcPr>
            <w:tcW w:w="617" w:type="dxa"/>
            <w:tcBorders>
              <w:top w:val="single" w:color="auto"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ign w:val="center"/>
          </w:tcPr>
          <w:p>
            <w:pPr>
              <w:widowControl/>
              <w:jc w:val="center"/>
              <w:rPr>
                <w:rFonts w:ascii="仿宋_GB2312" w:hAnsi="宋体" w:eastAsia="仿宋_GB2312" w:cs="宋体"/>
                <w:kern w:val="0"/>
                <w:sz w:val="24"/>
                <w:szCs w:val="20"/>
              </w:rPr>
            </w:pPr>
          </w:p>
        </w:tc>
        <w:tc>
          <w:tcPr>
            <w:tcW w:w="429" w:type="dxa"/>
            <w:vMerge w:val="continue"/>
            <w:tcBorders>
              <w:top w:val="single" w:color="auto" w:sz="4" w:space="0"/>
              <w:right w:val="single" w:color="auto" w:sz="4" w:space="0"/>
            </w:tcBorders>
            <w:noWrap/>
            <w:vAlign w:val="center"/>
          </w:tcPr>
          <w:p>
            <w:pPr>
              <w:jc w:val="center"/>
              <w:rPr>
                <w:rFonts w:ascii="仿宋_GB2312" w:hAnsi="宋体" w:eastAsia="仿宋_GB2312" w:cs="宋体"/>
                <w:kern w:val="0"/>
                <w:sz w:val="24"/>
                <w:szCs w:val="20"/>
              </w:rPr>
            </w:pPr>
          </w:p>
        </w:tc>
        <w:tc>
          <w:tcPr>
            <w:tcW w:w="567" w:type="dxa"/>
            <w:vMerge w:val="continue"/>
            <w:tcBorders>
              <w:top w:val="single" w:color="auto" w:sz="4" w:space="0"/>
              <w:left w:val="single" w:color="auto" w:sz="4" w:space="0"/>
            </w:tcBorders>
            <w:noWrap/>
            <w:vAlign w:val="center"/>
          </w:tcPr>
          <w:p>
            <w:pPr>
              <w:jc w:val="center"/>
              <w:rPr>
                <w:rFonts w:ascii="仿宋_GB2312" w:hAnsi="宋体" w:eastAsia="仿宋_GB2312" w:cs="宋体"/>
                <w:kern w:val="0"/>
                <w:sz w:val="24"/>
                <w:szCs w:val="20"/>
              </w:rPr>
            </w:pPr>
          </w:p>
        </w:tc>
        <w:tc>
          <w:tcPr>
            <w:tcW w:w="851" w:type="dxa"/>
            <w:tcBorders>
              <w:top w:val="single" w:color="auto" w:sz="4" w:space="0"/>
            </w:tcBorders>
            <w:noWrap/>
            <w:vAlign w:val="center"/>
          </w:tcPr>
          <w:p>
            <w:pPr>
              <w:rPr>
                <w:rFonts w:ascii="仿宋_GB2312" w:hAnsi="宋体" w:eastAsia="仿宋_GB2312" w:cs="宋体"/>
                <w:kern w:val="0"/>
                <w:sz w:val="24"/>
                <w:szCs w:val="20"/>
              </w:rPr>
            </w:pPr>
            <w:r>
              <w:rPr>
                <w:rFonts w:hint="eastAsia" w:ascii="仿宋_GB2312" w:hAnsi="宋体" w:eastAsia="仿宋_GB2312" w:cs="宋体"/>
                <w:kern w:val="0"/>
                <w:sz w:val="24"/>
                <w:szCs w:val="20"/>
              </w:rPr>
              <w:t>内控制度情况</w:t>
            </w:r>
          </w:p>
        </w:tc>
        <w:tc>
          <w:tcPr>
            <w:tcW w:w="567" w:type="dxa"/>
            <w:tcBorders>
              <w:top w:val="single" w:color="auto" w:sz="4" w:space="0"/>
            </w:tcBorders>
            <w:noWrap/>
            <w:vAlign w:val="center"/>
          </w:tcPr>
          <w:p>
            <w:pPr>
              <w:rPr>
                <w:rFonts w:ascii="仿宋_GB2312" w:hAnsi="宋体" w:eastAsia="仿宋_GB2312" w:cs="宋体"/>
                <w:kern w:val="0"/>
                <w:sz w:val="24"/>
                <w:szCs w:val="20"/>
              </w:rPr>
            </w:pPr>
            <w:r>
              <w:rPr>
                <w:rFonts w:hint="eastAsia" w:ascii="仿宋_GB2312" w:hAnsi="宋体" w:eastAsia="仿宋_GB2312" w:cs="宋体"/>
                <w:kern w:val="0"/>
                <w:sz w:val="24"/>
                <w:szCs w:val="20"/>
              </w:rPr>
              <w:t>4分</w:t>
            </w:r>
          </w:p>
        </w:tc>
        <w:tc>
          <w:tcPr>
            <w:tcW w:w="3118" w:type="dxa"/>
            <w:tcBorders>
              <w:top w:val="single" w:color="auto" w:sz="4" w:space="0"/>
            </w:tcBorders>
            <w:noWrap/>
            <w:vAlign w:val="center"/>
          </w:tcPr>
          <w:p>
            <w:pPr>
              <w:jc w:val="left"/>
              <w:rPr>
                <w:rFonts w:ascii="仿宋_GB2312" w:hAnsi="宋体" w:eastAsia="仿宋_GB2312" w:cs="宋体"/>
                <w:kern w:val="0"/>
                <w:sz w:val="24"/>
                <w:szCs w:val="20"/>
              </w:rPr>
            </w:pPr>
            <w:r>
              <w:rPr>
                <w:rFonts w:hint="eastAsia" w:ascii="仿宋_GB2312" w:hAnsi="宋体" w:eastAsia="仿宋_GB2312" w:cs="宋体"/>
                <w:kern w:val="0"/>
                <w:sz w:val="24"/>
                <w:szCs w:val="20"/>
              </w:rPr>
              <w:t>内部控制制度完全执行，4分，执行过程中，某个环节（节点）执行不到位的，每个环节（节点）扣1分，扣完为止。</w:t>
            </w:r>
          </w:p>
        </w:tc>
        <w:tc>
          <w:tcPr>
            <w:tcW w:w="3472" w:type="dxa"/>
            <w:tcBorders>
              <w:top w:val="single" w:color="auto" w:sz="4" w:space="0"/>
            </w:tcBorders>
            <w:noWrap/>
            <w:vAlign w:val="center"/>
          </w:tcPr>
          <w:p>
            <w:pPr>
              <w:widowControl/>
              <w:jc w:val="left"/>
              <w:rPr>
                <w:rFonts w:ascii="仿宋_GB2312" w:hAnsi="宋体" w:eastAsia="仿宋_GB2312" w:cs="宋体"/>
                <w:kern w:val="0"/>
                <w:sz w:val="24"/>
                <w:szCs w:val="20"/>
              </w:rPr>
            </w:pPr>
          </w:p>
        </w:tc>
        <w:tc>
          <w:tcPr>
            <w:tcW w:w="617" w:type="dxa"/>
            <w:tcBorders>
              <w:top w:val="single" w:color="auto" w:sz="4" w:space="0"/>
            </w:tcBorders>
            <w:noWrap/>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ign w:val="center"/>
          </w:tcPr>
          <w:p>
            <w:pPr>
              <w:widowControl/>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过程</w:t>
            </w:r>
          </w:p>
        </w:tc>
        <w:tc>
          <w:tcPr>
            <w:tcW w:w="429" w:type="dxa"/>
            <w:vMerge w:val="continue"/>
            <w:tcBorders>
              <w:right w:val="single" w:color="auto" w:sz="4" w:space="0"/>
            </w:tcBorders>
            <w:noWrap/>
            <w:vAlign w:val="center"/>
          </w:tcPr>
          <w:p>
            <w:pPr>
              <w:jc w:val="center"/>
              <w:rPr>
                <w:rFonts w:ascii="仿宋_GB2312" w:hAnsi="宋体" w:eastAsia="仿宋_GB2312" w:cs="宋体"/>
                <w:kern w:val="0"/>
                <w:sz w:val="24"/>
                <w:szCs w:val="20"/>
              </w:rPr>
            </w:pPr>
          </w:p>
        </w:tc>
        <w:tc>
          <w:tcPr>
            <w:tcW w:w="567" w:type="dxa"/>
            <w:vMerge w:val="continue"/>
            <w:tcBorders>
              <w:left w:val="single" w:color="auto" w:sz="4" w:space="0"/>
            </w:tcBorders>
            <w:noWrap/>
            <w:vAlign w:val="center"/>
          </w:tcPr>
          <w:p>
            <w:pPr>
              <w:jc w:val="center"/>
              <w:rPr>
                <w:rFonts w:ascii="仿宋_GB2312" w:hAnsi="宋体" w:eastAsia="仿宋_GB2312" w:cs="宋体"/>
                <w:kern w:val="0"/>
                <w:sz w:val="24"/>
                <w:szCs w:val="20"/>
              </w:rPr>
            </w:pP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资金  使用</w:t>
            </w:r>
            <w:r>
              <w:rPr>
                <w:rFonts w:hint="eastAsia" w:ascii="仿宋_GB2312" w:hAnsi="宋体" w:eastAsia="仿宋_GB2312" w:cs="宋体"/>
                <w:kern w:val="0"/>
                <w:sz w:val="24"/>
                <w:szCs w:val="20"/>
              </w:rPr>
              <w:br w:type="textWrapping"/>
            </w:r>
            <w:r>
              <w:rPr>
                <w:rFonts w:hint="eastAsia" w:ascii="仿宋_GB2312" w:hAnsi="宋体" w:eastAsia="仿宋_GB2312" w:cs="宋体"/>
                <w:kern w:val="0"/>
                <w:sz w:val="24"/>
                <w:szCs w:val="20"/>
              </w:rPr>
              <w:t>合规性</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14</w:t>
            </w:r>
          </w:p>
        </w:tc>
        <w:tc>
          <w:tcPr>
            <w:tcW w:w="3118"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①支出符合国家财经法规和财务管理制度规定以及有关专项资金管理办法的规定；</w:t>
            </w:r>
            <w:r>
              <w:rPr>
                <w:rFonts w:hint="eastAsia" w:ascii="仿宋_GB2312" w:hAnsi="宋体" w:eastAsia="仿宋_GB2312" w:cs="宋体"/>
                <w:kern w:val="0"/>
                <w:sz w:val="24"/>
                <w:szCs w:val="20"/>
              </w:rPr>
              <w:br w:type="textWrapping"/>
            </w:r>
            <w:r>
              <w:rPr>
                <w:rFonts w:hint="eastAsia" w:ascii="仿宋_GB2312" w:hAnsi="宋体" w:eastAsia="仿宋_GB2312" w:cs="宋体"/>
                <w:kern w:val="0"/>
                <w:sz w:val="24"/>
                <w:szCs w:val="20"/>
              </w:rPr>
              <w:t>②资金（开支）拨付有完整的审批程序和手续；</w:t>
            </w:r>
            <w:r>
              <w:rPr>
                <w:rFonts w:hint="eastAsia" w:ascii="仿宋_GB2312" w:hAnsi="宋体" w:eastAsia="仿宋_GB2312" w:cs="宋体"/>
                <w:kern w:val="0"/>
                <w:sz w:val="24"/>
                <w:szCs w:val="20"/>
              </w:rPr>
              <w:br w:type="textWrapping"/>
            </w:r>
            <w:r>
              <w:rPr>
                <w:rFonts w:hint="eastAsia" w:ascii="仿宋_GB2312" w:hAnsi="宋体" w:eastAsia="仿宋_GB2312" w:cs="宋体"/>
                <w:kern w:val="0"/>
                <w:sz w:val="24"/>
                <w:szCs w:val="20"/>
              </w:rPr>
              <w:t>③支出符合部门预算批复的用途；</w:t>
            </w:r>
            <w:r>
              <w:rPr>
                <w:rFonts w:hint="eastAsia" w:ascii="仿宋_GB2312" w:hAnsi="宋体" w:eastAsia="仿宋_GB2312" w:cs="宋体"/>
                <w:kern w:val="0"/>
                <w:sz w:val="24"/>
                <w:szCs w:val="20"/>
              </w:rPr>
              <w:br w:type="textWrapping"/>
            </w:r>
            <w:r>
              <w:rPr>
                <w:rFonts w:hint="eastAsia" w:ascii="仿宋_GB2312" w:hAnsi="宋体" w:eastAsia="仿宋_GB2312" w:cs="宋体"/>
                <w:kern w:val="0"/>
                <w:sz w:val="24"/>
                <w:szCs w:val="20"/>
              </w:rPr>
              <w:t>④资金使用无截留、挤占、挪用、虚列支出、随意借用、大额现金支付等情况。</w:t>
            </w:r>
          </w:p>
          <w:p>
            <w:pPr>
              <w:widowControl/>
              <w:jc w:val="left"/>
              <w:rPr>
                <w:rFonts w:ascii="仿宋_GB2312" w:hAnsi="仿宋" w:eastAsia="仿宋_GB2312" w:cs="仿宋"/>
                <w:kern w:val="0"/>
                <w:sz w:val="24"/>
                <w:szCs w:val="20"/>
              </w:rPr>
            </w:pPr>
            <w:r>
              <w:rPr>
                <w:rFonts w:hint="eastAsia" w:ascii="仿宋_GB2312" w:hAnsi="微软雅黑" w:eastAsia="仿宋_GB2312" w:cs="微软雅黑"/>
                <w:kern w:val="0"/>
                <w:sz w:val="24"/>
                <w:szCs w:val="20"/>
              </w:rPr>
              <w:t>⑤</w:t>
            </w:r>
            <w:r>
              <w:rPr>
                <w:rFonts w:hint="eastAsia" w:ascii="仿宋_GB2312" w:hAnsi="仿宋" w:eastAsia="仿宋_GB2312" w:cs="仿宋"/>
                <w:kern w:val="0"/>
                <w:sz w:val="24"/>
                <w:szCs w:val="20"/>
              </w:rPr>
              <w:t>重大财务事项经由集体研究决策；</w:t>
            </w:r>
          </w:p>
          <w:p>
            <w:pPr>
              <w:widowControl/>
              <w:jc w:val="left"/>
              <w:rPr>
                <w:rFonts w:ascii="仿宋_GB2312" w:hAnsi="仿宋" w:eastAsia="仿宋_GB2312" w:cs="仿宋"/>
                <w:kern w:val="0"/>
                <w:sz w:val="24"/>
                <w:szCs w:val="20"/>
              </w:rPr>
            </w:pPr>
            <w:r>
              <w:rPr>
                <w:rFonts w:hint="eastAsia" w:ascii="仿宋_GB2312" w:hAnsi="微软雅黑" w:eastAsia="仿宋_GB2312" w:cs="微软雅黑"/>
                <w:kern w:val="0"/>
                <w:sz w:val="24"/>
                <w:szCs w:val="20"/>
              </w:rPr>
              <w:t>⑥</w:t>
            </w:r>
            <w:r>
              <w:rPr>
                <w:rFonts w:hint="eastAsia" w:ascii="仿宋_GB2312" w:hAnsi="仿宋" w:eastAsia="仿宋_GB2312" w:cs="仿宋"/>
                <w:kern w:val="0"/>
                <w:sz w:val="24"/>
                <w:szCs w:val="20"/>
              </w:rPr>
              <w:t>专项资金做到专款专用；</w:t>
            </w:r>
          </w:p>
          <w:p>
            <w:pPr>
              <w:widowControl/>
              <w:jc w:val="left"/>
              <w:rPr>
                <w:rFonts w:ascii="仿宋_GB2312" w:hAnsi="仿宋" w:eastAsia="仿宋_GB2312" w:cs="仿宋"/>
                <w:kern w:val="0"/>
                <w:sz w:val="24"/>
                <w:szCs w:val="20"/>
              </w:rPr>
            </w:pPr>
            <w:r>
              <w:rPr>
                <w:rFonts w:hint="eastAsia" w:ascii="仿宋_GB2312" w:hAnsi="微软雅黑" w:eastAsia="仿宋_GB2312" w:cs="微软雅黑"/>
                <w:kern w:val="0"/>
                <w:sz w:val="24"/>
                <w:szCs w:val="20"/>
              </w:rPr>
              <w:t>⑦</w:t>
            </w:r>
            <w:r>
              <w:rPr>
                <w:rFonts w:hint="eastAsia" w:ascii="仿宋_GB2312" w:hAnsi="仿宋" w:eastAsia="仿宋_GB2312" w:cs="仿宋"/>
                <w:kern w:val="0"/>
                <w:sz w:val="24"/>
                <w:szCs w:val="20"/>
              </w:rPr>
              <w:t>原始凭证的取得真实有效；</w:t>
            </w:r>
          </w:p>
          <w:p>
            <w:pPr>
              <w:widowControl/>
              <w:jc w:val="left"/>
              <w:rPr>
                <w:rFonts w:ascii="仿宋_GB2312" w:hAnsi="仿宋" w:eastAsia="仿宋_GB2312" w:cs="仿宋"/>
                <w:kern w:val="0"/>
                <w:sz w:val="24"/>
                <w:szCs w:val="20"/>
              </w:rPr>
            </w:pPr>
            <w:r>
              <w:rPr>
                <w:rFonts w:hint="eastAsia" w:ascii="仿宋_GB2312" w:hAnsi="微软雅黑" w:eastAsia="仿宋_GB2312" w:cs="微软雅黑"/>
                <w:kern w:val="0"/>
                <w:sz w:val="24"/>
                <w:szCs w:val="20"/>
              </w:rPr>
              <w:t>⑧</w:t>
            </w:r>
            <w:r>
              <w:rPr>
                <w:rFonts w:hint="eastAsia" w:ascii="仿宋_GB2312" w:hAnsi="仿宋" w:eastAsia="仿宋_GB2312" w:cs="仿宋"/>
                <w:kern w:val="0"/>
                <w:sz w:val="24"/>
                <w:szCs w:val="20"/>
              </w:rPr>
              <w:t>无超范围、超预算开支；</w:t>
            </w:r>
          </w:p>
          <w:p>
            <w:pPr>
              <w:widowControl/>
              <w:jc w:val="left"/>
              <w:rPr>
                <w:rFonts w:ascii="仿宋_GB2312" w:hAnsi="宋体" w:eastAsia="仿宋_GB2312" w:cs="宋体"/>
                <w:kern w:val="0"/>
                <w:sz w:val="24"/>
                <w:szCs w:val="20"/>
              </w:rPr>
            </w:pPr>
            <w:r>
              <w:rPr>
                <w:rFonts w:hint="eastAsia" w:ascii="仿宋" w:hAnsi="仿宋" w:eastAsia="仿宋" w:cs="仿宋"/>
                <w:kern w:val="0"/>
                <w:sz w:val="24"/>
                <w:szCs w:val="20"/>
              </w:rPr>
              <w:t>⑨</w:t>
            </w:r>
            <w:r>
              <w:rPr>
                <w:rFonts w:hint="eastAsia" w:ascii="仿宋_GB2312" w:hAnsi="仿宋" w:eastAsia="仿宋_GB2312" w:cs="仿宋"/>
                <w:kern w:val="0"/>
                <w:sz w:val="24"/>
                <w:szCs w:val="20"/>
              </w:rPr>
              <w:t>无超标准发放津补贴、奖金，无用公款支付应由个人支付的款项。</w:t>
            </w:r>
            <w:r>
              <w:rPr>
                <w:rFonts w:hint="eastAsia" w:ascii="仿宋_GB2312" w:hAnsi="仿宋" w:eastAsia="仿宋_GB2312" w:cs="仿宋"/>
                <w:kern w:val="0"/>
                <w:sz w:val="24"/>
                <w:szCs w:val="20"/>
              </w:rPr>
              <w:br w:type="textWrapping"/>
            </w:r>
            <w:r>
              <w:rPr>
                <w:rFonts w:hint="eastAsia" w:ascii="仿宋_GB2312" w:hAnsi="仿宋" w:eastAsia="仿宋_GB2312" w:cs="仿宋"/>
                <w:kern w:val="0"/>
                <w:sz w:val="24"/>
                <w:szCs w:val="20"/>
              </w:rPr>
              <w:t>以上情况每出现一例不</w:t>
            </w:r>
            <w:r>
              <w:rPr>
                <w:rFonts w:hint="eastAsia" w:ascii="仿宋_GB2312" w:hAnsi="宋体" w:eastAsia="仿宋_GB2312" w:cs="宋体"/>
                <w:kern w:val="0"/>
                <w:sz w:val="24"/>
                <w:szCs w:val="20"/>
              </w:rPr>
              <w:t>符合要求的扣2分，扣完为止。</w:t>
            </w:r>
          </w:p>
        </w:tc>
        <w:tc>
          <w:tcPr>
            <w:tcW w:w="3472"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部门（单位）使用预算资金是否符合相关的预算财务管理制度的规定，用以反映和考核部门（单位）预算资金的规范运行情况。</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4"/>
                <w:szCs w:val="20"/>
              </w:rPr>
            </w:pPr>
          </w:p>
        </w:tc>
        <w:tc>
          <w:tcPr>
            <w:tcW w:w="429" w:type="dxa"/>
            <w:vMerge w:val="continue"/>
            <w:tcBorders>
              <w:bottom w:val="single" w:color="auto" w:sz="4" w:space="0"/>
              <w:right w:val="single" w:color="auto" w:sz="4" w:space="0"/>
            </w:tcBorders>
            <w:noWrap/>
            <w:vAlign w:val="center"/>
          </w:tcPr>
          <w:p>
            <w:pPr>
              <w:widowControl/>
              <w:jc w:val="center"/>
              <w:rPr>
                <w:rFonts w:ascii="仿宋_GB2312" w:hAnsi="宋体" w:eastAsia="仿宋_GB2312" w:cs="宋体"/>
                <w:kern w:val="0"/>
                <w:sz w:val="24"/>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4"/>
                <w:szCs w:val="20"/>
              </w:rPr>
            </w:pP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预决算信息公开性和完善性</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4</w:t>
            </w:r>
          </w:p>
        </w:tc>
        <w:tc>
          <w:tcPr>
            <w:tcW w:w="3118"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预决算信息是指与部门预算、执行、决算、监督、绩效等管理相关的信息。</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4"/>
                <w:szCs w:val="20"/>
              </w:rPr>
            </w:pPr>
          </w:p>
        </w:tc>
        <w:tc>
          <w:tcPr>
            <w:tcW w:w="429" w:type="dxa"/>
            <w:vMerge w:val="restart"/>
            <w:tcBorders>
              <w:top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资产管理</w:t>
            </w:r>
          </w:p>
        </w:tc>
        <w:tc>
          <w:tcPr>
            <w:tcW w:w="567" w:type="dxa"/>
            <w:vMerge w:val="restart"/>
            <w:tcBorders>
              <w:top w:val="single" w:color="auto" w:sz="4" w:space="0"/>
              <w:left w:val="single" w:color="auto" w:sz="4" w:space="0"/>
              <w:bottom w:val="single" w:color="auto" w:sz="4" w:space="0"/>
            </w:tcBorders>
            <w:noWrap/>
            <w:vAlign w:val="center"/>
          </w:tcPr>
          <w:p>
            <w:pPr>
              <w:widowControl/>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20</w:t>
            </w: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管理  制度</w:t>
            </w:r>
            <w:r>
              <w:rPr>
                <w:rFonts w:hint="eastAsia" w:ascii="仿宋_GB2312" w:hAnsi="宋体" w:eastAsia="仿宋_GB2312" w:cs="宋体"/>
                <w:kern w:val="0"/>
                <w:sz w:val="24"/>
                <w:szCs w:val="20"/>
              </w:rPr>
              <w:br w:type="textWrapping"/>
            </w:r>
            <w:r>
              <w:rPr>
                <w:rFonts w:hint="eastAsia" w:ascii="仿宋_GB2312" w:hAnsi="宋体" w:eastAsia="仿宋_GB2312" w:cs="宋体"/>
                <w:kern w:val="0"/>
                <w:sz w:val="24"/>
                <w:szCs w:val="20"/>
              </w:rPr>
              <w:t>健全性</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2</w:t>
            </w:r>
          </w:p>
        </w:tc>
        <w:tc>
          <w:tcPr>
            <w:tcW w:w="3118"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①已制定资产管理制度，1分；</w:t>
            </w:r>
            <w:r>
              <w:rPr>
                <w:rFonts w:hint="eastAsia" w:ascii="仿宋_GB2312" w:hAnsi="宋体" w:eastAsia="仿宋_GB2312" w:cs="宋体"/>
                <w:kern w:val="0"/>
                <w:sz w:val="24"/>
                <w:szCs w:val="20"/>
              </w:rPr>
              <w:br w:type="textWrapping"/>
            </w:r>
            <w:r>
              <w:rPr>
                <w:rFonts w:hint="eastAsia" w:ascii="仿宋_GB2312" w:hAnsi="宋体" w:eastAsia="仿宋_GB2312" w:cs="宋体"/>
                <w:kern w:val="0"/>
                <w:sz w:val="24"/>
                <w:szCs w:val="20"/>
              </w:rPr>
              <w:t xml:space="preserve">②相关资产管理制度得到有效执行，1分。                                           </w:t>
            </w:r>
          </w:p>
        </w:tc>
        <w:tc>
          <w:tcPr>
            <w:tcW w:w="3472"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4"/>
                <w:szCs w:val="20"/>
              </w:rPr>
            </w:pPr>
          </w:p>
        </w:tc>
        <w:tc>
          <w:tcPr>
            <w:tcW w:w="429" w:type="dxa"/>
            <w:vMerge w:val="continue"/>
            <w:tcBorders>
              <w:top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szCs w:val="20"/>
              </w:rPr>
            </w:pPr>
          </w:p>
        </w:tc>
        <w:tc>
          <w:tcPr>
            <w:tcW w:w="567" w:type="dxa"/>
            <w:vMerge w:val="continue"/>
            <w:tcBorders>
              <w:top w:val="single" w:color="auto" w:sz="4" w:space="0"/>
              <w:left w:val="single" w:color="auto" w:sz="4" w:space="0"/>
              <w:bottom w:val="single" w:color="auto" w:sz="4" w:space="0"/>
            </w:tcBorders>
            <w:noWrap/>
            <w:vAlign w:val="center"/>
          </w:tcPr>
          <w:p>
            <w:pPr>
              <w:widowControl/>
              <w:jc w:val="center"/>
              <w:rPr>
                <w:rFonts w:ascii="仿宋_GB2312" w:hAnsi="宋体" w:eastAsia="仿宋_GB2312" w:cs="宋体"/>
                <w:kern w:val="0"/>
                <w:sz w:val="24"/>
                <w:szCs w:val="20"/>
              </w:rPr>
            </w:pP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资产  管理</w:t>
            </w:r>
            <w:r>
              <w:rPr>
                <w:rFonts w:hint="eastAsia" w:ascii="仿宋_GB2312" w:hAnsi="宋体" w:eastAsia="仿宋_GB2312" w:cs="宋体"/>
                <w:kern w:val="0"/>
                <w:sz w:val="24"/>
                <w:szCs w:val="20"/>
              </w:rPr>
              <w:br w:type="textWrapping"/>
            </w:r>
            <w:r>
              <w:rPr>
                <w:rFonts w:hint="eastAsia" w:ascii="仿宋_GB2312" w:hAnsi="宋体" w:eastAsia="仿宋_GB2312" w:cs="宋体"/>
                <w:kern w:val="0"/>
                <w:sz w:val="24"/>
                <w:szCs w:val="20"/>
              </w:rPr>
              <w:t>安全性</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16</w:t>
            </w:r>
          </w:p>
        </w:tc>
        <w:tc>
          <w:tcPr>
            <w:tcW w:w="3118"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 xml:space="preserve">①资产保存完整；②资产配置合理；③资产处置规范； </w:t>
            </w:r>
            <w:r>
              <w:rPr>
                <w:rFonts w:hint="eastAsia" w:ascii="仿宋_GB2312" w:hAnsi="宋体" w:eastAsia="仿宋_GB2312" w:cs="宋体"/>
                <w:kern w:val="0"/>
                <w:sz w:val="24"/>
                <w:szCs w:val="20"/>
              </w:rPr>
              <w:br w:type="textWrapping"/>
            </w:r>
            <w:r>
              <w:rPr>
                <w:rFonts w:hint="eastAsia" w:ascii="仿宋_GB2312" w:hAnsi="宋体" w:eastAsia="仿宋_GB2312" w:cs="宋体"/>
                <w:kern w:val="0"/>
                <w:sz w:val="24"/>
                <w:szCs w:val="20"/>
              </w:rPr>
              <w:t>④资产账务管理合规，帐实帐卡、账账、账表（决算报表等）相符；⑤资产有偿使用及处置收入及时足额上缴；</w:t>
            </w:r>
            <w:r>
              <w:rPr>
                <w:rFonts w:hint="eastAsia" w:ascii="仿宋_GB2312" w:hAnsi="仿宋" w:eastAsia="仿宋_GB2312" w:cs="仿宋"/>
                <w:kern w:val="0"/>
                <w:sz w:val="24"/>
                <w:szCs w:val="20"/>
              </w:rPr>
              <w:t>⑥清查盘点：每年至少清查盘点一次；⑦产权明晰，权证齐全</w:t>
            </w:r>
            <w:r>
              <w:rPr>
                <w:rFonts w:hint="eastAsia" w:ascii="仿宋_GB2312" w:hAnsi="宋体" w:eastAsia="仿宋_GB2312" w:cs="宋体"/>
                <w:kern w:val="0"/>
                <w:sz w:val="24"/>
                <w:szCs w:val="20"/>
              </w:rPr>
              <w:t>；⑧按标准购置固定资产。</w:t>
            </w:r>
            <w:r>
              <w:rPr>
                <w:rFonts w:hint="eastAsia" w:ascii="仿宋_GB2312" w:hAnsi="宋体" w:eastAsia="仿宋_GB2312" w:cs="宋体"/>
                <w:kern w:val="0"/>
                <w:sz w:val="24"/>
                <w:szCs w:val="20"/>
              </w:rPr>
              <w:br w:type="textWrapping"/>
            </w:r>
            <w:r>
              <w:rPr>
                <w:rFonts w:hint="eastAsia" w:ascii="仿宋_GB2312" w:hAnsi="宋体" w:eastAsia="仿宋_GB2312" w:cs="宋体"/>
                <w:kern w:val="0"/>
                <w:sz w:val="24"/>
                <w:szCs w:val="20"/>
              </w:rPr>
              <w:t>以上情况每出现一例不符合要求的扣2分；⑨未按时报送2018年行政事业单位资产报表的，每延迟一天，扣1分，扣完为止。</w:t>
            </w:r>
          </w:p>
        </w:tc>
        <w:tc>
          <w:tcPr>
            <w:tcW w:w="3472"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部门（单位）的资产是否保存完整，使用合规、配置合理、处置规范、收入及时足额上缴，用以反映和考核部门（单位）资产安全运行情况。</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4"/>
                <w:szCs w:val="20"/>
              </w:rPr>
            </w:pPr>
          </w:p>
        </w:tc>
        <w:tc>
          <w:tcPr>
            <w:tcW w:w="429" w:type="dxa"/>
            <w:vMerge w:val="continue"/>
            <w:tcBorders>
              <w:top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szCs w:val="20"/>
              </w:rPr>
            </w:pPr>
          </w:p>
        </w:tc>
        <w:tc>
          <w:tcPr>
            <w:tcW w:w="567" w:type="dxa"/>
            <w:vMerge w:val="continue"/>
            <w:tcBorders>
              <w:top w:val="single" w:color="auto" w:sz="4" w:space="0"/>
              <w:left w:val="single" w:color="auto" w:sz="4" w:space="0"/>
              <w:bottom w:val="single" w:color="auto" w:sz="4" w:space="0"/>
            </w:tcBorders>
            <w:noWrap/>
            <w:vAlign w:val="center"/>
          </w:tcPr>
          <w:p>
            <w:pPr>
              <w:widowControl/>
              <w:jc w:val="center"/>
              <w:rPr>
                <w:rFonts w:ascii="仿宋_GB2312" w:hAnsi="宋体" w:eastAsia="仿宋_GB2312" w:cs="宋体"/>
                <w:kern w:val="0"/>
                <w:sz w:val="24"/>
                <w:szCs w:val="20"/>
              </w:rPr>
            </w:pP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固定  资产</w:t>
            </w:r>
            <w:r>
              <w:rPr>
                <w:rFonts w:hint="eastAsia" w:ascii="仿宋_GB2312" w:hAnsi="宋体" w:eastAsia="仿宋_GB2312" w:cs="宋体"/>
                <w:kern w:val="0"/>
                <w:sz w:val="24"/>
                <w:szCs w:val="20"/>
              </w:rPr>
              <w:br w:type="textWrapping"/>
            </w:r>
            <w:r>
              <w:rPr>
                <w:rFonts w:hint="eastAsia" w:ascii="仿宋_GB2312" w:hAnsi="宋体" w:eastAsia="仿宋_GB2312" w:cs="宋体"/>
                <w:kern w:val="0"/>
                <w:sz w:val="24"/>
                <w:szCs w:val="20"/>
              </w:rPr>
              <w:t>利用率</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2</w:t>
            </w:r>
          </w:p>
        </w:tc>
        <w:tc>
          <w:tcPr>
            <w:tcW w:w="3118"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固定资产利用率,100%,2分,每低于一个百分点扣0.2分，扣完为止。</w:t>
            </w:r>
          </w:p>
        </w:tc>
        <w:tc>
          <w:tcPr>
            <w:tcW w:w="3472"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固定资产利用率=（实际在用固定资产总额/所有固定资产总额）×100%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4"/>
                <w:szCs w:val="20"/>
              </w:rPr>
            </w:pPr>
          </w:p>
        </w:tc>
        <w:tc>
          <w:tcPr>
            <w:tcW w:w="429" w:type="dxa"/>
            <w:vMerge w:val="restart"/>
            <w:tcBorders>
              <w:right w:val="single" w:color="auto" w:sz="4" w:space="0"/>
            </w:tcBorders>
            <w:noWrap/>
            <w:vAlign w:val="center"/>
          </w:tcPr>
          <w:p>
            <w:pPr>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绩效管理</w:t>
            </w:r>
          </w:p>
        </w:tc>
        <w:tc>
          <w:tcPr>
            <w:tcW w:w="567" w:type="dxa"/>
            <w:vMerge w:val="restart"/>
            <w:tcBorders>
              <w:top w:val="single" w:color="auto" w:sz="4" w:space="0"/>
              <w:left w:val="single" w:color="auto" w:sz="4" w:space="0"/>
            </w:tcBorders>
            <w:noWrap/>
            <w:vAlign w:val="center"/>
          </w:tcPr>
          <w:p>
            <w:pPr>
              <w:widowControl/>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17</w:t>
            </w: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目标 管理</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8</w:t>
            </w:r>
          </w:p>
        </w:tc>
        <w:tc>
          <w:tcPr>
            <w:tcW w:w="3118"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①本单位所有专项、项目资金均实行目标管理的，各2分,每少一个专项、项目的，扣1分，扣完为止；②编制并报送2021年度部门整体支出绩效目标的，2分；③在规定时间内报送、公开以上目标的，2分，否则不得分。</w:t>
            </w:r>
          </w:p>
        </w:tc>
        <w:tc>
          <w:tcPr>
            <w:tcW w:w="3472" w:type="dxa"/>
            <w:noWrap/>
            <w:vAlign w:val="center"/>
          </w:tcPr>
          <w:p>
            <w:pPr>
              <w:widowControl/>
              <w:jc w:val="left"/>
              <w:rPr>
                <w:rFonts w:ascii="仿宋_GB2312" w:hAnsi="宋体" w:eastAsia="仿宋_GB2312" w:cs="宋体"/>
                <w:kern w:val="0"/>
                <w:sz w:val="24"/>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ign w:val="center"/>
          </w:tcPr>
          <w:p>
            <w:pPr>
              <w:widowControl/>
              <w:jc w:val="center"/>
              <w:rPr>
                <w:rFonts w:ascii="仿宋_GB2312" w:hAnsi="宋体" w:eastAsia="仿宋_GB2312" w:cs="宋体"/>
                <w:kern w:val="0"/>
                <w:sz w:val="24"/>
                <w:szCs w:val="20"/>
              </w:rPr>
            </w:pPr>
          </w:p>
        </w:tc>
        <w:tc>
          <w:tcPr>
            <w:tcW w:w="429" w:type="dxa"/>
            <w:vMerge w:val="continue"/>
            <w:tcBorders>
              <w:bottom w:val="single" w:color="auto" w:sz="4" w:space="0"/>
              <w:right w:val="single" w:color="auto" w:sz="4" w:space="0"/>
            </w:tcBorders>
            <w:noWrap/>
            <w:vAlign w:val="center"/>
          </w:tcPr>
          <w:p>
            <w:pPr>
              <w:jc w:val="center"/>
              <w:rPr>
                <w:rFonts w:ascii="仿宋_GB2312" w:hAnsi="宋体" w:eastAsia="仿宋_GB2312" w:cs="宋体"/>
                <w:kern w:val="0"/>
                <w:sz w:val="24"/>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4"/>
                <w:szCs w:val="20"/>
              </w:rPr>
            </w:pP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绩效 评价</w:t>
            </w:r>
          </w:p>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管理</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7</w:t>
            </w:r>
          </w:p>
        </w:tc>
        <w:tc>
          <w:tcPr>
            <w:tcW w:w="3118" w:type="dxa"/>
            <w:noWrap/>
            <w:vAlign w:val="center"/>
          </w:tcPr>
          <w:p>
            <w:pPr>
              <w:widowControl/>
              <w:jc w:val="left"/>
              <w:rPr>
                <w:rFonts w:ascii="仿宋_GB2312" w:hAnsi="宋体" w:eastAsia="仿宋_GB2312" w:cs="宋体"/>
                <w:kern w:val="0"/>
                <w:sz w:val="24"/>
                <w:szCs w:val="20"/>
              </w:rPr>
            </w:pPr>
            <w:r>
              <w:rPr>
                <w:rFonts w:hint="eastAsia" w:ascii="仿宋" w:hAnsi="仿宋" w:eastAsia="仿宋" w:cs="宋体"/>
                <w:kern w:val="0"/>
                <w:sz w:val="24"/>
                <w:szCs w:val="20"/>
              </w:rPr>
              <w:t>①</w:t>
            </w:r>
            <w:r>
              <w:rPr>
                <w:rFonts w:hint="eastAsia" w:ascii="仿宋_GB2312" w:hAnsi="宋体" w:eastAsia="仿宋_GB2312" w:cs="宋体"/>
                <w:kern w:val="0"/>
                <w:sz w:val="24"/>
                <w:szCs w:val="20"/>
              </w:rPr>
              <w:t>开展2019年度专项资金绩效自评的，2分，每少一个专项资金的自评扣1分，扣完为止；</w:t>
            </w:r>
            <w:r>
              <w:rPr>
                <w:rFonts w:hint="eastAsia" w:ascii="仿宋" w:hAnsi="仿宋" w:eastAsia="仿宋" w:cs="宋体"/>
                <w:kern w:val="0"/>
                <w:sz w:val="24"/>
                <w:szCs w:val="20"/>
              </w:rPr>
              <w:t>②</w:t>
            </w:r>
            <w:r>
              <w:rPr>
                <w:rFonts w:hint="eastAsia" w:ascii="仿宋_GB2312" w:hAnsi="宋体" w:eastAsia="仿宋_GB2312" w:cs="宋体"/>
                <w:kern w:val="0"/>
                <w:sz w:val="24"/>
                <w:szCs w:val="20"/>
              </w:rPr>
              <w:t>开展2019年度已完工项目绩效自评的，2分，每少一个项目扣1分，扣完为止；</w:t>
            </w:r>
            <w:r>
              <w:rPr>
                <w:rFonts w:hint="eastAsia" w:ascii="仿宋" w:hAnsi="仿宋" w:eastAsia="仿宋" w:cs="宋体"/>
                <w:kern w:val="0"/>
                <w:sz w:val="24"/>
                <w:szCs w:val="20"/>
              </w:rPr>
              <w:t>③</w:t>
            </w:r>
            <w:r>
              <w:rPr>
                <w:rFonts w:hint="eastAsia" w:ascii="仿宋_GB2312" w:hAnsi="宋体" w:eastAsia="仿宋_GB2312" w:cs="宋体"/>
                <w:kern w:val="0"/>
                <w:sz w:val="24"/>
                <w:szCs w:val="20"/>
              </w:rPr>
              <w:t>开展2019年度部门整体支出绩效自评的，1分；</w:t>
            </w:r>
            <w:r>
              <w:rPr>
                <w:rFonts w:hint="eastAsia" w:ascii="仿宋" w:hAnsi="仿宋" w:eastAsia="仿宋" w:cs="宋体"/>
                <w:kern w:val="0"/>
                <w:sz w:val="24"/>
                <w:szCs w:val="20"/>
              </w:rPr>
              <w:t>④</w:t>
            </w:r>
            <w:r>
              <w:rPr>
                <w:rFonts w:hint="eastAsia" w:ascii="仿宋_GB2312" w:hAnsi="宋体" w:eastAsia="仿宋_GB2312" w:cs="宋体"/>
                <w:kern w:val="0"/>
                <w:sz w:val="24"/>
                <w:szCs w:val="20"/>
              </w:rPr>
              <w:t>在规定时间内报送、公开以上自评报告材料的，2分。</w:t>
            </w:r>
          </w:p>
        </w:tc>
        <w:tc>
          <w:tcPr>
            <w:tcW w:w="3472" w:type="dxa"/>
            <w:noWrap/>
            <w:vAlign w:val="center"/>
          </w:tcPr>
          <w:p>
            <w:pPr>
              <w:widowControl/>
              <w:jc w:val="left"/>
              <w:rPr>
                <w:rFonts w:ascii="仿宋_GB2312" w:hAnsi="宋体" w:eastAsia="仿宋_GB2312" w:cs="宋体"/>
                <w:kern w:val="0"/>
                <w:sz w:val="24"/>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ign w:val="center"/>
          </w:tcPr>
          <w:p>
            <w:pPr>
              <w:widowControl/>
              <w:jc w:val="center"/>
              <w:rPr>
                <w:rFonts w:ascii="仿宋_GB2312" w:hAnsi="宋体" w:eastAsia="仿宋_GB2312" w:cs="宋体"/>
                <w:kern w:val="0"/>
                <w:sz w:val="24"/>
                <w:szCs w:val="20"/>
              </w:rPr>
            </w:pPr>
          </w:p>
        </w:tc>
        <w:tc>
          <w:tcPr>
            <w:tcW w:w="429" w:type="dxa"/>
            <w:tcBorders>
              <w:top w:val="nil"/>
              <w:bottom w:val="single" w:color="auto" w:sz="4" w:space="0"/>
              <w:right w:val="single" w:color="auto" w:sz="4" w:space="0"/>
            </w:tcBorders>
            <w:noWrap/>
            <w:vAlign w:val="center"/>
          </w:tcPr>
          <w:p>
            <w:pPr>
              <w:jc w:val="center"/>
              <w:rPr>
                <w:rFonts w:ascii="仿宋_GB2312" w:hAnsi="宋体" w:eastAsia="仿宋_GB2312" w:cs="宋体"/>
                <w:kern w:val="0"/>
                <w:sz w:val="24"/>
                <w:szCs w:val="20"/>
              </w:rPr>
            </w:pPr>
          </w:p>
        </w:tc>
        <w:tc>
          <w:tcPr>
            <w:tcW w:w="567" w:type="dxa"/>
            <w:tcBorders>
              <w:top w:val="nil"/>
              <w:left w:val="single" w:color="auto" w:sz="4" w:space="0"/>
              <w:bottom w:val="single" w:color="auto" w:sz="4" w:space="0"/>
            </w:tcBorders>
            <w:noWrap/>
            <w:vAlign w:val="center"/>
          </w:tcPr>
          <w:p>
            <w:pPr>
              <w:widowControl/>
              <w:jc w:val="center"/>
              <w:rPr>
                <w:rFonts w:ascii="仿宋_GB2312" w:hAnsi="宋体" w:eastAsia="仿宋_GB2312" w:cs="宋体"/>
                <w:kern w:val="0"/>
                <w:sz w:val="24"/>
                <w:szCs w:val="20"/>
              </w:rPr>
            </w:pP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评价 结果 运用</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2</w:t>
            </w:r>
          </w:p>
        </w:tc>
        <w:tc>
          <w:tcPr>
            <w:tcW w:w="3118" w:type="dxa"/>
            <w:noWrap/>
            <w:vAlign w:val="center"/>
          </w:tcPr>
          <w:p>
            <w:pPr>
              <w:widowControl/>
              <w:jc w:val="left"/>
              <w:rPr>
                <w:rFonts w:ascii="仿宋" w:hAnsi="仿宋" w:eastAsia="仿宋" w:cs="宋体"/>
                <w:sz w:val="24"/>
                <w:szCs w:val="20"/>
              </w:rPr>
            </w:pPr>
            <w:r>
              <w:rPr>
                <w:rFonts w:hint="eastAsia" w:ascii="仿宋_GB2312" w:hAnsi="宋体" w:eastAsia="仿宋_GB2312" w:cs="宋体"/>
                <w:kern w:val="0"/>
                <w:sz w:val="24"/>
                <w:szCs w:val="20"/>
              </w:rPr>
              <w:t>根据2019年度财政重点绩效评价和单位自评情况，向财政报送整改结果并整改到位的，2分，否则不得分。</w:t>
            </w:r>
          </w:p>
        </w:tc>
        <w:tc>
          <w:tcPr>
            <w:tcW w:w="3472" w:type="dxa"/>
            <w:noWrap/>
            <w:vAlign w:val="center"/>
          </w:tcPr>
          <w:p>
            <w:pPr>
              <w:jc w:val="left"/>
              <w:rPr>
                <w:rFonts w:ascii="仿宋_GB2312" w:hAnsi="宋体" w:eastAsia="仿宋_GB2312" w:cs="宋体"/>
                <w:kern w:val="0"/>
                <w:sz w:val="24"/>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textDirection w:val="tbRlV"/>
            <w:vAlign w:val="center"/>
          </w:tcPr>
          <w:p>
            <w:pPr>
              <w:widowControl/>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产   出</w:t>
            </w:r>
          </w:p>
        </w:tc>
        <w:tc>
          <w:tcPr>
            <w:tcW w:w="429" w:type="dxa"/>
            <w:vMerge w:val="restart"/>
            <w:tcBorders>
              <w:top w:val="single" w:color="auto" w:sz="4" w:space="0"/>
              <w:right w:val="single" w:color="auto" w:sz="4" w:space="0"/>
            </w:tcBorders>
            <w:noWrap/>
            <w:vAlign w:val="center"/>
          </w:tcPr>
          <w:p>
            <w:pPr>
              <w:widowControl/>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职责履行</w:t>
            </w:r>
          </w:p>
        </w:tc>
        <w:tc>
          <w:tcPr>
            <w:tcW w:w="567" w:type="dxa"/>
            <w:vMerge w:val="restart"/>
            <w:tcBorders>
              <w:top w:val="single" w:color="auto" w:sz="4" w:space="0"/>
              <w:left w:val="single" w:color="auto" w:sz="4" w:space="0"/>
            </w:tcBorders>
            <w:noWrap/>
            <w:vAlign w:val="center"/>
          </w:tcPr>
          <w:p>
            <w:pPr>
              <w:widowControl/>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5</w:t>
            </w: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重点　工作　完成率</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2</w:t>
            </w:r>
          </w:p>
        </w:tc>
        <w:tc>
          <w:tcPr>
            <w:tcW w:w="3118"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该项得分=重点工作完成率×2</w:t>
            </w:r>
          </w:p>
        </w:tc>
        <w:tc>
          <w:tcPr>
            <w:tcW w:w="3472" w:type="dxa"/>
            <w:noWrap/>
            <w:vAlign w:val="center"/>
          </w:tcPr>
          <w:p>
            <w:pPr>
              <w:autoSpaceDN w:val="0"/>
              <w:jc w:val="left"/>
              <w:textAlignment w:val="center"/>
              <w:rPr>
                <w:rFonts w:ascii="仿宋_GB2312" w:hAnsi="宋体" w:eastAsia="仿宋_GB2312" w:cs="宋体"/>
                <w:kern w:val="0"/>
                <w:sz w:val="24"/>
                <w:szCs w:val="20"/>
              </w:rPr>
            </w:pPr>
            <w:r>
              <w:rPr>
                <w:rFonts w:hint="eastAsia" w:ascii="仿宋_GB2312" w:hAnsi="宋体" w:eastAsia="仿宋_GB2312" w:cs="宋体"/>
                <w:kern w:val="0"/>
                <w:sz w:val="24"/>
                <w:szCs w:val="20"/>
              </w:rPr>
              <w:t>重点工作为市政府确定的为民办实事和部门重点工程与重点工作。</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textDirection w:val="tbRlV"/>
            <w:vAlign w:val="center"/>
          </w:tcPr>
          <w:p>
            <w:pPr>
              <w:widowControl/>
              <w:jc w:val="center"/>
              <w:rPr>
                <w:rFonts w:ascii="仿宋_GB2312" w:hAnsi="宋体" w:eastAsia="仿宋_GB2312" w:cs="宋体"/>
                <w:kern w:val="0"/>
                <w:sz w:val="24"/>
                <w:szCs w:val="20"/>
              </w:rPr>
            </w:pPr>
          </w:p>
        </w:tc>
        <w:tc>
          <w:tcPr>
            <w:tcW w:w="429" w:type="dxa"/>
            <w:vMerge w:val="continue"/>
            <w:tcBorders>
              <w:bottom w:val="single" w:color="auto" w:sz="4" w:space="0"/>
              <w:right w:val="single" w:color="auto" w:sz="4" w:space="0"/>
            </w:tcBorders>
            <w:noWrap/>
            <w:vAlign w:val="center"/>
          </w:tcPr>
          <w:p>
            <w:pPr>
              <w:widowControl/>
              <w:jc w:val="center"/>
              <w:rPr>
                <w:rFonts w:ascii="仿宋_GB2312" w:hAnsi="宋体" w:eastAsia="仿宋_GB2312" w:cs="宋体"/>
                <w:kern w:val="0"/>
                <w:sz w:val="24"/>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4"/>
                <w:szCs w:val="20"/>
              </w:rPr>
            </w:pPr>
          </w:p>
        </w:tc>
        <w:tc>
          <w:tcPr>
            <w:tcW w:w="851" w:type="dxa"/>
            <w:noWrap/>
            <w:vAlign w:val="center"/>
          </w:tcPr>
          <w:p>
            <w:pPr>
              <w:rPr>
                <w:rFonts w:ascii="仿宋_GB2312" w:hAnsi="宋体" w:eastAsia="仿宋_GB2312" w:cs="宋体"/>
                <w:kern w:val="0"/>
                <w:sz w:val="24"/>
                <w:szCs w:val="20"/>
              </w:rPr>
            </w:pPr>
            <w:r>
              <w:rPr>
                <w:rFonts w:hint="eastAsia" w:ascii="仿宋_GB2312" w:hAnsi="宋体" w:eastAsia="仿宋_GB2312" w:cs="宋体"/>
                <w:kern w:val="0"/>
                <w:sz w:val="24"/>
                <w:szCs w:val="20"/>
              </w:rPr>
              <w:t>工作</w:t>
            </w:r>
          </w:p>
          <w:p>
            <w:pPr>
              <w:rPr>
                <w:rFonts w:ascii="仿宋_GB2312" w:hAnsi="宋体" w:eastAsia="仿宋_GB2312" w:cs="宋体"/>
                <w:kern w:val="0"/>
                <w:sz w:val="24"/>
                <w:szCs w:val="20"/>
              </w:rPr>
            </w:pPr>
            <w:r>
              <w:rPr>
                <w:rFonts w:hint="eastAsia" w:ascii="仿宋_GB2312" w:hAnsi="宋体" w:eastAsia="仿宋_GB2312" w:cs="宋体"/>
                <w:kern w:val="0"/>
                <w:sz w:val="24"/>
                <w:szCs w:val="20"/>
              </w:rPr>
              <w:t>质量</w:t>
            </w:r>
          </w:p>
        </w:tc>
        <w:tc>
          <w:tcPr>
            <w:tcW w:w="567" w:type="dxa"/>
            <w:noWrap/>
            <w:vAlign w:val="center"/>
          </w:tcPr>
          <w:p>
            <w:pPr>
              <w:rPr>
                <w:rFonts w:ascii="仿宋_GB2312" w:hAnsi="宋体" w:eastAsia="仿宋_GB2312" w:cs="宋体"/>
                <w:kern w:val="0"/>
                <w:sz w:val="24"/>
                <w:szCs w:val="20"/>
              </w:rPr>
            </w:pPr>
            <w:r>
              <w:rPr>
                <w:rFonts w:hint="eastAsia" w:ascii="仿宋_GB2312" w:hAnsi="宋体" w:eastAsia="仿宋_GB2312" w:cs="宋体"/>
                <w:kern w:val="0"/>
                <w:sz w:val="24"/>
                <w:szCs w:val="20"/>
              </w:rPr>
              <w:t>3</w:t>
            </w:r>
          </w:p>
        </w:tc>
        <w:tc>
          <w:tcPr>
            <w:tcW w:w="3118" w:type="dxa"/>
            <w:noWrap/>
            <w:vAlign w:val="center"/>
          </w:tcPr>
          <w:p>
            <w:pPr>
              <w:jc w:val="left"/>
              <w:rPr>
                <w:rFonts w:ascii="仿宋_GB2312" w:hAnsi="宋体" w:eastAsia="仿宋_GB2312" w:cs="宋体"/>
                <w:kern w:val="0"/>
                <w:sz w:val="24"/>
                <w:szCs w:val="20"/>
              </w:rPr>
            </w:pPr>
            <w:r>
              <w:rPr>
                <w:rFonts w:hint="eastAsia" w:ascii="仿宋_GB2312" w:hAnsi="宋体" w:eastAsia="仿宋_GB2312" w:cs="宋体"/>
                <w:kern w:val="0"/>
                <w:sz w:val="24"/>
                <w:szCs w:val="20"/>
              </w:rPr>
              <w:t>以绩效考核评估结果为标准，优秀，计3分；良好，2分；合格，1分；不合格，0分。</w:t>
            </w:r>
          </w:p>
        </w:tc>
        <w:tc>
          <w:tcPr>
            <w:tcW w:w="3472" w:type="dxa"/>
            <w:noWrap/>
            <w:vAlign w:val="center"/>
          </w:tcPr>
          <w:p>
            <w:pPr>
              <w:autoSpaceDN w:val="0"/>
              <w:jc w:val="left"/>
              <w:textAlignment w:val="center"/>
              <w:rPr>
                <w:rFonts w:ascii="仿宋_GB2312" w:hAnsi="宋体" w:eastAsia="仿宋_GB2312" w:cs="宋体"/>
                <w:kern w:val="0"/>
                <w:sz w:val="24"/>
                <w:szCs w:val="20"/>
              </w:rPr>
            </w:pPr>
          </w:p>
        </w:tc>
        <w:tc>
          <w:tcPr>
            <w:tcW w:w="617" w:type="dxa"/>
            <w:noWrap/>
            <w:vAlign w:val="center"/>
          </w:tcPr>
          <w:p>
            <w:pPr>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textDirection w:val="tbRlV"/>
            <w:vAlign w:val="center"/>
          </w:tcPr>
          <w:p>
            <w:pPr>
              <w:widowControl/>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效  果</w:t>
            </w:r>
          </w:p>
        </w:tc>
        <w:tc>
          <w:tcPr>
            <w:tcW w:w="429" w:type="dxa"/>
            <w:vMerge w:val="restart"/>
            <w:tcBorders>
              <w:top w:val="single" w:color="auto" w:sz="4" w:space="0"/>
              <w:bottom w:val="single" w:color="auto" w:sz="4" w:space="0"/>
            </w:tcBorders>
            <w:noWrap/>
            <w:vAlign w:val="center"/>
          </w:tcPr>
          <w:p>
            <w:pPr>
              <w:widowControl/>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履职效益</w:t>
            </w:r>
          </w:p>
        </w:tc>
        <w:tc>
          <w:tcPr>
            <w:tcW w:w="567" w:type="dxa"/>
            <w:vMerge w:val="restart"/>
            <w:tcBorders>
              <w:top w:val="single" w:color="auto" w:sz="4" w:space="0"/>
              <w:bottom w:val="single" w:color="auto" w:sz="4" w:space="0"/>
            </w:tcBorders>
            <w:noWrap/>
            <w:vAlign w:val="center"/>
          </w:tcPr>
          <w:p>
            <w:pPr>
              <w:widowControl/>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4</w:t>
            </w: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经济  效益</w:t>
            </w:r>
          </w:p>
        </w:tc>
        <w:tc>
          <w:tcPr>
            <w:tcW w:w="567" w:type="dxa"/>
            <w:vMerge w:val="restart"/>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2</w:t>
            </w:r>
          </w:p>
        </w:tc>
        <w:tc>
          <w:tcPr>
            <w:tcW w:w="6590" w:type="dxa"/>
            <w:gridSpan w:val="2"/>
            <w:vMerge w:val="restart"/>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此三项指标可根据部门实际并结合2021年度部门整体支出绩效目标设立情况有选择的进行评价。</w:t>
            </w:r>
          </w:p>
        </w:tc>
        <w:tc>
          <w:tcPr>
            <w:tcW w:w="617" w:type="dxa"/>
            <w:vMerge w:val="restart"/>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4"/>
                <w:szCs w:val="20"/>
              </w:rPr>
            </w:pPr>
          </w:p>
        </w:tc>
        <w:tc>
          <w:tcPr>
            <w:tcW w:w="429"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4"/>
                <w:szCs w:val="20"/>
              </w:rPr>
            </w:pPr>
          </w:p>
        </w:tc>
        <w:tc>
          <w:tcPr>
            <w:tcW w:w="567"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4"/>
                <w:szCs w:val="20"/>
              </w:rPr>
            </w:pP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社会  效益</w:t>
            </w:r>
          </w:p>
        </w:tc>
        <w:tc>
          <w:tcPr>
            <w:tcW w:w="567" w:type="dxa"/>
            <w:vMerge w:val="continue"/>
            <w:noWrap/>
            <w:vAlign w:val="center"/>
          </w:tcPr>
          <w:p>
            <w:pPr>
              <w:widowControl/>
              <w:rPr>
                <w:rFonts w:ascii="仿宋_GB2312" w:hAnsi="宋体" w:eastAsia="仿宋_GB2312" w:cs="宋体"/>
                <w:kern w:val="0"/>
                <w:sz w:val="24"/>
                <w:szCs w:val="20"/>
              </w:rPr>
            </w:pPr>
          </w:p>
        </w:tc>
        <w:tc>
          <w:tcPr>
            <w:tcW w:w="6590" w:type="dxa"/>
            <w:gridSpan w:val="2"/>
            <w:vMerge w:val="continue"/>
            <w:noWrap/>
            <w:vAlign w:val="center"/>
          </w:tcPr>
          <w:p>
            <w:pPr>
              <w:widowControl/>
              <w:jc w:val="left"/>
              <w:rPr>
                <w:rFonts w:ascii="仿宋_GB2312" w:hAnsi="宋体" w:eastAsia="仿宋_GB2312" w:cs="宋体"/>
                <w:kern w:val="0"/>
                <w:sz w:val="24"/>
                <w:szCs w:val="20"/>
              </w:rPr>
            </w:pPr>
          </w:p>
        </w:tc>
        <w:tc>
          <w:tcPr>
            <w:tcW w:w="617" w:type="dxa"/>
            <w:vMerge w:val="continue"/>
            <w:noWrap/>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4"/>
                <w:szCs w:val="20"/>
              </w:rPr>
            </w:pPr>
          </w:p>
        </w:tc>
        <w:tc>
          <w:tcPr>
            <w:tcW w:w="429"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4"/>
                <w:szCs w:val="20"/>
              </w:rPr>
            </w:pPr>
          </w:p>
        </w:tc>
        <w:tc>
          <w:tcPr>
            <w:tcW w:w="567"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4"/>
                <w:szCs w:val="20"/>
              </w:rPr>
            </w:pP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生态  效益</w:t>
            </w:r>
          </w:p>
        </w:tc>
        <w:tc>
          <w:tcPr>
            <w:tcW w:w="567" w:type="dxa"/>
            <w:vMerge w:val="continue"/>
            <w:noWrap/>
            <w:vAlign w:val="center"/>
          </w:tcPr>
          <w:p>
            <w:pPr>
              <w:widowControl/>
              <w:rPr>
                <w:rFonts w:ascii="仿宋_GB2312" w:hAnsi="宋体" w:eastAsia="仿宋_GB2312" w:cs="宋体"/>
                <w:kern w:val="0"/>
                <w:sz w:val="24"/>
                <w:szCs w:val="20"/>
              </w:rPr>
            </w:pPr>
          </w:p>
        </w:tc>
        <w:tc>
          <w:tcPr>
            <w:tcW w:w="6590" w:type="dxa"/>
            <w:gridSpan w:val="2"/>
            <w:vMerge w:val="continue"/>
            <w:noWrap/>
            <w:vAlign w:val="center"/>
          </w:tcPr>
          <w:p>
            <w:pPr>
              <w:widowControl/>
              <w:jc w:val="left"/>
              <w:rPr>
                <w:rFonts w:ascii="仿宋_GB2312" w:hAnsi="宋体" w:eastAsia="仿宋_GB2312" w:cs="宋体"/>
                <w:kern w:val="0"/>
                <w:sz w:val="24"/>
                <w:szCs w:val="20"/>
              </w:rPr>
            </w:pPr>
          </w:p>
        </w:tc>
        <w:tc>
          <w:tcPr>
            <w:tcW w:w="617" w:type="dxa"/>
            <w:vMerge w:val="continue"/>
            <w:noWrap/>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4"/>
                <w:szCs w:val="20"/>
              </w:rPr>
            </w:pPr>
          </w:p>
        </w:tc>
        <w:tc>
          <w:tcPr>
            <w:tcW w:w="429"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4"/>
                <w:szCs w:val="20"/>
              </w:rPr>
            </w:pPr>
          </w:p>
        </w:tc>
        <w:tc>
          <w:tcPr>
            <w:tcW w:w="567"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4"/>
                <w:szCs w:val="20"/>
              </w:rPr>
            </w:pPr>
          </w:p>
        </w:tc>
        <w:tc>
          <w:tcPr>
            <w:tcW w:w="851"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社会公众或服务对象满意度</w:t>
            </w:r>
          </w:p>
        </w:tc>
        <w:tc>
          <w:tcPr>
            <w:tcW w:w="567" w:type="dxa"/>
            <w:noWrap/>
            <w:vAlign w:val="center"/>
          </w:tcPr>
          <w:p>
            <w:pPr>
              <w:widowControl/>
              <w:rPr>
                <w:rFonts w:ascii="仿宋_GB2312" w:hAnsi="宋体" w:eastAsia="仿宋_GB2312" w:cs="宋体"/>
                <w:kern w:val="0"/>
                <w:sz w:val="24"/>
                <w:szCs w:val="20"/>
              </w:rPr>
            </w:pPr>
            <w:r>
              <w:rPr>
                <w:rFonts w:hint="eastAsia" w:ascii="仿宋_GB2312" w:hAnsi="宋体" w:eastAsia="仿宋_GB2312" w:cs="宋体"/>
                <w:kern w:val="0"/>
                <w:sz w:val="24"/>
                <w:szCs w:val="20"/>
              </w:rPr>
              <w:t>2</w:t>
            </w:r>
          </w:p>
        </w:tc>
        <w:tc>
          <w:tcPr>
            <w:tcW w:w="3118"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90%（含）以上计2分；</w:t>
            </w:r>
            <w:r>
              <w:rPr>
                <w:rFonts w:hint="eastAsia" w:ascii="仿宋_GB2312" w:hAnsi="宋体" w:eastAsia="仿宋_GB2312" w:cs="宋体"/>
                <w:kern w:val="0"/>
                <w:sz w:val="24"/>
                <w:szCs w:val="20"/>
              </w:rPr>
              <w:br w:type="textWrapping"/>
            </w:r>
            <w:r>
              <w:rPr>
                <w:rFonts w:hint="eastAsia" w:ascii="仿宋_GB2312" w:hAnsi="宋体" w:eastAsia="仿宋_GB2312" w:cs="宋体"/>
                <w:kern w:val="0"/>
                <w:sz w:val="24"/>
                <w:szCs w:val="20"/>
              </w:rPr>
              <w:t>80%（含）-90%，计1分；70%（含）-80%，计0.5分；低于70%,计0分。</w:t>
            </w:r>
          </w:p>
        </w:tc>
        <w:tc>
          <w:tcPr>
            <w:tcW w:w="3472" w:type="dxa"/>
            <w:noWrap/>
            <w:vAlign w:val="center"/>
          </w:tcPr>
          <w:p>
            <w:pPr>
              <w:widowControl/>
              <w:jc w:val="left"/>
              <w:rPr>
                <w:rFonts w:ascii="仿宋_GB2312" w:hAnsi="宋体" w:eastAsia="仿宋_GB2312" w:cs="宋体"/>
                <w:kern w:val="0"/>
                <w:sz w:val="24"/>
                <w:szCs w:val="20"/>
              </w:rPr>
            </w:pPr>
            <w:r>
              <w:rPr>
                <w:rFonts w:hint="eastAsia" w:ascii="仿宋_GB2312" w:hAnsi="宋体" w:eastAsia="仿宋_GB2312" w:cs="宋体"/>
                <w:kern w:val="0"/>
                <w:sz w:val="24"/>
                <w:szCs w:val="20"/>
              </w:rPr>
              <w:t>社会公众或服务对象是指部门（单位）履行职责而影响到的部门，群体或个人，一般采取社会调查的方式(不少于30份)。</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合计</w:t>
            </w:r>
          </w:p>
        </w:tc>
        <w:tc>
          <w:tcPr>
            <w:tcW w:w="8575" w:type="dxa"/>
            <w:gridSpan w:val="5"/>
            <w:noWrap/>
            <w:vAlign w:val="center"/>
          </w:tcPr>
          <w:p>
            <w:pPr>
              <w:widowControl/>
              <w:jc w:val="left"/>
              <w:rPr>
                <w:rFonts w:ascii="仿宋_GB2312" w:hAnsi="宋体" w:eastAsia="仿宋_GB2312" w:cs="宋体"/>
                <w:kern w:val="0"/>
                <w:sz w:val="24"/>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90</w:t>
            </w: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Q1YjE0NDFmZWExNDBkMGM1MjMwNDg4YTk0YzcyYjgifQ=="/>
  </w:docVars>
  <w:rsids>
    <w:rsidRoot w:val="00BE670C"/>
    <w:rsid w:val="0002696A"/>
    <w:rsid w:val="00044AB6"/>
    <w:rsid w:val="0017658D"/>
    <w:rsid w:val="001B1232"/>
    <w:rsid w:val="001B2B8B"/>
    <w:rsid w:val="00205497"/>
    <w:rsid w:val="00501C61"/>
    <w:rsid w:val="006559A8"/>
    <w:rsid w:val="006736F1"/>
    <w:rsid w:val="007110A3"/>
    <w:rsid w:val="007E4220"/>
    <w:rsid w:val="00834A74"/>
    <w:rsid w:val="00856131"/>
    <w:rsid w:val="00891D19"/>
    <w:rsid w:val="00A16CAE"/>
    <w:rsid w:val="00AF70FC"/>
    <w:rsid w:val="00BA4C59"/>
    <w:rsid w:val="00BE670C"/>
    <w:rsid w:val="00C02E33"/>
    <w:rsid w:val="00C667DF"/>
    <w:rsid w:val="00DE3DC8"/>
    <w:rsid w:val="00FA5BEE"/>
    <w:rsid w:val="085962CE"/>
    <w:rsid w:val="1EAC476E"/>
    <w:rsid w:val="45AD0E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4">
    <w:name w:val="Normal (Web)"/>
    <w:basedOn w:val="1"/>
    <w:uiPriority w:val="0"/>
    <w:rPr>
      <w:sz w:val="24"/>
    </w:rPr>
  </w:style>
  <w:style w:type="character" w:styleId="7">
    <w:name w:val="page number"/>
    <w:basedOn w:val="6"/>
    <w:qFormat/>
    <w:uiPriority w:val="0"/>
  </w:style>
  <w:style w:type="character" w:styleId="8">
    <w:name w:val="FollowedHyperlink"/>
    <w:basedOn w:val="6"/>
    <w:uiPriority w:val="0"/>
    <w:rPr>
      <w:color w:val="444444"/>
      <w:u w:val="none"/>
    </w:rPr>
  </w:style>
  <w:style w:type="character" w:styleId="9">
    <w:name w:val="Hyperlink"/>
    <w:basedOn w:val="6"/>
    <w:uiPriority w:val="0"/>
    <w:rPr>
      <w:color w:val="444444"/>
      <w:u w:val="none"/>
    </w:rPr>
  </w:style>
  <w:style w:type="character" w:customStyle="1" w:styleId="10">
    <w:name w:val="gai"/>
    <w:basedOn w:val="6"/>
    <w:uiPriority w:val="0"/>
  </w:style>
  <w:style w:type="character" w:customStyle="1" w:styleId="11">
    <w:name w:val="gai1"/>
    <w:basedOn w:val="6"/>
    <w:uiPriority w:val="0"/>
  </w:style>
  <w:style w:type="character" w:customStyle="1" w:styleId="12">
    <w:name w:val="gai2"/>
    <w:basedOn w:val="6"/>
    <w:qFormat/>
    <w:uiPriority w:val="0"/>
  </w:style>
  <w:style w:type="character" w:customStyle="1" w:styleId="13">
    <w:name w:val="gai3"/>
    <w:basedOn w:val="6"/>
    <w:uiPriority w:val="0"/>
  </w:style>
  <w:style w:type="character" w:customStyle="1" w:styleId="14">
    <w:name w:val="gai4"/>
    <w:basedOn w:val="6"/>
    <w:uiPriority w:val="0"/>
  </w:style>
  <w:style w:type="character" w:customStyle="1" w:styleId="15">
    <w:name w:val="you"/>
    <w:basedOn w:val="6"/>
    <w:uiPriority w:val="0"/>
  </w:style>
  <w:style w:type="character" w:customStyle="1" w:styleId="16">
    <w:name w:val="info-valid"/>
    <w:basedOn w:val="6"/>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qFormat/>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color="auto"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color="auto"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0"/>
      <w:szCs w:val="0"/>
      <w:shd w:val="clear" w:color="auto"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6111</Words>
  <Characters>6378</Characters>
  <Lines>48</Lines>
  <Paragraphs>13</Paragraphs>
  <TotalTime>46</TotalTime>
  <ScaleCrop>false</ScaleCrop>
  <LinksUpToDate>false</LinksUpToDate>
  <CharactersWithSpaces>6533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2022-10-12T03:10:00Z</dcterms:created>
  <dc:creator>Administrator</dc:creator>
  <cp:lastModifiedBy>Administrator</cp:lastModifiedBy>
  <dcterms:modified xsi:type="dcterms:W3CDTF">2023-04-18T08:08:46Z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2F54F18A2CE84DADA1B21E746E2F1685</vt:lpwstr>
  </property>
</Properties>
</file>