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eastAsia" w:ascii="微软雅黑" w:hAnsi="微软雅黑" w:eastAsia="宋体" w:cs="微软雅黑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北塔区财政局</w:t>
      </w:r>
      <w:r>
        <w:rPr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</w:t>
      </w:r>
      <w:r>
        <w:rPr>
          <w:rFonts w:hint="eastAsia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</w:t>
      </w:r>
      <w:r>
        <w:rPr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年度部门整体支出绩效评价报</w:t>
      </w:r>
      <w:r>
        <w:rPr>
          <w:rFonts w:hint="eastAsia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一、部门基本情况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（一）机构设置及人员情况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机构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设置情况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：八股一室及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个事业机构。八股一室分别为：办公室、预算股、农财股、资产管理与绩效评价股(国有资产监督管理办公室)、国库管理股、经建股、社保股、综改股、会管股；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两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个事业机构分别为：区政府采购服务中心、区财政事务中心。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人员情况：</w:t>
      </w: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>本部门共有编制人数26人，实际人数28人，离退休13人。</w:t>
      </w:r>
    </w:p>
    <w:p>
      <w:pPr>
        <w:numPr>
          <w:ilvl w:val="0"/>
          <w:numId w:val="1"/>
        </w:numPr>
        <w:spacing w:line="480" w:lineRule="auto"/>
        <w:ind w:firstLine="643" w:firstLineChars="200"/>
        <w:jc w:val="left"/>
        <w:rPr>
          <w:color w:va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主要工作职责</w:t>
      </w:r>
    </w:p>
    <w:p>
      <w:pPr>
        <w:numPr>
          <w:ilvl w:val="0"/>
          <w:numId w:val="2"/>
        </w:num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贯彻执行国家和省财政税收方针、政策和财政预决算、财务、会计方面的法规、条例及基本建设财务管理制度，指导全区财政工作。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编制年度本级预算草案并组织预算执行；编制区本级财政总决算；受区政府委托，向区人大报告区本级预算、预算执行情况和财政总决算。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管理各项财政收入、专项资金和财政专户；管理有关政府性基金。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管理财政行政政法和教科文支出；执行政府采购政策，负责控制社会集团购买力工作；管理财政预算内行政机构、事业单位和社会团体的非贸易外汇。根据国家、省统一规定的开支标准和支出政策，结合我区实际，制订具体实施办法，执行《行政单位财务规则》、《事业单位财务规则》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制订全区行政事业单位国有资产管理的规章制度；监缴行政事业单位国有资产的处置收入；制订清产核资的有关政策、制度和办法并组织实施。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对区级财政支出重大项目进行绩效评价。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管理财政经济发展支出，负责财政性资金项目工程预决算审查。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执行《企业财务通则》；负责财政支农、农业财务管理。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监督执行会计规章制度；指导和管理社会审计；监督财税方针政策、法律法规的执行情况；检查反映财政收支管理中的重大问题；提出加强财政管理的政策、建议。制订财政科学研究和教育规划；组织财政人员培训；负责财政信息和财政宣传工作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贯彻落实中央、省税费改革政策，制定全区税费改革实施方案及相关配套政策、制度和实施办法并组织实施和督促检查；负责指导和协调全区农村综合配套改革试点工作；制定税费改革转移支付办法；开展税收制度和收费改革调研，参与行政事业性收费清理整顿工作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预测分析全区财政经济形势，研究经济运行中有关财政问题，提出实施宏观调控的政策建议；研究财政发展战略和重大财政改革方案。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负责移民资金分配使用的监督与财务管理。 </w:t>
      </w:r>
    </w:p>
    <w:p>
      <w:pPr>
        <w:numPr>
          <w:ilvl w:val="0"/>
          <w:numId w:val="2"/>
        </w:numPr>
        <w:spacing w:line="480" w:lineRule="auto"/>
        <w:ind w:left="0" w:leftChars="0" w:firstLine="640" w:firstLineChars="200"/>
        <w:jc w:val="left"/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2"/>
          <w:sz w:val="32"/>
          <w:szCs w:val="32"/>
          <w:lang w:val="en-US" w:eastAsia="zh-CN" w:bidi="ar"/>
        </w:rPr>
        <w:t xml:space="preserve">完成区委、区政府交办的其他任务。 </w:t>
      </w:r>
    </w:p>
    <w:p>
      <w:pPr>
        <w:numPr>
          <w:ilvl w:val="0"/>
          <w:numId w:val="0"/>
        </w:numPr>
        <w:spacing w:line="480" w:lineRule="auto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（一）预算执行情况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2022年本部门全年预算数582.08万元，本年实际支出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582.08万元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，完成全年预算的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100%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。与上一年度相比，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实际支出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减少236.07万元，下降28.85%。主要原因是牢固贯彻过“紧日子”思想，财政拨款收入减收的同时，大力压缩了非必要性的开支。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2022年度收入合计582.08万元，其中：财政拨款收入469.74万元，占80.7%；上级补助收入0万元，占0%；事业收入0万元，占0%；经营收入0万元，占0%；附属单位上缴收入0万元，占0%；其他收入112.34万元，占19.3%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2022年度支出合计582.08万元，其中：基本支出582.08万元，占100%；项目支出0万元，占0%；上缴上级支出0万元，占0%；经营支出0万元，占0%；对附属单位补助支出0万元，占0%。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（二）基本支出情况</w:t>
      </w:r>
    </w:p>
    <w:p>
      <w:p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2022年度北塔区财政局基本支出全年预算582.08万元，本年实际支出为582.08万元，完成全年预算的100%。主要为人员经费支出和公用经费支出，其中人员经费支出392.43万元、公用经费支出189.65万元。</w:t>
      </w:r>
    </w:p>
    <w:p>
      <w:pPr>
        <w:numPr>
          <w:ilvl w:val="0"/>
          <w:numId w:val="1"/>
        </w:numPr>
        <w:spacing w:line="480" w:lineRule="auto"/>
        <w:ind w:left="0" w:leftChars="0"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项目支出情况</w:t>
      </w:r>
    </w:p>
    <w:p>
      <w:pPr>
        <w:numPr>
          <w:ilvl w:val="0"/>
          <w:numId w:val="0"/>
        </w:numPr>
        <w:spacing w:line="480" w:lineRule="auto"/>
        <w:ind w:firstLine="64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本年项目支出年初预算安排为0万元，本年实际支出为0万元，本部门2022年度无项目支出。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right="0" w:rightChars="0" w:firstLine="64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、部门整体支出绩效情况</w:t>
      </w:r>
    </w:p>
    <w:p>
      <w:pPr>
        <w:spacing w:line="48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（一）主要绩效指标完成情况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1、预算执行情况。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⑴2022年财政拨款预算执行数582.08万元，全年预算582.08万元，预算执行率为100%；⑵公用经费预算189.65万元，实际支出189.65万元，公用经费控制率为100%；（3）“三公经费”年初预算安排4.86万元，实际支出4.86万元，“三公经费”控制率为100%。（4）政府采购年初预算139万元，实际政府采购金额149.78万元，政府采购执行率108%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2、预决算信息公开情况。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北塔区财政局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及时在区政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府统一平台公开了部门预算、决算和绩效目标、绩效自评报告、“三公经费”等信息，接受群众和社会监督。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、资产管理情况。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截止2022年12月31日，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北塔区财政局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fill="FFFFFF"/>
          <w:lang w:val="en-US" w:eastAsia="zh-CN" w:bidi="ar-SA"/>
        </w:rPr>
        <w:t>拥有各类资产总额41.94万元，其中流动资产22.05万元，固定资产净值19.89万元。单位为加强资产管理，内部制定了资产管理制度，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对各类资产的购置、保管、使用、报废、处置等方面都作出了明确的规定，制度要求所有办公设备（含办公用品）的添置，先由各委室提出申请，经业务分管领导审核同意后，再由办公室及时采购并建立固定资产实物登记台账，工作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人员异动，必须及时办理固定资产移交手续，不得侵占和擅自带走，各委室不得擅自购买任何办公用品和设备，否则不予报销。</w:t>
      </w:r>
      <w:bookmarkEnd w:id="0"/>
    </w:p>
    <w:p>
      <w:pPr>
        <w:spacing w:line="720" w:lineRule="auto"/>
        <w:ind w:firstLine="643" w:firstLineChars="20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（二）职责覆行和主要绩效情况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预算执行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一是建立预算执行责任制。将年度预算收入责任及预算支出额度逐一分解落实到各股室，形成领导重视、衔接紧密、齐抓共管的体制机制，建立预算指标额度台账，将预算执行情况作为年度目标考核的内容。二是建立预算执行信息化管理制度。在政务公开网公布部门财政预算批复及执行情况，及时公布“三公经费”支出情况，接受监督。三是建立健全项目资金管理制度。对于财政性专项资金，严格按专项资金项目实施方案执行，督促项目承担单位加快项目实施进度，及时办理报账、验收、结算等相关手续，做到不集中使用、不滥用资金，最大限度提高专项资金利用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预算管理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为规范机关财务管理，建立健全财务管理制度，我局根据《会计法》、《预算法》、《政府会计准则》等法律和财政部、省财政厅有关财务规章制度等一系列合法合规、较为完整的、具有很强的可操作性财务管理制度。坚持经费预算科学化、精细化，执行控制规范化、责任化，监督检查常态化、同步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资金的支付符合国家财经法规和财务管理制度规定，以及有关专项资金管理办法的规定；资金拨付有完整的审批程序和手续；支出符合部门预算批复的用途；资金使用没有截留、挪用、虚列支出、随意借用等情况；重大财务事项经由集体研究决策；专项资金做到专款专用；原始凭证的取得真实有效。部门预决算信息按规定内容，在规定的时限内予以公开。基础数据信息和会计信息资料真实、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提升支出绩效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年，我局全面落实区委、区政府的各项工作部署，牢固树立发展意识，大力弘扬实干精神，扎实推进各项工作，各项工作任务全面完成，财务管理规范，单位行政运行稳定有序。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评价结论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我局财政资金的使用情况，认真组织开展整体支出绩效自评，自评等级“良好”。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编制人员不足，我局编制干部工作任务繁杂，身兼数职，一人多岗。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720" w:lineRule="auto"/>
        <w:ind w:left="0" w:leftChars="0" w:right="0" w:firstLine="420" w:firstLineChars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改进措施及有关建议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（一）进一步提高绩效管理水平。加强预算执行的准确性，开展好支出绩效管理工作，运用好绩效评价结果，不断提升绩效管理水平。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（二）增加人员编制，缓解目前人员不足，“一人多岗，身兼数职”的现象。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29EFD1"/>
    <w:multiLevelType w:val="singleLevel"/>
    <w:tmpl w:val="A229EF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1E7161"/>
    <w:multiLevelType w:val="singleLevel"/>
    <w:tmpl w:val="A71E716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7A77A8D"/>
    <w:multiLevelType w:val="singleLevel"/>
    <w:tmpl w:val="47A77A8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kMDQ2MTVhMjBmNWVkNDdmODUyYjIyYmJhNjY4YWMifQ=="/>
  </w:docVars>
  <w:rsids>
    <w:rsidRoot w:val="00000000"/>
    <w:rsid w:val="00554C33"/>
    <w:rsid w:val="006D6F3B"/>
    <w:rsid w:val="00D51644"/>
    <w:rsid w:val="025D08EA"/>
    <w:rsid w:val="02A74CAA"/>
    <w:rsid w:val="05213482"/>
    <w:rsid w:val="09E17252"/>
    <w:rsid w:val="0D5E3707"/>
    <w:rsid w:val="11E84674"/>
    <w:rsid w:val="126C42B4"/>
    <w:rsid w:val="17042185"/>
    <w:rsid w:val="17B648CC"/>
    <w:rsid w:val="1D9A1B96"/>
    <w:rsid w:val="1F010C8F"/>
    <w:rsid w:val="20F63895"/>
    <w:rsid w:val="26166273"/>
    <w:rsid w:val="2B032004"/>
    <w:rsid w:val="2C3A1B18"/>
    <w:rsid w:val="2C7529D1"/>
    <w:rsid w:val="2D6C05C8"/>
    <w:rsid w:val="2DB256DE"/>
    <w:rsid w:val="3619015E"/>
    <w:rsid w:val="36E22B02"/>
    <w:rsid w:val="375C4F25"/>
    <w:rsid w:val="37A26170"/>
    <w:rsid w:val="38F247D2"/>
    <w:rsid w:val="3A365ACD"/>
    <w:rsid w:val="3B9303B2"/>
    <w:rsid w:val="3C8416D7"/>
    <w:rsid w:val="3FAB09ED"/>
    <w:rsid w:val="44AF5D78"/>
    <w:rsid w:val="45833892"/>
    <w:rsid w:val="45CB4E15"/>
    <w:rsid w:val="47D12ED9"/>
    <w:rsid w:val="4A4754D4"/>
    <w:rsid w:val="4ACA7AAB"/>
    <w:rsid w:val="4B991F60"/>
    <w:rsid w:val="4D113C42"/>
    <w:rsid w:val="4E58558A"/>
    <w:rsid w:val="4F3501F1"/>
    <w:rsid w:val="52C04276"/>
    <w:rsid w:val="53202F66"/>
    <w:rsid w:val="54517DF8"/>
    <w:rsid w:val="55C776C9"/>
    <w:rsid w:val="575435C3"/>
    <w:rsid w:val="58CA4CA4"/>
    <w:rsid w:val="59A70B1E"/>
    <w:rsid w:val="59E60318"/>
    <w:rsid w:val="5C8E7193"/>
    <w:rsid w:val="5CBC5F90"/>
    <w:rsid w:val="5E6D1153"/>
    <w:rsid w:val="5F83500A"/>
    <w:rsid w:val="60745B56"/>
    <w:rsid w:val="641F097E"/>
    <w:rsid w:val="65236940"/>
    <w:rsid w:val="65C43C25"/>
    <w:rsid w:val="664A41B0"/>
    <w:rsid w:val="66D16D4F"/>
    <w:rsid w:val="66FE6113"/>
    <w:rsid w:val="6B874FA2"/>
    <w:rsid w:val="6C3C4515"/>
    <w:rsid w:val="6C6B54E9"/>
    <w:rsid w:val="6FD52562"/>
    <w:rsid w:val="70514092"/>
    <w:rsid w:val="70852420"/>
    <w:rsid w:val="71881FAB"/>
    <w:rsid w:val="73125FD0"/>
    <w:rsid w:val="76DC35F5"/>
    <w:rsid w:val="7832658D"/>
    <w:rsid w:val="79074D5F"/>
    <w:rsid w:val="7A21330E"/>
    <w:rsid w:val="7AF745AA"/>
    <w:rsid w:val="7B7D06A6"/>
    <w:rsid w:val="7CF23984"/>
    <w:rsid w:val="7F06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2394</Words>
  <Characters>2540</Characters>
  <Lines>0</Lines>
  <Paragraphs>0</Paragraphs>
  <TotalTime>2</TotalTime>
  <ScaleCrop>false</ScaleCrop>
  <LinksUpToDate>false</LinksUpToDate>
  <CharactersWithSpaces>2541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2022-06-28T09:10:00Z</dcterms:created>
  <dc:creator>Administrator</dc:creator>
  <cp:lastModifiedBy>涵</cp:lastModifiedBy>
  <dcterms:modified xsi:type="dcterms:W3CDTF">2023-09-22T03:16:00Z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940B8059199B4A289414AF523A65E0B0_13</vt:lpwstr>
  </property>
</Properties>
</file>