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361" w:firstLineChars="100"/>
        <w:jc w:val="left"/>
        <w:rPr>
          <w:rFonts w:hint="default" w:ascii="宋体" w:hAnsi="宋体" w:eastAsia="宋体" w:cs="宋体"/>
          <w:b/>
          <w:bCs/>
          <w:i w:val="0"/>
          <w:iCs w:val="0"/>
          <w:caps w:val="0"/>
          <w:color w:val="auto"/>
          <w:spacing w:val="0"/>
          <w:kern w:val="44"/>
          <w:sz w:val="36"/>
          <w:szCs w:val="36"/>
          <w:shd w:val="clear" w:fill="FFFFFF"/>
          <w:lang w:val="en-US" w:eastAsia="zh-CN" w:bidi="ar"/>
        </w:rPr>
      </w:pPr>
      <w:r>
        <w:rPr>
          <w:rFonts w:hint="eastAsia" w:ascii="宋体" w:hAnsi="宋体" w:eastAsia="宋体" w:cs="宋体"/>
          <w:b/>
          <w:bCs/>
          <w:i w:val="0"/>
          <w:iCs w:val="0"/>
          <w:caps w:val="0"/>
          <w:color w:val="auto"/>
          <w:spacing w:val="0"/>
          <w:kern w:val="44"/>
          <w:sz w:val="36"/>
          <w:szCs w:val="36"/>
          <w:shd w:val="clear" w:fill="FFFFFF"/>
          <w:lang w:val="en-US" w:eastAsia="zh-CN" w:bidi="ar"/>
        </w:rPr>
        <w:t>北塔区编办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i w:val="0"/>
          <w:iCs w:val="0"/>
          <w:caps w:val="0"/>
          <w:color w:val="auto"/>
          <w:spacing w:val="0"/>
          <w:sz w:val="36"/>
          <w:szCs w:val="36"/>
          <w:shd w:val="clear" w:fill="FFFFFF"/>
        </w:rPr>
        <w:t>202</w:t>
      </w:r>
      <w:r>
        <w:rPr>
          <w:rFonts w:hint="eastAsia"/>
          <w:i w:val="0"/>
          <w:iCs w:val="0"/>
          <w:caps w:val="0"/>
          <w:color w:val="auto"/>
          <w:spacing w:val="0"/>
          <w:sz w:val="36"/>
          <w:szCs w:val="36"/>
          <w:shd w:val="clear" w:fill="FFFFFF"/>
          <w:lang w:val="en-US" w:eastAsia="zh-CN"/>
        </w:rPr>
        <w:t>2</w:t>
      </w:r>
      <w:r>
        <w:rPr>
          <w:i w:val="0"/>
          <w:iCs w:val="0"/>
          <w:caps w:val="0"/>
          <w:color w:val="auto"/>
          <w:spacing w:val="0"/>
          <w:sz w:val="36"/>
          <w:szCs w:val="36"/>
          <w:shd w:val="clear" w:fill="FFFFFF"/>
        </w:rPr>
        <w:t>年度部门整体支出绩效评价报</w:t>
      </w:r>
      <w:r>
        <w:rPr>
          <w:rFonts w:hint="eastAsia"/>
          <w:i w:val="0"/>
          <w:iCs w:val="0"/>
          <w:caps w:val="0"/>
          <w:color w:val="auto"/>
          <w:spacing w:val="0"/>
          <w:sz w:val="36"/>
          <w:szCs w:val="36"/>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（一）机构设置及人员情况</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i w:val="0"/>
          <w:iCs w:val="0"/>
          <w:caps w:val="0"/>
          <w:color w:val="000000"/>
          <w:spacing w:val="0"/>
          <w:sz w:val="24"/>
          <w:szCs w:val="24"/>
        </w:rPr>
        <w:t>机构</w:t>
      </w:r>
      <w:r>
        <w:rPr>
          <w:rFonts w:hint="eastAsia" w:ascii="宋体" w:hAnsi="宋体" w:eastAsia="宋体" w:cs="宋体"/>
          <w:b/>
          <w:bCs/>
          <w:i w:val="0"/>
          <w:iCs w:val="0"/>
          <w:caps w:val="0"/>
          <w:color w:val="000000"/>
          <w:spacing w:val="0"/>
          <w:sz w:val="24"/>
          <w:szCs w:val="24"/>
          <w:lang w:eastAsia="zh-CN"/>
        </w:rPr>
        <w:t>设置情况</w:t>
      </w:r>
      <w:r>
        <w:rPr>
          <w:rFonts w:hint="eastAsia" w:ascii="宋体" w:hAnsi="宋体" w:eastAsia="宋体" w:cs="宋体"/>
          <w:b/>
          <w:bCs/>
          <w:i w:val="0"/>
          <w:iCs w:val="0"/>
          <w:caps w:val="0"/>
          <w:color w:val="000000"/>
          <w:spacing w:val="0"/>
          <w:sz w:val="28"/>
          <w:szCs w:val="28"/>
        </w:rPr>
        <w:t>：</w:t>
      </w:r>
      <w:r>
        <w:rPr>
          <w:rFonts w:hint="eastAsia" w:ascii="宋体" w:hAnsi="宋体" w:eastAsia="宋体" w:cs="宋体"/>
          <w:kern w:val="2"/>
          <w:sz w:val="24"/>
          <w:szCs w:val="24"/>
          <w:lang w:val="en-US" w:eastAsia="zh-CN" w:bidi="ar"/>
        </w:rPr>
        <w:t xml:space="preserve">内设综合办公室、机构编制股、实名制管理股（加挂工资统发审核办、督查股牌子）、事业单位登记管理办公室（加挂网上名称管理股牌子）4个股室，所属副科级事业单位1个区机构编制事务中心。 </w:t>
      </w:r>
    </w:p>
    <w:p>
      <w:pPr>
        <w:pStyle w:val="5"/>
        <w:keepNext w:val="0"/>
        <w:keepLines w:val="0"/>
        <w:widowControl/>
        <w:suppressLineNumbers w:val="0"/>
        <w:spacing w:before="0" w:beforeAutospacing="0" w:after="2" w:afterAutospacing="0"/>
        <w:ind w:left="0" w:right="0" w:firstLine="641"/>
        <w:rPr>
          <w:sz w:val="24"/>
          <w:szCs w:val="24"/>
        </w:rPr>
      </w:pPr>
      <w:r>
        <w:rPr>
          <w:rFonts w:hint="eastAsia" w:ascii="宋体" w:hAnsi="宋体" w:eastAsia="宋体" w:cs="宋体"/>
          <w:b/>
          <w:bCs/>
          <w:i w:val="0"/>
          <w:iCs w:val="0"/>
          <w:caps w:val="0"/>
          <w:color w:val="000000"/>
          <w:spacing w:val="0"/>
          <w:sz w:val="24"/>
          <w:szCs w:val="24"/>
          <w:lang w:eastAsia="zh-CN"/>
        </w:rPr>
        <w:t>人员情况</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color w:val="auto"/>
          <w:kern w:val="2"/>
          <w:sz w:val="24"/>
          <w:szCs w:val="24"/>
          <w:lang w:val="en-US" w:eastAsia="zh-CN" w:bidi="ar"/>
        </w:rPr>
        <w:t>本部门</w:t>
      </w:r>
      <w:r>
        <w:rPr>
          <w:rFonts w:hint="eastAsia" w:ascii="宋体" w:hAnsi="宋体" w:eastAsia="宋体" w:cs="宋体"/>
          <w:color w:val="000000"/>
          <w:kern w:val="2"/>
          <w:sz w:val="24"/>
          <w:szCs w:val="24"/>
        </w:rPr>
        <w:t>共有编制人数</w:t>
      </w:r>
      <w:r>
        <w:rPr>
          <w:rFonts w:hint="eastAsia" w:ascii="宋体" w:hAnsi="宋体" w:eastAsia="宋体" w:cs="宋体"/>
          <w:color w:val="000000"/>
          <w:kern w:val="2"/>
          <w:sz w:val="24"/>
          <w:szCs w:val="24"/>
          <w:lang w:val="en-US" w:eastAsia="zh-CN"/>
        </w:rPr>
        <w:t>7</w:t>
      </w:r>
      <w:r>
        <w:rPr>
          <w:rFonts w:hint="eastAsia" w:ascii="宋体" w:hAnsi="宋体" w:eastAsia="宋体" w:cs="宋体"/>
          <w:color w:val="000000"/>
          <w:kern w:val="2"/>
          <w:sz w:val="24"/>
          <w:szCs w:val="24"/>
        </w:rPr>
        <w:t>人，实有人数</w:t>
      </w:r>
      <w:r>
        <w:rPr>
          <w:rFonts w:hint="eastAsia" w:ascii="宋体" w:hAnsi="宋体" w:eastAsia="宋体" w:cs="宋体"/>
          <w:color w:val="000000"/>
          <w:kern w:val="2"/>
          <w:sz w:val="24"/>
          <w:szCs w:val="24"/>
          <w:lang w:val="en-US" w:eastAsia="zh-CN"/>
        </w:rPr>
        <w:t>7</w:t>
      </w:r>
      <w:r>
        <w:rPr>
          <w:rFonts w:hint="eastAsia" w:ascii="宋体" w:hAnsi="宋体" w:eastAsia="宋体" w:cs="宋体"/>
          <w:color w:val="000000"/>
          <w:kern w:val="2"/>
          <w:sz w:val="24"/>
          <w:szCs w:val="24"/>
        </w:rPr>
        <w:t>人</w:t>
      </w: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（二）主要工作职责</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贯彻执行中央、省、市有关行政管理体制和机构改革以及机构编制管理的方针政策和法律法规；统一管理全区各级党政机关（含党委、政府各部门，人大、政协，民主党派、人民团体机关，下同）和事业单位的机构编制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2、拟订全区行政管理体制与机构改革总体方案并组织实施；审核区直党政机关各部门改革方案；指导、协调全区各项行政管理体制和机构改革工作。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3、拟订全区事业单位管理体制与机构改革总体方案并组织实施；审核全区科级事业单位机构改革方案；审核区直股级及以下事业单位机构改革方案；指导、协调全区各级事业单位机构改革工作。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4、审核全区股级机构、乡镇（街道）股级机构的设置和调整；研究提出区直党政机关职责配备和调整的意见，协调各部门之间、区本级与乡镇（街道）之间的事权划分和职责分工；审核全区科级机构的内设机构、区直党政机关股级机构、区直股级事业单位、乡镇（街道）股级事业单位的设置和调整。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5、审核区直党政机关各部门、全区副科级及以上事业单位人员编制方案；审核区直股级事业单位人员编制方案；提出区直党政机关、科级事业单位领导职数配备和调整预案并按程序报批，审核区直和乡镇（街道）党政机关、事业单位股级领导职数；拟订全区各级党政机关行政编制、政法专项编制等专项编制总额分配和调整方案。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6、拟订全区乡镇（街道）机构改革总体方案并组织实施。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7、负责全区党政机关、事业单位机构编制实名制、信息库管理及机构编制统计工作；负责审核、报批区直机关事业单位进人计划，负责按权限和程序审定或报批核编进人事项；审核全区公务员和参照公务员公开招考计划；参与公务员招考及事业单位招聘考务工作，负责机关事业单位（含收取规费的事业单位）工资统发审批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8、贯彻执行国家、省有关事业单位登记管理的法律、法规、规章、政策；依法对区直事业单位进行登记管理；指导、协调、监督全区事业单位登记管理工作。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9、监督检查全区各级党政机关、事业单位机构编制及机构改革方案的执行情况，会同有关部门查处机构编制违规违纪行为。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10、研究改革重大问题，参与相关改革工作，协调、跟踪、了解改革进程；负责区政府工作部门权力清单审核相关工作，协调推进相对集中行政许可权改革工作。 </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 xml:space="preserve">11、承办区委、区政府和区委机构编制委员会交办的其他事项。 </w:t>
      </w:r>
    </w:p>
    <w:p>
      <w:pPr>
        <w:numPr>
          <w:ilvl w:val="0"/>
          <w:numId w:val="0"/>
        </w:numPr>
        <w:spacing w:line="480" w:lineRule="auto"/>
        <w:jc w:val="left"/>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8"/>
          <w:szCs w:val="28"/>
          <w:shd w:val="clear" w:fill="FFFFFF"/>
        </w:rPr>
        <w:t>二、</w:t>
      </w:r>
      <w:r>
        <w:rPr>
          <w:rFonts w:hint="eastAsia" w:ascii="宋体" w:hAnsi="宋体" w:eastAsia="宋体" w:cs="宋体"/>
          <w:b/>
          <w:bCs/>
          <w:i w:val="0"/>
          <w:iCs w:val="0"/>
          <w:caps w:val="0"/>
          <w:color w:val="auto"/>
          <w:spacing w:val="0"/>
          <w:sz w:val="24"/>
          <w:szCs w:val="24"/>
          <w:shd w:val="clear" w:fill="FFFFFF"/>
        </w:rPr>
        <w:t>部门整体支出管理及使用情况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（一）预算执行情况</w:t>
      </w:r>
    </w:p>
    <w:p>
      <w:pPr>
        <w:spacing w:line="480" w:lineRule="auto"/>
        <w:ind w:firstLine="480" w:firstLineChars="200"/>
        <w:jc w:val="left"/>
        <w:rPr>
          <w:rFonts w:hint="eastAsia" w:ascii="宋体" w:hAnsi="宋体" w:eastAsia="宋体" w:cs="宋体"/>
          <w:i w:val="0"/>
          <w:iCs w:val="0"/>
          <w:caps w:val="0"/>
          <w:color w:val="000000"/>
          <w:spacing w:val="0"/>
          <w:sz w:val="24"/>
          <w:szCs w:val="24"/>
        </w:rPr>
      </w:pPr>
      <w:r>
        <w:rPr>
          <w:rFonts w:hint="eastAsia" w:ascii="宋体" w:hAnsi="宋体" w:eastAsia="宋体" w:cs="宋体"/>
          <w:kern w:val="2"/>
          <w:sz w:val="24"/>
          <w:szCs w:val="24"/>
          <w:lang w:val="en-US" w:eastAsia="zh-CN" w:bidi="ar"/>
        </w:rPr>
        <w:t>2022年本部门年初预算安排106.62万元，本年实际支出</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w:t>
      </w:r>
      <w:r>
        <w:rPr>
          <w:rFonts w:hint="eastAsia" w:ascii="宋体" w:hAnsi="宋体" w:eastAsia="宋体" w:cs="宋体"/>
          <w:i w:val="0"/>
          <w:iCs w:val="0"/>
          <w:caps w:val="0"/>
          <w:color w:val="000000"/>
          <w:spacing w:val="0"/>
          <w:sz w:val="24"/>
          <w:szCs w:val="24"/>
          <w:lang w:eastAsia="zh-CN"/>
        </w:rPr>
        <w:t>，完成全年预算的</w:t>
      </w:r>
      <w:r>
        <w:rPr>
          <w:rFonts w:hint="eastAsia" w:ascii="宋体" w:hAnsi="宋体" w:eastAsia="宋体" w:cs="宋体"/>
          <w:i w:val="0"/>
          <w:iCs w:val="0"/>
          <w:caps w:val="0"/>
          <w:color w:val="000000"/>
          <w:spacing w:val="0"/>
          <w:sz w:val="24"/>
          <w:szCs w:val="24"/>
          <w:lang w:val="en-US" w:eastAsia="zh-CN"/>
        </w:rPr>
        <w:t>113.01%</w:t>
      </w:r>
      <w:r>
        <w:rPr>
          <w:rFonts w:hint="eastAsia" w:ascii="宋体" w:hAnsi="宋体" w:eastAsia="宋体" w:cs="宋体"/>
          <w:i w:val="0"/>
          <w:iCs w:val="0"/>
          <w:caps w:val="0"/>
          <w:color w:val="000000"/>
          <w:spacing w:val="0"/>
          <w:sz w:val="24"/>
          <w:szCs w:val="24"/>
        </w:rPr>
        <w:t>。与上一年度相比，</w:t>
      </w:r>
      <w:r>
        <w:rPr>
          <w:rFonts w:hint="eastAsia" w:ascii="宋体" w:hAnsi="宋体" w:eastAsia="宋体" w:cs="宋体"/>
          <w:i w:val="0"/>
          <w:iCs w:val="0"/>
          <w:caps w:val="0"/>
          <w:color w:val="000000"/>
          <w:spacing w:val="0"/>
          <w:sz w:val="24"/>
          <w:szCs w:val="24"/>
          <w:lang w:eastAsia="zh-CN"/>
        </w:rPr>
        <w:t>实际支出</w:t>
      </w:r>
      <w:r>
        <w:rPr>
          <w:rFonts w:hint="eastAsia" w:ascii="宋体" w:hAnsi="宋体" w:eastAsia="宋体" w:cs="宋体"/>
          <w:i w:val="0"/>
          <w:iCs w:val="0"/>
          <w:caps w:val="0"/>
          <w:color w:val="000000"/>
          <w:spacing w:val="0"/>
          <w:sz w:val="24"/>
          <w:szCs w:val="24"/>
          <w:lang w:val="en-US" w:eastAsia="zh-CN"/>
        </w:rPr>
        <w:t>减少34.68</w:t>
      </w:r>
      <w:r>
        <w:rPr>
          <w:rFonts w:hint="eastAsia" w:ascii="宋体" w:hAnsi="宋体" w:eastAsia="宋体" w:cs="宋体"/>
          <w:i w:val="0"/>
          <w:iCs w:val="0"/>
          <w:caps w:val="0"/>
          <w:color w:val="000000"/>
          <w:spacing w:val="0"/>
          <w:sz w:val="24"/>
          <w:szCs w:val="24"/>
        </w:rPr>
        <w:t>万元，</w:t>
      </w:r>
      <w:r>
        <w:rPr>
          <w:rFonts w:hint="eastAsia" w:ascii="宋体" w:hAnsi="宋体" w:eastAsia="宋体" w:cs="宋体"/>
          <w:i w:val="0"/>
          <w:iCs w:val="0"/>
          <w:caps w:val="0"/>
          <w:color w:val="000000"/>
          <w:spacing w:val="0"/>
          <w:sz w:val="24"/>
          <w:szCs w:val="24"/>
          <w:lang w:val="en-US" w:eastAsia="zh-CN"/>
        </w:rPr>
        <w:t>下降22.35</w:t>
      </w:r>
      <w:r>
        <w:rPr>
          <w:rFonts w:hint="eastAsia" w:ascii="宋体" w:hAnsi="宋体" w:eastAsia="宋体" w:cs="宋体"/>
          <w:i w:val="0"/>
          <w:iCs w:val="0"/>
          <w:caps w:val="0"/>
          <w:color w:val="000000"/>
          <w:spacing w:val="0"/>
          <w:sz w:val="24"/>
          <w:szCs w:val="24"/>
        </w:rPr>
        <w:t>%。主要原因</w:t>
      </w:r>
      <w:r>
        <w:rPr>
          <w:rFonts w:hint="eastAsia" w:ascii="宋体" w:hAnsi="宋体" w:eastAsia="宋体" w:cs="宋体"/>
          <w:i w:val="0"/>
          <w:iCs w:val="0"/>
          <w:caps w:val="0"/>
          <w:color w:val="000000"/>
          <w:spacing w:val="0"/>
          <w:sz w:val="24"/>
          <w:szCs w:val="24"/>
          <w:lang w:val="en-US" w:eastAsia="zh-CN"/>
        </w:rPr>
        <w:t>是</w:t>
      </w:r>
      <w:r>
        <w:rPr>
          <w:rFonts w:hint="eastAsia" w:ascii="宋体" w:hAnsi="宋体" w:eastAsia="宋体" w:cs="宋体"/>
          <w:i w:val="0"/>
          <w:iCs w:val="0"/>
          <w:caps w:val="0"/>
          <w:color w:val="000000"/>
          <w:spacing w:val="0"/>
          <w:sz w:val="24"/>
          <w:szCs w:val="24"/>
        </w:rPr>
        <w:t>2021年购置了中文域系统，本年则减少了信息网络及软件更新的费用。2022年度收入合计</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万元，其中：财政拨款收入</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eastAsia="zh-CN"/>
        </w:rPr>
        <w:t>100</w:t>
      </w:r>
      <w:r>
        <w:rPr>
          <w:rFonts w:hint="eastAsia" w:ascii="宋体" w:hAnsi="宋体" w:eastAsia="宋体" w:cs="宋体"/>
          <w:i w:val="0"/>
          <w:iCs w:val="0"/>
          <w:caps w:val="0"/>
          <w:color w:val="000000"/>
          <w:spacing w:val="0"/>
          <w:sz w:val="24"/>
          <w:szCs w:val="24"/>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w:t>
      </w:r>
    </w:p>
    <w:p>
      <w:pPr>
        <w:spacing w:line="480" w:lineRule="auto"/>
        <w:ind w:firstLine="480" w:firstLineChars="200"/>
        <w:jc w:val="left"/>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rPr>
        <w:t>2022年度支出合计</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万元，其中：基本支出</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b w:val="0"/>
          <w:bCs w:val="0"/>
          <w:i w:val="0"/>
          <w:iCs w:val="0"/>
          <w:caps w:val="0"/>
          <w:color w:val="auto"/>
          <w:spacing w:val="0"/>
          <w:sz w:val="24"/>
          <w:szCs w:val="24"/>
          <w:highlight w:val="none"/>
          <w:shd w:val="clear" w:fill="FFFFFF"/>
          <w:lang w:val="en-US" w:eastAsia="zh-CN"/>
        </w:rPr>
        <w:t>100</w:t>
      </w:r>
      <w:r>
        <w:rPr>
          <w:rFonts w:hint="eastAsia" w:ascii="宋体" w:hAnsi="宋体" w:eastAsia="宋体" w:cs="宋体"/>
          <w:i w:val="0"/>
          <w:iCs w:val="0"/>
          <w:caps w:val="0"/>
          <w:color w:val="000000"/>
          <w:spacing w:val="0"/>
          <w:sz w:val="24"/>
          <w:szCs w:val="24"/>
        </w:rPr>
        <w:t>%；项目支出</w:t>
      </w:r>
      <w:r>
        <w:rPr>
          <w:rFonts w:hint="eastAsia" w:ascii="宋体" w:hAnsi="宋体" w:eastAsia="宋体" w:cs="宋体"/>
          <w:i w:val="0"/>
          <w:iCs w:val="0"/>
          <w:caps w:val="0"/>
          <w:color w:val="000000"/>
          <w:spacing w:val="0"/>
          <w:sz w:val="24"/>
          <w:szCs w:val="24"/>
          <w:lang w:val="en-US" w:eastAsia="zh-CN"/>
        </w:rPr>
        <w:t>0</w:t>
      </w:r>
      <w:r>
        <w:rPr>
          <w:rFonts w:hint="eastAsia" w:ascii="宋体" w:hAnsi="宋体" w:eastAsia="宋体" w:cs="宋体"/>
          <w:i w:val="0"/>
          <w:iCs w:val="0"/>
          <w:caps w:val="0"/>
          <w:color w:val="000000"/>
          <w:spacing w:val="0"/>
          <w:sz w:val="24"/>
          <w:szCs w:val="24"/>
        </w:rPr>
        <w:t>万元，占</w:t>
      </w:r>
      <w:r>
        <w:rPr>
          <w:rFonts w:hint="eastAsia" w:ascii="宋体" w:hAnsi="宋体" w:eastAsia="宋体" w:cs="宋体"/>
          <w:b w:val="0"/>
          <w:bCs w:val="0"/>
          <w:i w:val="0"/>
          <w:iCs w:val="0"/>
          <w:caps w:val="0"/>
          <w:color w:val="auto"/>
          <w:spacing w:val="0"/>
          <w:sz w:val="24"/>
          <w:szCs w:val="24"/>
          <w:highlight w:val="none"/>
          <w:shd w:val="clear" w:fill="FFFFFF"/>
          <w:lang w:val="en-US" w:eastAsia="zh-CN"/>
        </w:rPr>
        <w:t>0</w:t>
      </w:r>
      <w:r>
        <w:rPr>
          <w:rFonts w:hint="eastAsia" w:ascii="宋体" w:hAnsi="宋体" w:eastAsia="宋体" w:cs="宋体"/>
          <w:i w:val="0"/>
          <w:iCs w:val="0"/>
          <w:caps w:val="0"/>
          <w:color w:val="000000"/>
          <w:spacing w:val="0"/>
          <w:sz w:val="24"/>
          <w:szCs w:val="24"/>
        </w:rPr>
        <w:t>%；上缴上级支出0万元，占0%；经营支出0万元，占0%；对附属单位补助支出0万元，占0%。</w:t>
      </w:r>
    </w:p>
    <w:p>
      <w:pPr>
        <w:spacing w:line="480" w:lineRule="auto"/>
        <w:ind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（二）基本支出情况</w:t>
      </w:r>
    </w:p>
    <w:p>
      <w:pPr>
        <w:spacing w:line="480" w:lineRule="auto"/>
        <w:ind w:firstLine="480" w:firstLineChars="200"/>
        <w:jc w:val="left"/>
        <w:rPr>
          <w:rFonts w:hint="eastAsia"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2022年度北塔区编办基本支出年初预算安排</w:t>
      </w:r>
      <w:r>
        <w:rPr>
          <w:rFonts w:hint="eastAsia" w:ascii="宋体" w:hAnsi="宋体" w:eastAsia="宋体" w:cs="宋体"/>
          <w:i w:val="0"/>
          <w:iCs w:val="0"/>
          <w:caps w:val="0"/>
          <w:color w:val="000000"/>
          <w:spacing w:val="0"/>
          <w:sz w:val="24"/>
          <w:szCs w:val="24"/>
          <w:lang w:val="en-US" w:eastAsia="zh-CN"/>
        </w:rPr>
        <w:t>86.56</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万元，本年实际支出为</w:t>
      </w:r>
      <w:r>
        <w:rPr>
          <w:rFonts w:hint="eastAsia" w:ascii="宋体" w:hAnsi="宋体" w:eastAsia="宋体" w:cs="宋体"/>
          <w:i w:val="0"/>
          <w:iCs w:val="0"/>
          <w:caps w:val="0"/>
          <w:color w:val="000000"/>
          <w:spacing w:val="0"/>
          <w:sz w:val="24"/>
          <w:szCs w:val="24"/>
          <w:lang w:val="en-US" w:eastAsia="zh-CN"/>
        </w:rPr>
        <w:t>120.49</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万元，主要为人员经费支出和公用经费支出，其中人员经费支出92.22万元、公用经费支出28.27万元。</w:t>
      </w:r>
    </w:p>
    <w:p>
      <w:pPr>
        <w:numPr>
          <w:ilvl w:val="0"/>
          <w:numId w:val="1"/>
        </w:numPr>
        <w:spacing w:line="480" w:lineRule="auto"/>
        <w:ind w:left="0" w:leftChars="0"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项目支出情况</w:t>
      </w:r>
    </w:p>
    <w:p>
      <w:pPr>
        <w:numPr>
          <w:ilvl w:val="0"/>
          <w:numId w:val="0"/>
        </w:numPr>
        <w:spacing w:line="480" w:lineRule="auto"/>
        <w:ind w:firstLine="480" w:firstLineChars="200"/>
        <w:jc w:val="left"/>
        <w:rPr>
          <w:rFonts w:hint="default"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本年项目支出年初预算安排为20.06万元，本年实际支出为0万元。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482" w:firstLineChars="200"/>
        <w:jc w:val="both"/>
        <w:rPr>
          <w:rFonts w:hint="eastAsia" w:ascii="宋体" w:hAnsi="宋体" w:eastAsia="宋体" w:cs="宋体"/>
          <w:b/>
          <w:bCs/>
          <w:i w:val="0"/>
          <w:iCs w:val="0"/>
          <w:caps w:val="0"/>
          <w:color w:val="auto"/>
          <w:spacing w:val="0"/>
          <w:sz w:val="24"/>
          <w:szCs w:val="24"/>
          <w:highlight w:val="none"/>
          <w:shd w:val="clear" w:fill="FFFFFF"/>
        </w:rPr>
      </w:pPr>
      <w:r>
        <w:rPr>
          <w:rFonts w:hint="eastAsia" w:ascii="宋体" w:hAnsi="宋体" w:eastAsia="宋体" w:cs="宋体"/>
          <w:b/>
          <w:bCs/>
          <w:i w:val="0"/>
          <w:iCs w:val="0"/>
          <w:caps w:val="0"/>
          <w:color w:val="auto"/>
          <w:spacing w:val="0"/>
          <w:sz w:val="24"/>
          <w:szCs w:val="24"/>
          <w:highlight w:val="none"/>
          <w:shd w:val="clear" w:fill="FFFFFF"/>
          <w:lang w:val="en-US" w:eastAsia="zh-CN"/>
        </w:rPr>
        <w:t>三</w:t>
      </w:r>
      <w:r>
        <w:rPr>
          <w:rFonts w:hint="eastAsia" w:ascii="宋体" w:hAnsi="宋体" w:eastAsia="宋体" w:cs="宋体"/>
          <w:b/>
          <w:bCs/>
          <w:i w:val="0"/>
          <w:iCs w:val="0"/>
          <w:caps w:val="0"/>
          <w:color w:val="auto"/>
          <w:spacing w:val="0"/>
          <w:sz w:val="24"/>
          <w:szCs w:val="24"/>
          <w:highlight w:val="none"/>
          <w:shd w:val="clear" w:fill="FFFFFF"/>
        </w:rPr>
        <w:t>、部门整体支出绩效情况</w:t>
      </w:r>
    </w:p>
    <w:p>
      <w:pPr>
        <w:spacing w:line="480" w:lineRule="auto"/>
        <w:ind w:firstLine="482" w:firstLineChars="200"/>
        <w:jc w:val="left"/>
        <w:rPr>
          <w:rFonts w:hint="eastAsia" w:ascii="宋体" w:hAnsi="宋体" w:eastAsia="宋体" w:cs="宋体"/>
          <w:b/>
          <w:bCs/>
          <w:i w:val="0"/>
          <w:iCs w:val="0"/>
          <w:caps w:val="0"/>
          <w:color w:val="auto"/>
          <w:spacing w:val="0"/>
          <w:sz w:val="24"/>
          <w:szCs w:val="24"/>
          <w:highlight w:val="none"/>
          <w:shd w:val="clear" w:fill="FFFFFF"/>
          <w:lang w:val="en-US" w:eastAsia="zh-CN"/>
        </w:rPr>
      </w:pPr>
      <w:r>
        <w:rPr>
          <w:rFonts w:hint="eastAsia" w:ascii="宋体" w:hAnsi="宋体" w:eastAsia="宋体" w:cs="宋体"/>
          <w:b/>
          <w:bCs/>
          <w:i w:val="0"/>
          <w:iCs w:val="0"/>
          <w:caps w:val="0"/>
          <w:color w:val="auto"/>
          <w:spacing w:val="0"/>
          <w:sz w:val="24"/>
          <w:szCs w:val="24"/>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4"/>
          <w:szCs w:val="24"/>
          <w:highlight w:val="none"/>
          <w:shd w:val="clear" w:fill="FFFFFF"/>
        </w:rPr>
      </w:pPr>
      <w:r>
        <w:rPr>
          <w:rFonts w:hint="eastAsia" w:ascii="宋体" w:hAnsi="宋体" w:eastAsia="宋体" w:cs="宋体"/>
          <w:b/>
          <w:bCs/>
          <w:i w:val="0"/>
          <w:iCs w:val="0"/>
          <w:caps w:val="0"/>
          <w:color w:val="auto"/>
          <w:spacing w:val="0"/>
          <w:sz w:val="24"/>
          <w:szCs w:val="24"/>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24"/>
          <w:szCs w:val="24"/>
          <w:highlight w:val="none"/>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⑴2022年财政拨款预算执行数120.49万元，预算安排数106.62万元，预算执行率为113.01%；当年预算有超支13.87万元。 ⑵公用经费预算29.83万元，实际支出28.27万元，公用经费控制率为94.77%；（3）“三公经费”年初预算安排0万元，实际支出0万元（4）政府采购年初预算0万元，实际政府采购金额0万元。</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highlight w:val="none"/>
          <w:shd w:val="clear" w:fill="FFFFFF"/>
          <w:lang w:val="en-US" w:eastAsia="zh-CN" w:bidi="ar-SA"/>
        </w:rPr>
        <w:t>（2）、</w:t>
      </w:r>
      <w:r>
        <w:rPr>
          <w:rFonts w:hint="eastAsia" w:ascii="宋体" w:hAnsi="宋体" w:eastAsia="宋体" w:cs="宋体"/>
          <w:b/>
          <w:bCs/>
          <w:i w:val="0"/>
          <w:iCs w:val="0"/>
          <w:caps w:val="0"/>
          <w:color w:val="auto"/>
          <w:spacing w:val="0"/>
          <w:sz w:val="24"/>
          <w:szCs w:val="24"/>
          <w:highlight w:val="none"/>
          <w:shd w:val="clear" w:fill="FFFFFF"/>
        </w:rPr>
        <w:t>预决算信息公开情况。</w:t>
      </w:r>
      <w:r>
        <w:rPr>
          <w:rFonts w:hint="eastAsia" w:ascii="宋体" w:hAnsi="宋体" w:eastAsia="宋体" w:cs="宋体"/>
          <w:b w:val="0"/>
          <w:bCs w:val="0"/>
          <w:i w:val="0"/>
          <w:iCs w:val="0"/>
          <w:caps w:val="0"/>
          <w:color w:val="auto"/>
          <w:spacing w:val="0"/>
          <w:sz w:val="24"/>
          <w:szCs w:val="24"/>
          <w:highlight w:val="none"/>
          <w:shd w:val="clear" w:fill="FFFFFF"/>
          <w:lang w:eastAsia="zh-CN"/>
        </w:rPr>
        <w:t>北塔区</w:t>
      </w:r>
      <w:r>
        <w:rPr>
          <w:rFonts w:hint="eastAsia" w:ascii="宋体" w:hAnsi="宋体" w:eastAsia="宋体" w:cs="宋体"/>
          <w:b w:val="0"/>
          <w:bCs w:val="0"/>
          <w:i w:val="0"/>
          <w:iCs w:val="0"/>
          <w:caps w:val="0"/>
          <w:color w:val="auto"/>
          <w:spacing w:val="0"/>
          <w:sz w:val="24"/>
          <w:szCs w:val="24"/>
          <w:highlight w:val="none"/>
          <w:shd w:val="clear" w:fill="FFFFFF"/>
          <w:lang w:val="en-US" w:eastAsia="zh-CN"/>
        </w:rPr>
        <w:t>编办</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24"/>
          <w:szCs w:val="24"/>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b/>
          <w:bCs/>
          <w:i w:val="0"/>
          <w:iCs w:val="0"/>
          <w:caps w:val="0"/>
          <w:color w:val="auto"/>
          <w:spacing w:val="0"/>
          <w:sz w:val="24"/>
          <w:szCs w:val="24"/>
          <w:shd w:val="clear" w:fill="FFFFFF"/>
          <w:lang w:val="en-US" w:eastAsia="zh-CN"/>
        </w:rPr>
        <w:t>（3）</w:t>
      </w:r>
      <w:r>
        <w:rPr>
          <w:rFonts w:hint="eastAsia" w:ascii="宋体" w:hAnsi="宋体" w:eastAsia="宋体" w:cs="宋体"/>
          <w:b/>
          <w:bCs/>
          <w:i w:val="0"/>
          <w:iCs w:val="0"/>
          <w:caps w:val="0"/>
          <w:color w:val="auto"/>
          <w:spacing w:val="0"/>
          <w:sz w:val="24"/>
          <w:szCs w:val="24"/>
          <w:shd w:val="clear" w:fill="FFFFFF"/>
        </w:rPr>
        <w:t>、资产管理情况。</w:t>
      </w:r>
      <w:r>
        <w:rPr>
          <w:rFonts w:hint="eastAsia" w:ascii="宋体" w:hAnsi="宋体" w:eastAsia="宋体" w:cs="宋体"/>
          <w:i w:val="0"/>
          <w:iCs w:val="0"/>
          <w:caps w:val="0"/>
          <w:color w:val="auto"/>
          <w:spacing w:val="0"/>
          <w:kern w:val="2"/>
          <w:sz w:val="24"/>
          <w:szCs w:val="24"/>
          <w:shd w:val="clear" w:fill="FFFFFF"/>
          <w:lang w:val="en-US" w:eastAsia="zh-CN" w:bidi="ar-SA"/>
        </w:rPr>
        <w:t>截止2022年12月31日，</w:t>
      </w:r>
      <w:r>
        <w:rPr>
          <w:rFonts w:hint="eastAsia" w:ascii="宋体" w:hAnsi="宋体" w:eastAsia="宋体" w:cs="宋体"/>
          <w:color w:val="auto"/>
          <w:sz w:val="24"/>
          <w:szCs w:val="24"/>
          <w:lang w:eastAsia="zh-CN"/>
        </w:rPr>
        <w:t>北塔区</w:t>
      </w:r>
      <w:r>
        <w:rPr>
          <w:rFonts w:hint="eastAsia" w:ascii="宋体" w:hAnsi="宋体" w:eastAsia="宋体" w:cs="宋体"/>
          <w:b w:val="0"/>
          <w:bCs w:val="0"/>
          <w:i w:val="0"/>
          <w:iCs w:val="0"/>
          <w:caps w:val="0"/>
          <w:color w:val="auto"/>
          <w:spacing w:val="0"/>
          <w:sz w:val="24"/>
          <w:szCs w:val="24"/>
          <w:highlight w:val="none"/>
          <w:shd w:val="clear" w:fill="FFFFFF"/>
          <w:lang w:val="en-US" w:eastAsia="zh-CN"/>
        </w:rPr>
        <w:t>编办</w:t>
      </w:r>
      <w:r>
        <w:rPr>
          <w:rFonts w:hint="eastAsia" w:ascii="宋体" w:hAnsi="宋体" w:eastAsia="宋体" w:cs="宋体"/>
          <w:i w:val="0"/>
          <w:iCs w:val="0"/>
          <w:caps w:val="0"/>
          <w:color w:val="auto"/>
          <w:spacing w:val="0"/>
          <w:kern w:val="2"/>
          <w:sz w:val="24"/>
          <w:szCs w:val="24"/>
          <w:highlight w:val="none"/>
          <w:shd w:val="clear" w:fill="FFFFFF"/>
          <w:lang w:val="en-US" w:eastAsia="zh-CN" w:bidi="ar-SA"/>
        </w:rPr>
        <w:t>拥有各类资产总额2.93万元，其中流动资产1.33万元，固定资产净值1.6万元。单位为加强资产管理，内部制定了资产管理制度，</w:t>
      </w:r>
      <w:r>
        <w:rPr>
          <w:rFonts w:hint="eastAsia" w:ascii="宋体" w:hAnsi="宋体" w:eastAsia="宋体" w:cs="宋体"/>
          <w:i w:val="0"/>
          <w:iCs w:val="0"/>
          <w:caps w:val="0"/>
          <w:color w:val="auto"/>
          <w:spacing w:val="0"/>
          <w:kern w:val="2"/>
          <w:sz w:val="24"/>
          <w:szCs w:val="24"/>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482" w:firstLineChars="20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预算执行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预算管理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为规范机关财务管理，建立健全财务管理制度，我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提升支出绩效</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202</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年，我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i w:val="0"/>
          <w:iCs w:val="0"/>
          <w:caps w:val="0"/>
          <w:color w:val="auto"/>
          <w:spacing w:val="0"/>
          <w:kern w:val="2"/>
          <w:sz w:val="24"/>
          <w:szCs w:val="24"/>
          <w:shd w:val="clear" w:fill="FFFFFF"/>
          <w:lang w:val="en-US" w:eastAsia="zh-CN" w:bidi="ar-SA"/>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评价结论</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我</w:t>
      </w:r>
      <w:r>
        <w:rPr>
          <w:rFonts w:hint="eastAsia" w:ascii="宋体" w:hAnsi="宋体" w:eastAsia="宋体" w:cs="宋体"/>
          <w:b w:val="0"/>
          <w:bCs w:val="0"/>
          <w:sz w:val="24"/>
          <w:szCs w:val="24"/>
          <w:lang w:val="en-US" w:eastAsia="zh-CN"/>
        </w:rPr>
        <w:t>办</w:t>
      </w:r>
      <w:r>
        <w:rPr>
          <w:rFonts w:hint="eastAsia" w:ascii="宋体" w:hAnsi="宋体" w:eastAsia="宋体" w:cs="宋体"/>
          <w:b w:val="0"/>
          <w:bCs w:val="0"/>
          <w:sz w:val="24"/>
          <w:szCs w:val="24"/>
        </w:rPr>
        <w:t>认真组织开展整体支出绩效自评，自评等级“良好”。</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存在的问题及原因分析</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预算编制不够明确和细化，预算编制的合理性需要提高，预算执行力还要进一步加强。资金使用效益有待进一步提高，绩效目标设立不够明确、细化和量化。</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人员素质有待提高。由于人员变动，单位对相关绩效管理业务的熟练，加上缺乏系统的培训，业务操作水平有限。</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改进措施及有关建议</w:t>
      </w:r>
    </w:p>
    <w:p>
      <w:pPr>
        <w:widowControl/>
        <w:spacing w:line="600" w:lineRule="exact"/>
        <w:ind w:firstLine="645"/>
        <w:jc w:val="left"/>
        <w:rPr>
          <w:rFonts w:hint="eastAsia" w:ascii="宋体" w:hAnsi="宋体" w:eastAsia="宋体" w:cs="宋体"/>
          <w:kern w:val="0"/>
          <w:sz w:val="24"/>
          <w:szCs w:val="24"/>
          <w:lang w:val="en-US" w:eastAsia="zh-CN" w:bidi="ar"/>
        </w:rPr>
      </w:pPr>
      <w:r>
        <w:rPr>
          <w:rFonts w:hint="eastAsia" w:ascii="宋体" w:hAnsi="宋体" w:eastAsia="宋体" w:cs="宋体"/>
          <w:sz w:val="24"/>
          <w:szCs w:val="24"/>
        </w:rPr>
        <w:t>（一）</w:t>
      </w:r>
      <w:r>
        <w:rPr>
          <w:rFonts w:hint="eastAsia" w:ascii="宋体" w:hAnsi="宋体" w:eastAsia="宋体" w:cs="宋体"/>
          <w:kern w:val="0"/>
          <w:sz w:val="24"/>
          <w:szCs w:val="24"/>
          <w:lang w:val="en-US" w:eastAsia="zh-CN" w:bidi="ar"/>
        </w:rPr>
        <w:t>细化预算编制工作，认真做好预算的编制。进一步加强内设机构的预算管理意识，严格按照预算编制的相关制度和要求进行预算编制。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（二）加强政策学习，提高思想认识。组织相关人员认真学习《会计法》、《预算法》等相关法规、制度，提高业务人员的业务水平及思想认识，为绩效评价工作夯实基础。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AA82F546"/>
    <w:multiLevelType w:val="singleLevel"/>
    <w:tmpl w:val="AA82F546"/>
    <w:lvl w:ilvl="0" w:tentative="0">
      <w:start w:val="1"/>
      <w:numFmt w:val="decimal"/>
      <w:suff w:val="nothing"/>
      <w:lvlText w:val="%1、"/>
      <w:lvlJc w:val="left"/>
    </w:lvl>
  </w:abstractNum>
  <w:abstractNum w:abstractNumId="2">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MDM5NDllMmFkNTY4YmUxNmI0NDZjN2ZmZmMyYTcifQ=="/>
  </w:docVars>
  <w:rsids>
    <w:rsidRoot w:val="00000000"/>
    <w:rsid w:val="00554C33"/>
    <w:rsid w:val="006D6F3B"/>
    <w:rsid w:val="00D51644"/>
    <w:rsid w:val="025D08EA"/>
    <w:rsid w:val="02936A01"/>
    <w:rsid w:val="02A74CAA"/>
    <w:rsid w:val="02AE7D30"/>
    <w:rsid w:val="038872BA"/>
    <w:rsid w:val="0401638F"/>
    <w:rsid w:val="05213482"/>
    <w:rsid w:val="05480465"/>
    <w:rsid w:val="06FD0684"/>
    <w:rsid w:val="09343767"/>
    <w:rsid w:val="09E17252"/>
    <w:rsid w:val="0C9F6413"/>
    <w:rsid w:val="0D5E3707"/>
    <w:rsid w:val="0F1149A4"/>
    <w:rsid w:val="0FCB1A87"/>
    <w:rsid w:val="10B70E37"/>
    <w:rsid w:val="11E84674"/>
    <w:rsid w:val="126C42B4"/>
    <w:rsid w:val="1526102E"/>
    <w:rsid w:val="17042185"/>
    <w:rsid w:val="17546308"/>
    <w:rsid w:val="17B648CC"/>
    <w:rsid w:val="17DD6E2C"/>
    <w:rsid w:val="18FB06F6"/>
    <w:rsid w:val="191A5DFC"/>
    <w:rsid w:val="1AED7481"/>
    <w:rsid w:val="1D9A1B96"/>
    <w:rsid w:val="1F010C8F"/>
    <w:rsid w:val="20F63895"/>
    <w:rsid w:val="21A92AB0"/>
    <w:rsid w:val="22030E7C"/>
    <w:rsid w:val="22502017"/>
    <w:rsid w:val="2268661C"/>
    <w:rsid w:val="22C37E9D"/>
    <w:rsid w:val="23BE3486"/>
    <w:rsid w:val="25F11D34"/>
    <w:rsid w:val="260157E2"/>
    <w:rsid w:val="26166273"/>
    <w:rsid w:val="276A25B5"/>
    <w:rsid w:val="279836D3"/>
    <w:rsid w:val="282D2052"/>
    <w:rsid w:val="283A2AB0"/>
    <w:rsid w:val="28565BEC"/>
    <w:rsid w:val="2ADF1D1C"/>
    <w:rsid w:val="2B032004"/>
    <w:rsid w:val="2BB25617"/>
    <w:rsid w:val="2C3A1B18"/>
    <w:rsid w:val="2C7529D1"/>
    <w:rsid w:val="2D6C05C8"/>
    <w:rsid w:val="2DB256DE"/>
    <w:rsid w:val="2F064022"/>
    <w:rsid w:val="2F8310E0"/>
    <w:rsid w:val="2FEC7EAB"/>
    <w:rsid w:val="32A1498A"/>
    <w:rsid w:val="34252D98"/>
    <w:rsid w:val="3619015E"/>
    <w:rsid w:val="36334246"/>
    <w:rsid w:val="36E22B02"/>
    <w:rsid w:val="3723656C"/>
    <w:rsid w:val="375C4F25"/>
    <w:rsid w:val="37A26170"/>
    <w:rsid w:val="37AC5E54"/>
    <w:rsid w:val="37FB2FBA"/>
    <w:rsid w:val="38AF35DE"/>
    <w:rsid w:val="38F247D2"/>
    <w:rsid w:val="3A365ACD"/>
    <w:rsid w:val="3A4B20C9"/>
    <w:rsid w:val="3B9303B2"/>
    <w:rsid w:val="3C5D6B3D"/>
    <w:rsid w:val="3C8416D7"/>
    <w:rsid w:val="3D1D5E40"/>
    <w:rsid w:val="3FAB09ED"/>
    <w:rsid w:val="437E6337"/>
    <w:rsid w:val="44AF5D78"/>
    <w:rsid w:val="45833892"/>
    <w:rsid w:val="45CB4E15"/>
    <w:rsid w:val="46250A0C"/>
    <w:rsid w:val="462F1B6A"/>
    <w:rsid w:val="471B0F99"/>
    <w:rsid w:val="47D12ED9"/>
    <w:rsid w:val="492E7EB7"/>
    <w:rsid w:val="49F7299F"/>
    <w:rsid w:val="4A4754D4"/>
    <w:rsid w:val="4ACA7AAB"/>
    <w:rsid w:val="4B991F60"/>
    <w:rsid w:val="4BDD74EA"/>
    <w:rsid w:val="4C455C43"/>
    <w:rsid w:val="4C76548C"/>
    <w:rsid w:val="4D113C42"/>
    <w:rsid w:val="4E58558A"/>
    <w:rsid w:val="4F3501F1"/>
    <w:rsid w:val="4FB97D79"/>
    <w:rsid w:val="514A0D2E"/>
    <w:rsid w:val="51D860AE"/>
    <w:rsid w:val="52C04276"/>
    <w:rsid w:val="53202F66"/>
    <w:rsid w:val="54517DF8"/>
    <w:rsid w:val="55C776C9"/>
    <w:rsid w:val="575435C3"/>
    <w:rsid w:val="58CA4CA4"/>
    <w:rsid w:val="59A70B1E"/>
    <w:rsid w:val="59E60318"/>
    <w:rsid w:val="59E6787C"/>
    <w:rsid w:val="59F93ABE"/>
    <w:rsid w:val="5B872328"/>
    <w:rsid w:val="5C0F156B"/>
    <w:rsid w:val="5C8E7193"/>
    <w:rsid w:val="5CBC5F90"/>
    <w:rsid w:val="5E6D1153"/>
    <w:rsid w:val="5F83500A"/>
    <w:rsid w:val="60745B56"/>
    <w:rsid w:val="611076B5"/>
    <w:rsid w:val="61371BA7"/>
    <w:rsid w:val="63726C8A"/>
    <w:rsid w:val="641F097E"/>
    <w:rsid w:val="65236940"/>
    <w:rsid w:val="65C43C25"/>
    <w:rsid w:val="664A41B0"/>
    <w:rsid w:val="66D16D4F"/>
    <w:rsid w:val="66FE6113"/>
    <w:rsid w:val="6768407F"/>
    <w:rsid w:val="6A8F6051"/>
    <w:rsid w:val="6B874FA2"/>
    <w:rsid w:val="6C3C4515"/>
    <w:rsid w:val="6C6B54E9"/>
    <w:rsid w:val="6CB322FE"/>
    <w:rsid w:val="6D126145"/>
    <w:rsid w:val="6E443B55"/>
    <w:rsid w:val="6FD52562"/>
    <w:rsid w:val="70246EC1"/>
    <w:rsid w:val="70514092"/>
    <w:rsid w:val="70852420"/>
    <w:rsid w:val="71881FAB"/>
    <w:rsid w:val="722B120E"/>
    <w:rsid w:val="72BF541A"/>
    <w:rsid w:val="72DA6836"/>
    <w:rsid w:val="73125FD0"/>
    <w:rsid w:val="734F209E"/>
    <w:rsid w:val="73781BAB"/>
    <w:rsid w:val="76DC35F5"/>
    <w:rsid w:val="77CF26E1"/>
    <w:rsid w:val="78231A59"/>
    <w:rsid w:val="7832658D"/>
    <w:rsid w:val="79074D5F"/>
    <w:rsid w:val="7A21330E"/>
    <w:rsid w:val="7AF745AA"/>
    <w:rsid w:val="7B7D06A6"/>
    <w:rsid w:val="7BA62A3A"/>
    <w:rsid w:val="7CF23984"/>
    <w:rsid w:val="7D3D1E9B"/>
    <w:rsid w:val="7D5055C7"/>
    <w:rsid w:val="7EEE7268"/>
    <w:rsid w:val="7F066102"/>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semiHidden/>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8</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2023-09-27T04:34:52Z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0DB979710480483D8E7EB4352FEA047B_13</vt:lpwstr>
  </property>
</Properties>
</file>