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eastAsia="方正小标宋简体"/>
          <w:b/>
          <w:bCs/>
          <w:sz w:val="52"/>
          <w:szCs w:val="52"/>
        </w:rPr>
      </w:pPr>
    </w:p>
    <w:p>
      <w:pPr>
        <w:shd w:val="clear"/>
        <w:jc w:val="center"/>
        <w:rPr>
          <w:rFonts w:eastAsia="方正小标宋简体"/>
          <w:b/>
          <w:bCs/>
          <w:sz w:val="52"/>
          <w:szCs w:val="52"/>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eastAsia="方正小标宋简体" w:cs="方正小标宋简体"/>
          <w:b/>
          <w:bCs/>
          <w:sz w:val="52"/>
          <w:szCs w:val="52"/>
        </w:rPr>
      </w:pP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eastAsia="方正小标宋简体"/>
          <w:sz w:val="52"/>
          <w:szCs w:val="52"/>
        </w:rPr>
      </w:pPr>
      <w:r>
        <w:rPr>
          <w:rFonts w:hint="eastAsia" w:eastAsia="方正小标宋简体" w:cs="方正小标宋简体"/>
          <w:b/>
          <w:bCs/>
          <w:sz w:val="52"/>
          <w:szCs w:val="52"/>
        </w:rPr>
        <w:t>绩效评价报告</w:t>
      </w:r>
    </w:p>
    <w:p>
      <w:pPr>
        <w:shd w:val="clear"/>
        <w:jc w:val="center"/>
        <w:rPr>
          <w:rFonts w:eastAsia="楷体_GB2312"/>
          <w:sz w:val="32"/>
          <w:szCs w:val="32"/>
        </w:rPr>
      </w:pPr>
    </w:p>
    <w:p>
      <w:pPr>
        <w:shd w:val="clear"/>
        <w:jc w:val="center"/>
        <w:rPr>
          <w:rFonts w:eastAsia="楷体_GB2312"/>
          <w:sz w:val="32"/>
          <w:szCs w:val="32"/>
        </w:rPr>
      </w:pPr>
    </w:p>
    <w:p>
      <w:pPr>
        <w:shd w:val="clear"/>
        <w:jc w:val="center"/>
        <w:rPr>
          <w:rFonts w:eastAsia="楷体_GB2312"/>
          <w:sz w:val="32"/>
          <w:szCs w:val="32"/>
        </w:rPr>
      </w:pPr>
    </w:p>
    <w:p>
      <w:pPr>
        <w:shd w:val="clear"/>
        <w:jc w:val="center"/>
        <w:rPr>
          <w:rFonts w:eastAsia="楷体_GB2312"/>
          <w:sz w:val="32"/>
          <w:szCs w:val="32"/>
        </w:rPr>
      </w:pPr>
    </w:p>
    <w:p>
      <w:pPr>
        <w:shd w:val="clear"/>
        <w:jc w:val="center"/>
        <w:rPr>
          <w:rFonts w:eastAsia="楷体_GB2312"/>
          <w:sz w:val="32"/>
          <w:szCs w:val="32"/>
        </w:rPr>
      </w:pPr>
    </w:p>
    <w:p>
      <w:pPr>
        <w:shd w:val="clear"/>
        <w:jc w:val="center"/>
        <w:rPr>
          <w:rFonts w:eastAsia="楷体_GB2312"/>
          <w:sz w:val="32"/>
          <w:szCs w:val="32"/>
        </w:rPr>
      </w:pPr>
    </w:p>
    <w:p>
      <w:pPr>
        <w:shd w:val="clear"/>
        <w:rPr>
          <w:rFonts w:eastAsia="仿宋_GB2312"/>
          <w:sz w:val="32"/>
          <w:szCs w:val="32"/>
          <w:u w:val="single"/>
        </w:rPr>
      </w:pPr>
    </w:p>
    <w:tbl>
      <w:tblPr>
        <w:tblStyle w:val="10"/>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u w:val="none"/>
                <w:vertAlign w:val="baseline"/>
                <w:lang w:eastAsia="zh-CN"/>
              </w:rPr>
            </w:pPr>
            <w:r>
              <w:rPr>
                <w:rFonts w:hint="eastAsia" w:ascii="仿宋" w:hAnsi="仿宋" w:eastAsia="仿宋" w:cs="仿宋"/>
                <w:sz w:val="32"/>
                <w:szCs w:val="32"/>
                <w:u w:val="none"/>
                <w:lang w:val="en-US" w:eastAsia="zh-CN"/>
              </w:rPr>
              <w:t>北塔区</w:t>
            </w:r>
            <w:r>
              <w:rPr>
                <w:rFonts w:hint="default" w:ascii="仿宋" w:hAnsi="仿宋" w:eastAsia="仿宋" w:cs="仿宋"/>
                <w:sz w:val="32"/>
                <w:szCs w:val="32"/>
                <w:u w:val="none"/>
                <w:lang w:val="en-US" w:eastAsia="zh-CN"/>
              </w:rPr>
              <w:t>2022年</w:t>
            </w:r>
            <w:r>
              <w:rPr>
                <w:rFonts w:hint="eastAsia" w:ascii="仿宋" w:hAnsi="仿宋" w:eastAsia="仿宋" w:cs="仿宋"/>
                <w:sz w:val="32"/>
                <w:szCs w:val="32"/>
                <w:u w:val="none"/>
                <w:lang w:val="en-US" w:eastAsia="zh-CN"/>
              </w:rPr>
              <w:t>度</w:t>
            </w:r>
            <w:r>
              <w:rPr>
                <w:rFonts w:hint="default" w:ascii="仿宋" w:hAnsi="仿宋" w:eastAsia="仿宋" w:cs="仿宋"/>
                <w:sz w:val="32"/>
                <w:szCs w:val="32"/>
                <w:u w:val="none"/>
                <w:lang w:val="en-US" w:eastAsia="zh-CN"/>
              </w:rPr>
              <w:t>重点民生实事“雪亮工程”建设</w:t>
            </w:r>
            <w:r>
              <w:rPr>
                <w:rFonts w:hint="eastAsia" w:ascii="仿宋" w:hAnsi="仿宋" w:eastAsia="仿宋" w:cs="仿宋"/>
                <w:sz w:val="32"/>
                <w:szCs w:val="32"/>
                <w:u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项目单位</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lang w:val="en-US" w:eastAsia="zh-CN"/>
              </w:rPr>
              <w:t>邵阳市公安局北塔区分局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委托单位</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lang w:val="en-US" w:eastAsia="zh-CN"/>
              </w:rPr>
              <w:t>邵阳市财政局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shd w:val="clear"/>
        <w:jc w:val="center"/>
        <w:rPr>
          <w:rFonts w:eastAsia="仿宋_GB2312"/>
          <w:sz w:val="32"/>
          <w:szCs w:val="32"/>
          <w:u w:val="single"/>
        </w:rPr>
      </w:pPr>
    </w:p>
    <w:p>
      <w:pPr>
        <w:shd w:val="clear"/>
        <w:jc w:val="center"/>
        <w:rPr>
          <w:rFonts w:eastAsia="仿宋_GB2312"/>
          <w:sz w:val="32"/>
          <w:szCs w:val="32"/>
          <w:u w:val="single"/>
        </w:rPr>
      </w:pPr>
    </w:p>
    <w:p>
      <w:pPr>
        <w:shd w:val="clear"/>
        <w:ind w:firstLine="321" w:firstLineChars="100"/>
        <w:jc w:val="center"/>
        <w:rPr>
          <w:rFonts w:hint="eastAsia" w:ascii="仿宋" w:hAnsi="仿宋" w:eastAsia="仿宋" w:cs="仿宋"/>
          <w:b/>
          <w:bCs/>
          <w:sz w:val="32"/>
          <w:szCs w:val="32"/>
        </w:rPr>
      </w:pPr>
    </w:p>
    <w:p>
      <w:pPr>
        <w:shd w:val="clear"/>
        <w:spacing w:line="520" w:lineRule="exact"/>
        <w:ind w:firstLine="321" w:firstLineChars="100"/>
        <w:jc w:val="center"/>
        <w:rPr>
          <w:rFonts w:hint="eastAsia" w:ascii="仿宋" w:hAnsi="仿宋" w:eastAsia="仿宋" w:cs="仿宋"/>
          <w:b/>
          <w:bCs/>
          <w:sz w:val="32"/>
          <w:szCs w:val="32"/>
        </w:rP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二十六</w:t>
      </w:r>
      <w:r>
        <w:rPr>
          <w:rFonts w:hint="eastAsia" w:ascii="仿宋" w:hAnsi="仿宋" w:eastAsia="仿宋" w:cs="仿宋"/>
          <w:b/>
          <w:bCs/>
          <w:sz w:val="32"/>
          <w:szCs w:val="32"/>
        </w:rPr>
        <w:t>日</w:t>
      </w:r>
    </w:p>
    <w:p>
      <w:pPr>
        <w:shd w:val="clear"/>
        <w:spacing w:line="520" w:lineRule="exact"/>
        <w:ind w:firstLine="321" w:firstLineChars="100"/>
        <w:jc w:val="center"/>
        <w:rPr>
          <w:rFonts w:hint="eastAsia" w:ascii="仿宋" w:hAnsi="仿宋" w:eastAsia="仿宋" w:cs="仿宋"/>
          <w:b/>
          <w:bCs/>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5"/>
        <w:shd w:val="clear"/>
        <w:rPr>
          <w:rFonts w:ascii="Arial Narrow" w:hAnsi="Arial Narrow" w:eastAsia="仿宋" w:cs="Arial Narrow"/>
          <w:sz w:val="28"/>
          <w:szCs w:val="28"/>
        </w:rPr>
      </w:pPr>
    </w:p>
    <w:p>
      <w:pPr>
        <w:pStyle w:val="6"/>
        <w:shd w:val="clear"/>
        <w:tabs>
          <w:tab w:val="center" w:pos="4153"/>
          <w:tab w:val="right" w:pos="8306"/>
        </w:tabs>
        <w:rPr>
          <w:rFonts w:ascii="Arial Narrow" w:hAnsi="Arial Narrow" w:eastAsia="仿宋" w:cs="Arial Narrow"/>
          <w:sz w:val="28"/>
          <w:szCs w:val="28"/>
        </w:rPr>
      </w:pPr>
    </w:p>
    <w:p>
      <w:pPr>
        <w:pStyle w:val="6"/>
        <w:shd w:val="clear"/>
        <w:tabs>
          <w:tab w:val="center" w:pos="4153"/>
          <w:tab w:val="right" w:pos="8306"/>
        </w:tabs>
        <w:rPr>
          <w:rFonts w:ascii="Arial Narrow" w:hAnsi="Arial Narrow" w:eastAsia="仿宋" w:cs="Arial Narrow"/>
          <w:sz w:val="28"/>
          <w:szCs w:val="28"/>
        </w:rPr>
      </w:pPr>
    </w:p>
    <w:p>
      <w:pPr>
        <w:pStyle w:val="6"/>
        <w:shd w:val="clear"/>
        <w:tabs>
          <w:tab w:val="center" w:pos="4153"/>
          <w:tab w:val="right" w:pos="8306"/>
        </w:tabs>
        <w:rPr>
          <w:rFonts w:ascii="Arial Narrow" w:hAnsi="Arial Narrow" w:eastAsia="仿宋" w:cs="Arial Narrow"/>
          <w:sz w:val="28"/>
          <w:szCs w:val="28"/>
        </w:rPr>
      </w:pPr>
    </w:p>
    <w:p>
      <w:pPr>
        <w:pStyle w:val="6"/>
        <w:shd w:val="clear"/>
        <w:tabs>
          <w:tab w:val="center" w:pos="4153"/>
          <w:tab w:val="right" w:pos="8306"/>
        </w:tabs>
        <w:rPr>
          <w:rFonts w:ascii="Arial Narrow" w:hAnsi="Arial Narrow" w:eastAsia="仿宋" w:cs="Arial Narrow"/>
          <w:sz w:val="28"/>
          <w:szCs w:val="28"/>
        </w:rPr>
      </w:pPr>
    </w:p>
    <w:p>
      <w:pPr>
        <w:pStyle w:val="6"/>
        <w:shd w:val="clear"/>
        <w:tabs>
          <w:tab w:val="center" w:pos="4153"/>
          <w:tab w:val="right" w:pos="8306"/>
        </w:tabs>
        <w:rPr>
          <w:rFonts w:ascii="Arial Narrow" w:hAnsi="Arial Narrow" w:eastAsia="仿宋" w:cs="Arial Narrow"/>
          <w:sz w:val="28"/>
          <w:szCs w:val="28"/>
        </w:rPr>
      </w:pPr>
    </w:p>
    <w:p>
      <w:pPr>
        <w:pStyle w:val="6"/>
        <w:shd w:val="clear"/>
        <w:tabs>
          <w:tab w:val="center" w:pos="4153"/>
          <w:tab w:val="right" w:pos="8306"/>
        </w:tabs>
        <w:rPr>
          <w:rFonts w:ascii="Arial Narrow" w:hAnsi="Arial Narrow" w:eastAsia="仿宋" w:cs="Arial Narrow"/>
          <w:sz w:val="28"/>
          <w:szCs w:val="28"/>
        </w:rPr>
      </w:pPr>
    </w:p>
    <w:p>
      <w:pPr>
        <w:shd w:val="clear"/>
        <w:jc w:val="center"/>
      </w:pPr>
    </w:p>
    <w:p>
      <w:pPr>
        <w:keepNext w:val="0"/>
        <w:keepLines w:val="0"/>
        <w:pageBreakBefore w:val="0"/>
        <w:widowControl w:val="0"/>
        <w:shd w:val="clear"/>
        <w:kinsoku/>
        <w:wordWrap/>
        <w:overflowPunct/>
        <w:topLinePunct w:val="0"/>
        <w:autoSpaceDE/>
        <w:autoSpaceDN/>
        <w:bidi w:val="0"/>
        <w:adjustRightInd/>
        <w:snapToGrid/>
        <w:spacing w:line="760" w:lineRule="exact"/>
        <w:jc w:val="center"/>
        <w:textAlignment w:val="auto"/>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lang w:eastAsia="zh-CN"/>
        </w:rPr>
        <w:t>202</w:t>
      </w:r>
      <w:r>
        <w:rPr>
          <w:rFonts w:hint="eastAsia"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cs="仿宋"/>
          <w:color w:val="auto"/>
          <w:sz w:val="28"/>
          <w:szCs w:val="28"/>
          <w:shd w:val="clear" w:color="auto" w:fill="FFFFFF"/>
          <w:lang w:val="en-US" w:eastAsia="zh-CN"/>
        </w:rPr>
        <w:t xml:space="preserve"> 029</w:t>
      </w:r>
      <w:r>
        <w:rPr>
          <w:rFonts w:hint="eastAsia" w:ascii="仿宋" w:hAnsi="仿宋" w:eastAsia="仿宋" w:cs="仿宋"/>
          <w:color w:val="000000"/>
          <w:sz w:val="28"/>
          <w:szCs w:val="28"/>
          <w:shd w:val="clear" w:color="auto" w:fill="FFFFFF"/>
        </w:rPr>
        <w:t>号</w:t>
      </w:r>
    </w:p>
    <w:p>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hd w:val="clear"/>
        <w:spacing w:line="560" w:lineRule="exact"/>
        <w:jc w:val="center"/>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北塔区2022年度重点民生实事“雪亮工程”建设</w:t>
      </w:r>
    </w:p>
    <w:p>
      <w:pPr>
        <w:shd w:val="clear"/>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lang w:val="en-US" w:eastAsia="zh-CN"/>
        </w:rPr>
        <w:t>项目</w:t>
      </w:r>
      <w:r>
        <w:rPr>
          <w:rFonts w:hint="eastAsia" w:ascii="宋体" w:hAnsi="宋体" w:eastAsia="宋体" w:cs="Times New Roman"/>
          <w:b/>
          <w:bCs/>
          <w:sz w:val="36"/>
          <w:szCs w:val="36"/>
        </w:rPr>
        <w:t>绩效评价报告</w:t>
      </w:r>
    </w:p>
    <w:p>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eastAsia" w:ascii="宋体" w:hAnsi="宋体" w:cs="宋体"/>
          <w:color w:val="auto"/>
          <w:spacing w:val="0"/>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为加强财政支出管理，优化财政支出结构，提高财政资金使用效益，根据《中共中央国务院关于全面实施预算绩效管理的意见》（中发〔2018〕34号）、《中共湖南省委办公厅湖南省人民政府办公厅关于全面实施预算绩效管理的实施意见》（湘办发〔2019〕10号）、《湖南省财政厅关于印发湖南省预算支出绩效评价管理办法的通知》（湘财绩〔2020〕7号）等文件要求，</w:t>
      </w:r>
      <w:r>
        <w:rPr>
          <w:rFonts w:hint="eastAsia" w:ascii="仿宋" w:hAnsi="仿宋" w:eastAsia="仿宋" w:cs="仿宋"/>
          <w:color w:val="000000"/>
          <w:sz w:val="28"/>
          <w:szCs w:val="28"/>
          <w:shd w:val="clear" w:color="auto" w:fill="FFFFFF"/>
          <w:lang w:val="en-US" w:eastAsia="zh-CN"/>
        </w:rPr>
        <w:t>邵阳市北塔区</w:t>
      </w:r>
      <w:r>
        <w:rPr>
          <w:rFonts w:hint="eastAsia" w:ascii="仿宋" w:hAnsi="仿宋" w:eastAsia="仿宋" w:cs="仿宋"/>
          <w:color w:val="000000"/>
          <w:sz w:val="28"/>
          <w:szCs w:val="28"/>
          <w:shd w:val="clear" w:color="auto" w:fill="FFFFFF"/>
          <w:lang w:eastAsia="zh-CN"/>
        </w:rPr>
        <w:t>财政局委托湖南</w:t>
      </w:r>
      <w:r>
        <w:rPr>
          <w:rFonts w:hint="eastAsia" w:ascii="仿宋" w:hAnsi="仿宋" w:eastAsia="仿宋" w:cs="仿宋"/>
          <w:color w:val="000000"/>
          <w:sz w:val="28"/>
          <w:szCs w:val="28"/>
          <w:shd w:val="clear" w:color="auto" w:fill="FFFFFF"/>
          <w:lang w:val="en-US" w:eastAsia="zh-CN"/>
        </w:rPr>
        <w:t>骏新联合</w:t>
      </w:r>
      <w:r>
        <w:rPr>
          <w:rFonts w:hint="eastAsia" w:ascii="仿宋" w:hAnsi="仿宋" w:eastAsia="仿宋" w:cs="仿宋"/>
          <w:color w:val="000000"/>
          <w:sz w:val="28"/>
          <w:szCs w:val="28"/>
          <w:shd w:val="clear" w:color="auto" w:fill="FFFFFF"/>
          <w:lang w:eastAsia="zh-CN"/>
        </w:rPr>
        <w:t>会计师事务所（普通合伙）对</w:t>
      </w:r>
      <w:r>
        <w:rPr>
          <w:rFonts w:hint="eastAsia" w:ascii="仿宋" w:hAnsi="仿宋" w:eastAsia="仿宋" w:cs="仿宋"/>
          <w:color w:val="000000"/>
          <w:sz w:val="28"/>
          <w:szCs w:val="28"/>
          <w:shd w:val="clear" w:color="auto" w:fill="FFFFFF"/>
          <w:lang w:val="en-US" w:eastAsia="zh-CN"/>
        </w:rPr>
        <w:t>湖南省邵阳市</w:t>
      </w:r>
      <w:r>
        <w:rPr>
          <w:rFonts w:hint="default" w:ascii="仿宋" w:hAnsi="仿宋" w:eastAsia="仿宋" w:cs="仿宋"/>
          <w:color w:val="000000"/>
          <w:sz w:val="28"/>
          <w:szCs w:val="28"/>
          <w:shd w:val="clear" w:color="auto" w:fill="FFFFFF"/>
          <w:lang w:val="en-US" w:eastAsia="zh-CN"/>
        </w:rPr>
        <w:t>2022年重点民生实事“雪亮工程”建设</w:t>
      </w:r>
      <w:r>
        <w:rPr>
          <w:rFonts w:hint="eastAsia" w:ascii="仿宋" w:hAnsi="仿宋" w:eastAsia="仿宋" w:cs="仿宋"/>
          <w:color w:val="000000"/>
          <w:sz w:val="28"/>
          <w:szCs w:val="28"/>
          <w:shd w:val="clear" w:color="auto" w:fill="FFFFFF"/>
          <w:lang w:val="en-US" w:eastAsia="zh-CN"/>
        </w:rPr>
        <w:t>项目</w:t>
      </w:r>
      <w:r>
        <w:rPr>
          <w:rFonts w:hint="eastAsia" w:ascii="仿宋" w:hAnsi="仿宋" w:eastAsia="仿宋" w:cs="仿宋"/>
          <w:color w:val="000000"/>
          <w:sz w:val="28"/>
          <w:szCs w:val="28"/>
          <w:shd w:val="clear" w:color="auto" w:fill="FFFFFF"/>
          <w:lang w:eastAsia="zh-CN"/>
        </w:rPr>
        <w:t>（以下简称项目）实施绩效评价。评价采用定量分析和定性分析相结合的方法，从项目决策、项目过程、项目绩效完成等方面对项目进行了综合评价。现将绩效评价情况汇报如下：</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一、项目资金概况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（一）项目基本情况</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560" w:firstLineChars="200"/>
        <w:textAlignment w:val="auto"/>
        <w:rPr>
          <w:rFonts w:hint="eastAsia" w:cs="仿宋"/>
          <w:kern w:val="2"/>
          <w:sz w:val="28"/>
          <w:szCs w:val="28"/>
          <w:shd w:val="clear" w:color="auto" w:fill="auto"/>
          <w:lang w:val="en-US" w:eastAsia="zh-CN" w:bidi="ar-SA"/>
        </w:rPr>
      </w:pPr>
      <w:r>
        <w:rPr>
          <w:rFonts w:hint="eastAsia" w:cs="仿宋"/>
          <w:kern w:val="2"/>
          <w:sz w:val="28"/>
          <w:szCs w:val="28"/>
          <w:shd w:val="clear" w:color="auto" w:fill="auto"/>
          <w:lang w:val="en-US" w:eastAsia="zh-CN" w:bidi="ar-SA"/>
        </w:rPr>
        <w:t>北塔区2022年全区建设联网中小学幼儿园周边等重点部位智能安防设备（视频监控摄像头）200个，其中体质改造150个，补盲新建50个，且摄像头指标不低于400万，符合GB/28281及GA/1400等相关协议要求，具备人像，车辆抓拍功能的智能结构化抓拍摄像头。本项目建设期间为2022年8月10日至2022年9月5日。目前，2022年“雪亮工程”所有摄像机已全部联网上线并推送省、市两级平台，试运营一切正常，在线率为100%，为侦查办案，维护治安发挥重要作用。该工程采用设计采购施工总承包模式（EPC模式），总承包商为中国电信股份有限公司邵阳分公司，由邵阳市北塔区公安局组织实施。</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二、项目资金使用及管理情况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(一)项目资金情况分析。</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560" w:firstLineChars="200"/>
        <w:textAlignment w:val="auto"/>
        <w:rPr>
          <w:rFonts w:hint="eastAsia" w:cs="仿宋"/>
          <w:kern w:val="2"/>
          <w:sz w:val="28"/>
          <w:szCs w:val="28"/>
          <w:shd w:val="clear" w:color="auto" w:fill="auto"/>
          <w:lang w:val="en-US" w:eastAsia="zh-CN" w:bidi="ar-SA"/>
        </w:rPr>
      </w:pPr>
      <w:r>
        <w:rPr>
          <w:rFonts w:hint="eastAsia" w:cs="仿宋"/>
          <w:kern w:val="2"/>
          <w:sz w:val="28"/>
          <w:szCs w:val="28"/>
          <w:shd w:val="clear" w:color="auto" w:fill="auto"/>
          <w:lang w:val="en-US" w:eastAsia="zh-CN" w:bidi="ar-SA"/>
        </w:rPr>
        <w:t>项目资金来源全部为北塔区财政资金，项目总投资155万元，支付方式为国库集中支付。</w:t>
      </w:r>
    </w:p>
    <w:p>
      <w:pPr>
        <w:keepNext w:val="0"/>
        <w:keepLines w:val="0"/>
        <w:pageBreakBefore w:val="0"/>
        <w:shd w:val="clear"/>
        <w:kinsoku/>
        <w:wordWrap/>
        <w:overflowPunct/>
        <w:topLinePunct w:val="0"/>
        <w:bidi w:val="0"/>
        <w:spacing w:line="480" w:lineRule="exact"/>
        <w:ind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（二）项目资金实际使用情况分析。</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2022年项目使用资金97.35万元，结余57.65万元。具体使用如下：金额（万元）</w:t>
      </w:r>
    </w:p>
    <w:p>
      <w:pPr>
        <w:keepNext w:val="0"/>
        <w:keepLines w:val="0"/>
        <w:pageBreakBefore w:val="0"/>
        <w:shd w:val="clear"/>
        <w:kinsoku/>
        <w:wordWrap/>
        <w:overflowPunct/>
        <w:topLinePunct w:val="0"/>
        <w:bidi w:val="0"/>
        <w:spacing w:line="480" w:lineRule="exact"/>
        <w:ind w:firstLine="560" w:firstLineChars="200"/>
        <w:jc w:val="center"/>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 xml:space="preserve">                 项目资金使用情况表           单位：万元</w:t>
      </w:r>
    </w:p>
    <w:tbl>
      <w:tblPr>
        <w:tblStyle w:val="9"/>
        <w:tblW w:w="8733" w:type="dxa"/>
        <w:tblInd w:w="-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Layout w:type="autofit"/>
        <w:tblCellMar>
          <w:top w:w="15" w:type="dxa"/>
          <w:left w:w="15" w:type="dxa"/>
          <w:bottom w:w="15" w:type="dxa"/>
          <w:right w:w="15" w:type="dxa"/>
        </w:tblCellMar>
      </w:tblPr>
      <w:tblGrid>
        <w:gridCol w:w="1970"/>
        <w:gridCol w:w="1751"/>
        <w:gridCol w:w="501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15" w:type="dxa"/>
            <w:left w:w="15" w:type="dxa"/>
            <w:bottom w:w="15" w:type="dxa"/>
            <w:right w:w="15" w:type="dxa"/>
          </w:tblCellMar>
        </w:tblPrEx>
        <w:trPr>
          <w:trHeight w:val="540" w:hRule="atLeast"/>
        </w:trPr>
        <w:tc>
          <w:tcPr>
            <w:tcW w:w="1970" w:type="dxa"/>
            <w:tcBorders>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rPr>
                <w:rFonts w:hint="eastAsia"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项目名称</w:t>
            </w:r>
          </w:p>
        </w:tc>
        <w:tc>
          <w:tcPr>
            <w:tcW w:w="1751" w:type="dxa"/>
            <w:tcBorders>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2" w:firstLineChars="200"/>
              <w:rPr>
                <w:rFonts w:hint="eastAsia"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金额</w:t>
            </w:r>
          </w:p>
        </w:tc>
        <w:tc>
          <w:tcPr>
            <w:tcW w:w="5012" w:type="dxa"/>
            <w:tcBorders>
              <w:left w:val="nil"/>
              <w:bottom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2" w:firstLineChars="200"/>
              <w:rPr>
                <w:rFonts w:hint="eastAsia"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支付内容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15" w:type="dxa"/>
            <w:left w:w="15" w:type="dxa"/>
            <w:bottom w:w="15" w:type="dxa"/>
            <w:right w:w="15" w:type="dxa"/>
          </w:tblCellMar>
        </w:tblPrEx>
        <w:trPr>
          <w:trHeight w:val="698" w:hRule="atLeast"/>
        </w:trPr>
        <w:tc>
          <w:tcPr>
            <w:tcW w:w="1970" w:type="dxa"/>
            <w:tcBorders>
              <w:top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rPr>
                <w:rFonts w:hint="eastAsia"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支付工程项目款</w:t>
            </w:r>
          </w:p>
        </w:tc>
        <w:tc>
          <w:tcPr>
            <w:tcW w:w="175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84.6</w:t>
            </w:r>
          </w:p>
        </w:tc>
        <w:tc>
          <w:tcPr>
            <w:tcW w:w="5012" w:type="dxa"/>
            <w:tcBorders>
              <w:top w:val="nil"/>
              <w:left w:val="nil"/>
              <w:bottom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工程项目款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15" w:type="dxa"/>
            <w:left w:w="15" w:type="dxa"/>
            <w:bottom w:w="15" w:type="dxa"/>
            <w:right w:w="15" w:type="dxa"/>
          </w:tblCellMar>
        </w:tblPrEx>
        <w:trPr>
          <w:trHeight w:val="960" w:hRule="atLeast"/>
        </w:trPr>
        <w:tc>
          <w:tcPr>
            <w:tcW w:w="1970" w:type="dxa"/>
            <w:tcBorders>
              <w:top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rPr>
                <w:rFonts w:hint="default"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支付工程其他款项</w:t>
            </w:r>
          </w:p>
        </w:tc>
        <w:tc>
          <w:tcPr>
            <w:tcW w:w="175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12.752</w:t>
            </w:r>
          </w:p>
        </w:tc>
        <w:tc>
          <w:tcPr>
            <w:tcW w:w="5012" w:type="dxa"/>
            <w:tcBorders>
              <w:top w:val="nil"/>
              <w:left w:val="nil"/>
              <w:bottom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招标代理服务费 2</w:t>
            </w:r>
          </w:p>
          <w:p>
            <w:pPr>
              <w:keepNext w:val="0"/>
              <w:keepLines w:val="0"/>
              <w:pageBreakBefore w:val="0"/>
              <w:shd w:val="clear"/>
              <w:kinsoku/>
              <w:wordWrap/>
              <w:overflowPunct/>
              <w:topLinePunct w:val="0"/>
              <w:bidi w:val="0"/>
              <w:spacing w:line="480" w:lineRule="exact"/>
              <w:ind w:left="559" w:leftChars="266" w:firstLine="0" w:firstLineChars="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付2021年雪亮工程款2022年运维费10.752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FFFFFF"/>
          <w:tblCellMar>
            <w:top w:w="15" w:type="dxa"/>
            <w:left w:w="15" w:type="dxa"/>
            <w:bottom w:w="15" w:type="dxa"/>
            <w:right w:w="15" w:type="dxa"/>
          </w:tblCellMar>
        </w:tblPrEx>
        <w:trPr>
          <w:trHeight w:val="702" w:hRule="atLeast"/>
        </w:trPr>
        <w:tc>
          <w:tcPr>
            <w:tcW w:w="1970" w:type="dxa"/>
            <w:tcBorders>
              <w:top w:val="nil"/>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2" w:firstLineChars="200"/>
              <w:rPr>
                <w:rFonts w:hint="eastAsia" w:ascii="仿宋" w:hAnsi="仿宋" w:eastAsia="仿宋" w:cs="仿宋"/>
                <w:b/>
                <w:bCs/>
                <w:kern w:val="2"/>
                <w:sz w:val="28"/>
                <w:szCs w:val="28"/>
                <w:shd w:val="clear" w:color="auto" w:fill="auto"/>
                <w:lang w:val="en-US" w:eastAsia="zh-CN" w:bidi="ar-SA"/>
              </w:rPr>
            </w:pPr>
            <w:r>
              <w:rPr>
                <w:rFonts w:hint="eastAsia" w:ascii="仿宋" w:hAnsi="仿宋" w:eastAsia="仿宋" w:cs="仿宋"/>
                <w:b/>
                <w:bCs/>
                <w:kern w:val="2"/>
                <w:sz w:val="28"/>
                <w:szCs w:val="28"/>
                <w:shd w:val="clear" w:color="auto" w:fill="auto"/>
                <w:lang w:val="en-US" w:eastAsia="zh-CN" w:bidi="ar-SA"/>
              </w:rPr>
              <w:t>合计</w:t>
            </w:r>
          </w:p>
        </w:tc>
        <w:tc>
          <w:tcPr>
            <w:tcW w:w="1751" w:type="dxa"/>
            <w:tcBorders>
              <w:top w:val="nil"/>
              <w:left w:val="nil"/>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97.352</w:t>
            </w:r>
          </w:p>
        </w:tc>
        <w:tc>
          <w:tcPr>
            <w:tcW w:w="5012" w:type="dxa"/>
            <w:tcBorders>
              <w:top w:val="nil"/>
              <w:left w:val="nil"/>
            </w:tcBorders>
            <w:shd w:val="clear" w:color="auto" w:fill="auto"/>
            <w:noWrap w:val="0"/>
            <w:tcMar>
              <w:top w:w="0" w:type="dxa"/>
              <w:left w:w="105" w:type="dxa"/>
              <w:bottom w:w="0" w:type="dxa"/>
              <w:right w:w="105" w:type="dxa"/>
            </w:tcMar>
            <w:vAlign w:val="center"/>
          </w:tcPr>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p>
        </w:tc>
      </w:tr>
    </w:tbl>
    <w:p>
      <w:pPr>
        <w:keepNext w:val="0"/>
        <w:keepLines w:val="0"/>
        <w:pageBreakBefore w:val="0"/>
        <w:shd w:val="clear"/>
        <w:kinsoku/>
        <w:wordWrap/>
        <w:overflowPunct/>
        <w:topLinePunct w:val="0"/>
        <w:bidi w:val="0"/>
        <w:spacing w:line="480" w:lineRule="exact"/>
        <w:ind w:firstLine="562" w:firstLineChars="200"/>
        <w:rPr>
          <w:rFonts w:hint="default"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（三）</w:t>
      </w:r>
      <w:r>
        <w:rPr>
          <w:rFonts w:hint="default" w:ascii="仿宋" w:hAnsi="仿宋" w:eastAsia="仿宋" w:cs="仿宋"/>
          <w:b/>
          <w:bCs/>
          <w:spacing w:val="0"/>
          <w:kern w:val="2"/>
          <w:sz w:val="28"/>
          <w:szCs w:val="28"/>
          <w:lang w:val="en-US" w:eastAsia="zh-CN" w:bidi="ar-SA"/>
        </w:rPr>
        <w:t>项目资金管理情况分析</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“雪亮工程”建设项目投入资金主要来源于北塔区财政，设立专门科目，实行专项管理，据实结算。</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2022年7月1日财政局拨付155万项目建设资金，截至到2022年12月31日，实际使用86.6万元，预算执行率为55.87%，截至2023年6月30日实际使用128.90万元，预算执行率83.16%。</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三、项目组织实施情况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w:t>
      </w:r>
      <w:r>
        <w:rPr>
          <w:rFonts w:hint="default" w:ascii="仿宋" w:hAnsi="仿宋" w:eastAsia="仿宋" w:cs="仿宋"/>
          <w:b/>
          <w:bCs/>
          <w:sz w:val="28"/>
          <w:szCs w:val="28"/>
          <w:lang w:val="en-US" w:eastAsia="zh-CN"/>
        </w:rPr>
        <w:t>项目管理情况</w:t>
      </w:r>
    </w:p>
    <w:p>
      <w:pPr>
        <w:keepNext w:val="0"/>
        <w:keepLines w:val="0"/>
        <w:pageBreakBefore w:val="0"/>
        <w:shd w:val="clear"/>
        <w:kinsoku/>
        <w:wordWrap/>
        <w:overflowPunct/>
        <w:topLinePunct w:val="0"/>
        <w:bidi w:val="0"/>
        <w:spacing w:line="480" w:lineRule="exact"/>
        <w:ind w:firstLine="562"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b/>
          <w:bCs/>
          <w:sz w:val="28"/>
          <w:szCs w:val="28"/>
          <w:shd w:val="clear" w:color="auto" w:fill="auto"/>
          <w:lang w:val="en-US" w:eastAsia="zh-CN"/>
        </w:rPr>
        <w:t>1.建设期项目施工组织管理</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为加强项目建设管理和保证项目顺利实施，本项目成立了专门的项目建设管理领导小组，具体负责项目的组织领导和各项管理，以确保项目的顺利实施。</w:t>
      </w:r>
    </w:p>
    <w:p>
      <w:pPr>
        <w:keepNext w:val="0"/>
        <w:keepLines w:val="0"/>
        <w:pageBreakBefore w:val="0"/>
        <w:shd w:val="clear"/>
        <w:kinsoku/>
        <w:wordWrap/>
        <w:overflowPunct/>
        <w:topLinePunct w:val="0"/>
        <w:bidi w:val="0"/>
        <w:spacing w:line="480" w:lineRule="exact"/>
        <w:ind w:firstLine="562"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b/>
          <w:bCs/>
          <w:sz w:val="28"/>
          <w:szCs w:val="28"/>
          <w:shd w:val="clear" w:color="auto" w:fill="auto"/>
          <w:lang w:val="en-US" w:eastAsia="zh-CN"/>
        </w:rPr>
        <w:t>2.项目管理措施</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在项目建设管理中，严格执行国家建设资金管理、工程招投标制和工程监理制等规定，并接受国家、地方有关部门的监督、审计、稽查。该项目属于区重点建设项目，项目实施严格按照《北塔区重点项目管理办法（试行）》执行。保证项目工作规范化、正规化，顺利完成项目建设任务。</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（二）项目组织实施情况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1.</w:t>
      </w:r>
      <w:r>
        <w:rPr>
          <w:rFonts w:hint="default" w:ascii="仿宋" w:hAnsi="仿宋" w:eastAsia="仿宋" w:cs="仿宋"/>
          <w:b/>
          <w:bCs/>
          <w:sz w:val="28"/>
          <w:szCs w:val="28"/>
          <w:shd w:val="clear" w:color="auto" w:fill="auto"/>
          <w:lang w:val="en-US" w:eastAsia="zh-CN"/>
        </w:rPr>
        <w:t>方案制定阶段(2022年3月)</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结合我区实际制定出台建设方案，明确目标任务、实施步骤、保障措施，明确责任分工和责任人。</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2.</w:t>
      </w:r>
      <w:r>
        <w:rPr>
          <w:rFonts w:hint="default" w:ascii="仿宋" w:hAnsi="仿宋" w:eastAsia="仿宋" w:cs="仿宋"/>
          <w:b/>
          <w:bCs/>
          <w:sz w:val="28"/>
          <w:szCs w:val="28"/>
          <w:shd w:val="clear" w:color="auto" w:fill="auto"/>
          <w:lang w:val="en-US" w:eastAsia="zh-CN"/>
        </w:rPr>
        <w:t>项目准备阶段(2022年4月至6月)</w:t>
      </w:r>
    </w:p>
    <w:p>
      <w:pPr>
        <w:keepNext w:val="0"/>
        <w:keepLines w:val="0"/>
        <w:pageBreakBefore w:val="0"/>
        <w:numPr>
          <w:ilvl w:val="0"/>
          <w:numId w:val="0"/>
        </w:numPr>
        <w:shd w:val="clear"/>
        <w:kinsoku/>
        <w:wordWrap/>
        <w:overflowPunct/>
        <w:topLinePunct w:val="0"/>
        <w:bidi w:val="0"/>
        <w:spacing w:line="480" w:lineRule="exact"/>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根据上级部署安排，在4月20前完成项目立项，5月20日前完成财政评审，6月20日前完成招投标、</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3.</w:t>
      </w:r>
      <w:r>
        <w:rPr>
          <w:rFonts w:hint="default" w:ascii="仿宋" w:hAnsi="仿宋" w:eastAsia="仿宋" w:cs="仿宋"/>
          <w:b/>
          <w:bCs/>
          <w:sz w:val="28"/>
          <w:szCs w:val="28"/>
          <w:shd w:val="clear" w:color="auto" w:fill="auto"/>
          <w:lang w:val="en-US" w:eastAsia="zh-CN"/>
        </w:rPr>
        <w:t>项目施工阶段(2022年7月至9月)</w:t>
      </w:r>
    </w:p>
    <w:p>
      <w:pPr>
        <w:keepNext w:val="0"/>
        <w:keepLines w:val="0"/>
        <w:pageBreakBefore w:val="0"/>
        <w:numPr>
          <w:ilvl w:val="0"/>
          <w:numId w:val="0"/>
        </w:numPr>
        <w:shd w:val="clear"/>
        <w:kinsoku/>
        <w:wordWrap/>
        <w:overflowPunct/>
        <w:topLinePunct w:val="0"/>
        <w:bidi w:val="0"/>
        <w:spacing w:line="480" w:lineRule="exact"/>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按照项目招投标文件及合同，有序推进项目建设施工，各责任单位要积极协调解决项目实施中的矛盾和问题，严格质量监管和安全管理，确保9月20日前完成全部建设任务。</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4.</w:t>
      </w:r>
      <w:r>
        <w:rPr>
          <w:rFonts w:hint="default" w:ascii="仿宋" w:hAnsi="仿宋" w:eastAsia="仿宋" w:cs="仿宋"/>
          <w:b/>
          <w:bCs/>
          <w:sz w:val="28"/>
          <w:szCs w:val="28"/>
          <w:shd w:val="clear" w:color="auto" w:fill="auto"/>
          <w:lang w:val="en-US" w:eastAsia="zh-CN"/>
        </w:rPr>
        <w:t>检查验收阶段(2022年10月至11月)</w:t>
      </w:r>
    </w:p>
    <w:p>
      <w:pPr>
        <w:keepNext w:val="0"/>
        <w:keepLines w:val="0"/>
        <w:pageBreakBefore w:val="0"/>
        <w:numPr>
          <w:ilvl w:val="0"/>
          <w:numId w:val="0"/>
        </w:numPr>
        <w:shd w:val="clear"/>
        <w:kinsoku/>
        <w:wordWrap/>
        <w:overflowPunct/>
        <w:topLinePunct w:val="0"/>
        <w:bidi w:val="0"/>
        <w:spacing w:line="480" w:lineRule="exact"/>
        <w:ind w:firstLine="560" w:firstLineChars="200"/>
        <w:rPr>
          <w:rFonts w:hint="eastAsia" w:ascii="宋体" w:hAnsi="宋体" w:eastAsia="宋体" w:cs="宋体"/>
          <w:b/>
          <w:bCs/>
          <w:sz w:val="28"/>
          <w:szCs w:val="28"/>
        </w:rPr>
      </w:pPr>
      <w:r>
        <w:rPr>
          <w:rFonts w:hint="default" w:ascii="仿宋" w:hAnsi="仿宋" w:eastAsia="仿宋" w:cs="仿宋"/>
          <w:kern w:val="2"/>
          <w:sz w:val="28"/>
          <w:szCs w:val="28"/>
          <w:shd w:val="clear" w:color="auto" w:fill="auto"/>
          <w:lang w:val="en-US" w:eastAsia="zh-CN" w:bidi="ar-SA"/>
        </w:rPr>
        <w:t>照上级下达的建设任务及标准对项目进行检查验收、对项目建设进行全面总结，同时加强宣传报道，扩大民生实事影响。</w:t>
      </w:r>
    </w:p>
    <w:p>
      <w:pPr>
        <w:keepNext w:val="0"/>
        <w:keepLines w:val="0"/>
        <w:pageBreakBefore w:val="0"/>
        <w:shd w:val="clea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、绩效评价工作情况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cs="仿宋"/>
          <w:b/>
          <w:bCs/>
          <w:color w:val="000000"/>
          <w:sz w:val="28"/>
          <w:szCs w:val="28"/>
          <w:shd w:val="clear" w:color="auto" w:fill="auto"/>
          <w:lang w:val="en-US" w:eastAsia="zh-CN"/>
        </w:rPr>
      </w:pPr>
      <w:r>
        <w:rPr>
          <w:rFonts w:hint="eastAsia" w:cs="仿宋"/>
          <w:b/>
          <w:bCs/>
          <w:color w:val="000000"/>
          <w:sz w:val="28"/>
          <w:szCs w:val="28"/>
          <w:shd w:val="clear" w:color="auto" w:fill="auto"/>
          <w:lang w:val="en-US" w:eastAsia="zh-CN"/>
        </w:rPr>
        <w:t>（一）绩效评价目的、评价对象与范围</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shd w:val="clear" w:color="auto" w:fill="auto"/>
          <w:lang w:val="en-US" w:eastAsia="zh-CN"/>
        </w:rPr>
      </w:pPr>
      <w:r>
        <w:rPr>
          <w:rFonts w:hint="default" w:ascii="仿宋" w:hAnsi="仿宋" w:eastAsia="仿宋" w:cs="仿宋"/>
          <w:b/>
          <w:bCs/>
          <w:sz w:val="28"/>
          <w:szCs w:val="28"/>
          <w:shd w:val="clear" w:color="auto" w:fill="auto"/>
          <w:lang w:val="en-US" w:eastAsia="zh-CN"/>
        </w:rPr>
        <w:t>1</w:t>
      </w:r>
      <w:r>
        <w:rPr>
          <w:rFonts w:hint="eastAsia" w:ascii="仿宋" w:hAnsi="仿宋" w:eastAsia="仿宋" w:cs="仿宋"/>
          <w:b/>
          <w:bCs/>
          <w:sz w:val="28"/>
          <w:szCs w:val="28"/>
          <w:shd w:val="clear" w:color="auto" w:fill="auto"/>
          <w:lang w:val="en-US" w:eastAsia="zh-CN"/>
        </w:rPr>
        <w:t>.绩效评价目的</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本次绩效评价的目的在于全面了解</w:t>
      </w:r>
      <w:r>
        <w:rPr>
          <w:rFonts w:hint="eastAsia" w:ascii="仿宋" w:hAnsi="仿宋" w:eastAsia="仿宋" w:cs="仿宋"/>
          <w:kern w:val="2"/>
          <w:sz w:val="28"/>
          <w:szCs w:val="28"/>
          <w:shd w:val="clear" w:color="auto" w:fill="auto"/>
          <w:lang w:val="en-US" w:eastAsia="zh-CN" w:bidi="ar-SA"/>
        </w:rPr>
        <w:t>北塔区2022年度</w:t>
      </w:r>
      <w:r>
        <w:rPr>
          <w:rFonts w:hint="default" w:ascii="仿宋" w:hAnsi="仿宋" w:eastAsia="仿宋" w:cs="仿宋"/>
          <w:kern w:val="2"/>
          <w:sz w:val="28"/>
          <w:szCs w:val="28"/>
          <w:shd w:val="clear" w:color="auto" w:fill="auto"/>
          <w:lang w:val="en-US" w:eastAsia="zh-CN" w:bidi="ar-SA"/>
        </w:rPr>
        <w:t>重点民生实事“雪亮工程”建设</w:t>
      </w:r>
      <w:r>
        <w:rPr>
          <w:rFonts w:hint="eastAsia" w:ascii="仿宋" w:hAnsi="仿宋" w:eastAsia="仿宋" w:cs="仿宋"/>
          <w:kern w:val="2"/>
          <w:sz w:val="28"/>
          <w:szCs w:val="28"/>
          <w:shd w:val="clear" w:color="auto" w:fill="auto"/>
          <w:lang w:val="en-US" w:eastAsia="zh-CN" w:bidi="ar-SA"/>
        </w:rPr>
        <w:t>项目</w:t>
      </w:r>
      <w:r>
        <w:rPr>
          <w:rFonts w:hint="default" w:ascii="仿宋" w:hAnsi="仿宋" w:eastAsia="仿宋" w:cs="仿宋"/>
          <w:kern w:val="2"/>
          <w:sz w:val="28"/>
          <w:szCs w:val="28"/>
          <w:shd w:val="clear" w:color="auto" w:fill="auto"/>
          <w:lang w:val="en-US" w:eastAsia="zh-CN" w:bidi="ar-SA"/>
        </w:rPr>
        <w:t>支出是否规范、产出目标是否完成，效果目标是否实现等方面的内容，总结经验，查找不足，为项目在以后年度的开展提供可行性参考建议。在此基础上，重点分析项目预算编制的合理性、预算支出的规范性和控制有效性，以评价财政资金的使用效率和效果，从而加强和规范</w:t>
      </w:r>
      <w:r>
        <w:rPr>
          <w:rFonts w:hint="eastAsia" w:ascii="仿宋" w:hAnsi="仿宋" w:eastAsia="仿宋" w:cs="仿宋"/>
          <w:kern w:val="2"/>
          <w:sz w:val="28"/>
          <w:szCs w:val="28"/>
          <w:shd w:val="clear" w:color="auto" w:fill="auto"/>
          <w:lang w:val="en-US" w:eastAsia="zh-CN" w:bidi="ar-SA"/>
        </w:rPr>
        <w:t>XX区</w:t>
      </w:r>
      <w:r>
        <w:rPr>
          <w:rFonts w:hint="default" w:ascii="仿宋" w:hAnsi="仿宋" w:eastAsia="仿宋" w:cs="仿宋"/>
          <w:kern w:val="2"/>
          <w:sz w:val="28"/>
          <w:szCs w:val="28"/>
          <w:shd w:val="clear" w:color="auto" w:fill="auto"/>
          <w:lang w:val="en-US" w:eastAsia="zh-CN" w:bidi="ar-SA"/>
        </w:rPr>
        <w:t>财政部门预算管理工作，提高财政资金使用效益。</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shd w:val="clear" w:color="auto" w:fill="auto"/>
          <w:lang w:val="en-US" w:eastAsia="zh-CN"/>
        </w:rPr>
      </w:pPr>
      <w:r>
        <w:rPr>
          <w:rFonts w:hint="eastAsia" w:ascii="仿宋" w:hAnsi="仿宋" w:eastAsia="仿宋" w:cs="仿宋"/>
          <w:b/>
          <w:bCs/>
          <w:sz w:val="28"/>
          <w:szCs w:val="28"/>
          <w:shd w:val="clear" w:color="auto" w:fill="auto"/>
          <w:lang w:val="en-US" w:eastAsia="zh-CN"/>
        </w:rPr>
        <w:t>2.</w:t>
      </w:r>
      <w:r>
        <w:rPr>
          <w:rFonts w:hint="default" w:ascii="仿宋" w:hAnsi="仿宋" w:eastAsia="仿宋" w:cs="仿宋"/>
          <w:b/>
          <w:bCs/>
          <w:sz w:val="28"/>
          <w:szCs w:val="28"/>
          <w:shd w:val="clear" w:color="auto" w:fill="auto"/>
          <w:lang w:val="en-US" w:eastAsia="zh-CN"/>
        </w:rPr>
        <w:t>评价对象与范围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本次绩效评价对象为2022年</w:t>
      </w:r>
      <w:r>
        <w:rPr>
          <w:rFonts w:hint="eastAsia" w:ascii="仿宋" w:hAnsi="仿宋" w:eastAsia="仿宋" w:cs="仿宋"/>
          <w:kern w:val="2"/>
          <w:sz w:val="28"/>
          <w:szCs w:val="28"/>
          <w:shd w:val="clear" w:color="auto" w:fill="auto"/>
          <w:lang w:val="en-US" w:eastAsia="zh-CN" w:bidi="ar-SA"/>
        </w:rPr>
        <w:t>度</w:t>
      </w:r>
      <w:r>
        <w:rPr>
          <w:rFonts w:hint="default" w:ascii="仿宋" w:hAnsi="仿宋" w:eastAsia="仿宋" w:cs="仿宋"/>
          <w:kern w:val="2"/>
          <w:sz w:val="28"/>
          <w:szCs w:val="28"/>
          <w:shd w:val="clear" w:color="auto" w:fill="auto"/>
          <w:lang w:val="en-US" w:eastAsia="zh-CN" w:bidi="ar-SA"/>
        </w:rPr>
        <w:t>重点民生实事“雪亮工程”建设</w:t>
      </w:r>
      <w:r>
        <w:rPr>
          <w:rFonts w:hint="eastAsia" w:ascii="仿宋" w:hAnsi="仿宋" w:eastAsia="仿宋" w:cs="仿宋"/>
          <w:kern w:val="2"/>
          <w:sz w:val="28"/>
          <w:szCs w:val="28"/>
          <w:shd w:val="clear" w:color="auto" w:fill="auto"/>
          <w:lang w:val="en-US" w:eastAsia="zh-CN" w:bidi="ar-SA"/>
        </w:rPr>
        <w:t>项目</w:t>
      </w:r>
      <w:r>
        <w:rPr>
          <w:rFonts w:hint="default" w:ascii="仿宋" w:hAnsi="仿宋" w:eastAsia="仿宋" w:cs="仿宋"/>
          <w:kern w:val="2"/>
          <w:sz w:val="28"/>
          <w:szCs w:val="28"/>
          <w:shd w:val="clear" w:color="auto" w:fill="auto"/>
          <w:lang w:val="en-US" w:eastAsia="zh-CN" w:bidi="ar-SA"/>
        </w:rPr>
        <w:t>。</w:t>
      </w:r>
      <w:r>
        <w:rPr>
          <w:rFonts w:hint="eastAsia" w:ascii="仿宋" w:hAnsi="仿宋" w:eastAsia="仿宋" w:cs="仿宋"/>
          <w:kern w:val="2"/>
          <w:sz w:val="28"/>
          <w:szCs w:val="28"/>
          <w:shd w:val="clear" w:color="auto" w:fill="auto"/>
          <w:lang w:val="en-US" w:eastAsia="zh-CN" w:bidi="ar-SA"/>
        </w:rPr>
        <w:t>评价范围为</w:t>
      </w:r>
      <w:r>
        <w:rPr>
          <w:rFonts w:hint="default" w:ascii="仿宋" w:hAnsi="仿宋" w:eastAsia="仿宋" w:cs="仿宋"/>
          <w:kern w:val="2"/>
          <w:sz w:val="28"/>
          <w:szCs w:val="28"/>
          <w:shd w:val="clear" w:color="auto" w:fill="auto"/>
          <w:lang w:val="en-US" w:eastAsia="zh-CN" w:bidi="ar-SA"/>
        </w:rPr>
        <w:t>2022年</w:t>
      </w:r>
      <w:r>
        <w:rPr>
          <w:rFonts w:hint="eastAsia" w:ascii="仿宋" w:hAnsi="仿宋" w:eastAsia="仿宋" w:cs="仿宋"/>
          <w:kern w:val="2"/>
          <w:sz w:val="28"/>
          <w:szCs w:val="28"/>
          <w:shd w:val="clear" w:color="auto" w:fill="auto"/>
          <w:lang w:val="en-US" w:eastAsia="zh-CN" w:bidi="ar-SA"/>
        </w:rPr>
        <w:t>度</w:t>
      </w:r>
      <w:r>
        <w:rPr>
          <w:rFonts w:hint="default" w:ascii="仿宋" w:hAnsi="仿宋" w:eastAsia="仿宋" w:cs="仿宋"/>
          <w:kern w:val="2"/>
          <w:sz w:val="28"/>
          <w:szCs w:val="28"/>
          <w:shd w:val="clear" w:color="auto" w:fill="auto"/>
          <w:lang w:val="en-US" w:eastAsia="zh-CN" w:bidi="ar-SA"/>
        </w:rPr>
        <w:t>重点民生实事“雪亮工程”建设</w:t>
      </w:r>
      <w:r>
        <w:rPr>
          <w:rFonts w:hint="eastAsia" w:ascii="仿宋" w:hAnsi="仿宋" w:eastAsia="仿宋" w:cs="仿宋"/>
          <w:kern w:val="2"/>
          <w:sz w:val="28"/>
          <w:szCs w:val="28"/>
          <w:shd w:val="clear" w:color="auto" w:fill="auto"/>
          <w:lang w:val="en-US" w:eastAsia="zh-CN" w:bidi="ar-SA"/>
        </w:rPr>
        <w:t>项目涉及资金155万元。</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cs="仿宋"/>
          <w:b/>
          <w:bCs/>
          <w:color w:val="000000"/>
          <w:sz w:val="28"/>
          <w:szCs w:val="28"/>
          <w:shd w:val="clear" w:color="auto" w:fill="auto"/>
          <w:lang w:val="en-US" w:eastAsia="zh-CN"/>
        </w:rPr>
      </w:pPr>
      <w:r>
        <w:rPr>
          <w:rFonts w:hint="default" w:cs="仿宋"/>
          <w:b/>
          <w:bCs/>
          <w:color w:val="000000"/>
          <w:sz w:val="28"/>
          <w:szCs w:val="28"/>
          <w:shd w:val="clear" w:color="auto" w:fill="auto"/>
          <w:lang w:val="en-US" w:eastAsia="zh-CN"/>
        </w:rPr>
        <w:t>（二）绩效评价原则、指标体系及评价标准等</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default" w:ascii="仿宋" w:hAnsi="仿宋" w:eastAsia="仿宋" w:cs="仿宋"/>
          <w:b/>
          <w:bCs/>
          <w:sz w:val="28"/>
          <w:szCs w:val="28"/>
          <w:lang w:val="en-US" w:eastAsia="zh-CN"/>
        </w:rPr>
        <w:t>1.绩效评价指标体系设计的原则</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项目支出绩效评价指标应当是多层次体系，能够衡量该项目的经济性、效率性、效果性等综合绩效，将描述项目实施结果的常规静态指标和反映实施动态过程指标相结合。</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default" w:ascii="仿宋" w:hAnsi="仿宋" w:eastAsia="仿宋" w:cs="仿宋"/>
          <w:b/>
          <w:bCs/>
          <w:sz w:val="28"/>
          <w:szCs w:val="28"/>
          <w:lang w:val="en-US" w:eastAsia="zh-CN"/>
        </w:rPr>
        <w:t>2.评价指标体系和评价标准</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预算绩效管理相关文件。主要包括《中共中央国务院关于全面实施预算绩效管理的意见》（中发〔2018〕34号）、财政部《项目支出绩效评价管理办法》（财预〔2020〕10号）、《中共湖南省委办公厅 湖南省人民政府办公厅关于全面实施预算绩效管理的实施意见》（湘办发〔2019〕10号）、《湖南省财政厅关于印发&lt;湖南省预算支出绩效评价管理办法&gt;的通知》（湘财绩〔2020〕7号）等相关文件要求，结合专项特点，在指标分数权重设置时综合考虑专项实施周期等因素，评价机构与委托方、专项管理部门、项目依托单位共同研究并细化了该项目评价指标体系。</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本次绩效评价总分值为100分，具体包括：决策（20分）、过程（</w:t>
      </w:r>
      <w:r>
        <w:rPr>
          <w:rFonts w:hint="default" w:ascii="仿宋" w:hAnsi="仿宋" w:eastAsia="仿宋" w:cs="仿宋"/>
          <w:sz w:val="28"/>
          <w:szCs w:val="28"/>
          <w:lang w:val="en-US" w:eastAsia="zh-CN"/>
        </w:rPr>
        <w:t>30</w:t>
      </w:r>
      <w:r>
        <w:rPr>
          <w:rFonts w:hint="eastAsia" w:ascii="仿宋" w:hAnsi="仿宋" w:eastAsia="仿宋" w:cs="仿宋"/>
          <w:sz w:val="28"/>
          <w:szCs w:val="28"/>
          <w:lang w:val="en-US" w:eastAsia="zh-CN"/>
        </w:rPr>
        <w:t>分）、产出（</w:t>
      </w:r>
      <w:r>
        <w:rPr>
          <w:rFonts w:hint="default" w:ascii="仿宋" w:hAnsi="仿宋" w:eastAsia="仿宋" w:cs="仿宋"/>
          <w:sz w:val="28"/>
          <w:szCs w:val="28"/>
          <w:lang w:val="en-US" w:eastAsia="zh-CN"/>
        </w:rPr>
        <w:t>20</w:t>
      </w:r>
      <w:r>
        <w:rPr>
          <w:rFonts w:hint="eastAsia" w:ascii="仿宋" w:hAnsi="仿宋" w:eastAsia="仿宋" w:cs="仿宋"/>
          <w:sz w:val="28"/>
          <w:szCs w:val="28"/>
          <w:lang w:val="en-US" w:eastAsia="zh-CN"/>
        </w:rPr>
        <w:t>分）、效益（</w:t>
      </w:r>
      <w:r>
        <w:rPr>
          <w:rFonts w:hint="default" w:ascii="仿宋" w:hAnsi="仿宋" w:eastAsia="仿宋" w:cs="仿宋"/>
          <w:sz w:val="28"/>
          <w:szCs w:val="28"/>
          <w:lang w:val="en-US" w:eastAsia="zh-CN"/>
        </w:rPr>
        <w:t>30</w:t>
      </w:r>
      <w:r>
        <w:rPr>
          <w:rFonts w:hint="eastAsia" w:ascii="仿宋" w:hAnsi="仿宋" w:eastAsia="仿宋" w:cs="仿宋"/>
          <w:sz w:val="28"/>
          <w:szCs w:val="28"/>
          <w:lang w:val="en-US" w:eastAsia="zh-CN"/>
        </w:rPr>
        <w:t>分）等4个一级指标，下设</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0个二级指标、15个三级指标。</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（三）评价组织实施与评价方法</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default" w:ascii="仿宋" w:hAnsi="仿宋" w:eastAsia="仿宋" w:cs="仿宋"/>
          <w:b/>
          <w:bCs/>
          <w:sz w:val="28"/>
          <w:szCs w:val="28"/>
          <w:lang w:val="en-US" w:eastAsia="zh-CN"/>
        </w:rPr>
        <w:t>1.评价组织实施</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（1）前期准备。组建评价工作组，明确任务分工。了解项目情况，与</w:t>
      </w:r>
      <w:r>
        <w:rPr>
          <w:rFonts w:hint="eastAsia" w:ascii="仿宋" w:hAnsi="仿宋" w:eastAsia="仿宋" w:cs="仿宋"/>
          <w:b w:val="0"/>
          <w:bCs w:val="0"/>
          <w:sz w:val="28"/>
          <w:szCs w:val="28"/>
          <w:lang w:val="en-US" w:eastAsia="zh-CN"/>
        </w:rPr>
        <w:t>邵阳市公安局北塔分局</w:t>
      </w:r>
      <w:r>
        <w:rPr>
          <w:rFonts w:hint="default" w:ascii="仿宋" w:hAnsi="仿宋" w:eastAsia="仿宋" w:cs="仿宋"/>
          <w:b w:val="0"/>
          <w:bCs w:val="0"/>
          <w:sz w:val="28"/>
          <w:szCs w:val="28"/>
          <w:lang w:val="en-US" w:eastAsia="zh-CN"/>
        </w:rPr>
        <w:t>进行项目沟通。收集、整理分析项目资料。设计绩效评价指标体系，明确评价思路、评价重点、调研安排、工作流程等内容。</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（2）组织实施。评价工作组按照评价工作流程，检查</w:t>
      </w:r>
      <w:r>
        <w:rPr>
          <w:rFonts w:hint="eastAsia" w:cs="仿宋"/>
          <w:b w:val="0"/>
          <w:bCs w:val="0"/>
          <w:sz w:val="28"/>
          <w:szCs w:val="28"/>
          <w:lang w:val="en-US" w:eastAsia="zh-CN"/>
        </w:rPr>
        <w:t>郴</w:t>
      </w:r>
      <w:r>
        <w:rPr>
          <w:rFonts w:hint="eastAsia" w:ascii="仿宋" w:hAnsi="仿宋" w:eastAsia="仿宋" w:cs="仿宋"/>
          <w:b w:val="0"/>
          <w:bCs w:val="0"/>
          <w:sz w:val="28"/>
          <w:szCs w:val="28"/>
          <w:lang w:val="en-US" w:eastAsia="zh-CN"/>
        </w:rPr>
        <w:t>邵阳市公安局北塔分局</w:t>
      </w:r>
      <w:r>
        <w:rPr>
          <w:rFonts w:hint="default" w:ascii="仿宋" w:hAnsi="仿宋" w:eastAsia="仿宋" w:cs="仿宋"/>
          <w:b w:val="0"/>
          <w:bCs w:val="0"/>
          <w:sz w:val="28"/>
          <w:szCs w:val="28"/>
          <w:lang w:val="en-US" w:eastAsia="zh-CN"/>
        </w:rPr>
        <w:t>财务管理制度、资金支付流程等方面的合规性。向项目单位发放数据采集表，由相关人员进行填写，并交由绩效评价工作组收集汇总，并对填报数据进行抽样复核，确保数据准确性。</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（3）分析评价。评价工作组根据现场调研情况，结合数据资料分析和单位意见征询等，对项目决策、过程、产出和效益情况进行综合分析，形成初步结论。根据反馈意见进行修改，形成绩效评价报告。</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2.评价方法</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default" w:ascii="仿宋" w:hAnsi="仿宋" w:eastAsia="仿宋" w:cs="仿宋"/>
          <w:b w:val="0"/>
          <w:bCs w:val="0"/>
          <w:sz w:val="28"/>
          <w:szCs w:val="28"/>
          <w:lang w:val="en-US" w:eastAsia="zh-CN"/>
        </w:rPr>
        <w:t>数据填报和采集</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2023年11月，审计组就所需采集的数据与</w:t>
      </w:r>
      <w:r>
        <w:rPr>
          <w:rFonts w:hint="eastAsia" w:ascii="仿宋" w:hAnsi="仿宋" w:eastAsia="仿宋" w:cs="仿宋"/>
          <w:b w:val="0"/>
          <w:bCs w:val="0"/>
          <w:sz w:val="28"/>
          <w:szCs w:val="28"/>
          <w:lang w:val="en-US" w:eastAsia="zh-CN"/>
        </w:rPr>
        <w:t>北塔区公安局的工作人员</w:t>
      </w:r>
      <w:r>
        <w:rPr>
          <w:rFonts w:hint="default" w:ascii="仿宋" w:hAnsi="仿宋" w:eastAsia="仿宋" w:cs="仿宋"/>
          <w:b w:val="0"/>
          <w:bCs w:val="0"/>
          <w:sz w:val="28"/>
          <w:szCs w:val="28"/>
          <w:lang w:val="en-US" w:eastAsia="zh-CN"/>
        </w:rPr>
        <w:t>进行沟通，并收集项目资金使用情况、目标完成情况、项目管理制度与执行情况及项目能力建设情况等相关资料，所有数据经核查后汇总，形成基础数据表。</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r>
        <w:rPr>
          <w:rFonts w:hint="default" w:ascii="仿宋" w:hAnsi="仿宋" w:eastAsia="仿宋" w:cs="仿宋"/>
          <w:b w:val="0"/>
          <w:bCs w:val="0"/>
          <w:sz w:val="28"/>
          <w:szCs w:val="28"/>
          <w:lang w:val="en-US" w:eastAsia="zh-CN"/>
        </w:rPr>
        <w:t>社会调查</w:t>
      </w:r>
    </w:p>
    <w:p>
      <w:pPr>
        <w:keepNext w:val="0"/>
        <w:keepLines w:val="0"/>
        <w:pageBreakBefore w:val="0"/>
        <w:widowControl w:val="0"/>
        <w:shd w:val="clear"/>
        <w:kinsoku/>
        <w:wordWrap/>
        <w:overflowPunct/>
        <w:topLinePunct w:val="0"/>
        <w:autoSpaceDE/>
        <w:autoSpaceDN/>
        <w:bidi w:val="0"/>
        <w:adjustRightInd/>
        <w:snapToGrid/>
        <w:spacing w:line="540" w:lineRule="exact"/>
        <w:ind w:firstLine="560" w:firstLineChars="200"/>
        <w:textAlignment w:val="auto"/>
        <w:rPr>
          <w:rFonts w:hint="default"/>
          <w:lang w:val="en-US" w:eastAsia="zh-CN"/>
        </w:rPr>
      </w:pPr>
      <w:r>
        <w:rPr>
          <w:rFonts w:hint="default" w:ascii="仿宋" w:hAnsi="仿宋" w:eastAsia="仿宋" w:cs="仿宋"/>
          <w:b w:val="0"/>
          <w:bCs w:val="0"/>
          <w:sz w:val="28"/>
          <w:szCs w:val="28"/>
          <w:lang w:val="en-US" w:eastAsia="zh-CN"/>
        </w:rPr>
        <w:t>根据工作方案中确定的调查对象、调查内容和抽样方式，2023年11月，项目组以问卷调查的形式对工程范围内的</w:t>
      </w:r>
      <w:r>
        <w:rPr>
          <w:rFonts w:hint="eastAsia" w:ascii="仿宋" w:hAnsi="仿宋" w:eastAsia="仿宋" w:cs="仿宋"/>
          <w:b w:val="0"/>
          <w:bCs w:val="0"/>
          <w:sz w:val="28"/>
          <w:szCs w:val="28"/>
          <w:lang w:val="en-US" w:eastAsia="zh-CN"/>
        </w:rPr>
        <w:t>居民</w:t>
      </w:r>
      <w:r>
        <w:rPr>
          <w:rFonts w:hint="default" w:ascii="仿宋" w:hAnsi="仿宋" w:eastAsia="仿宋" w:cs="仿宋"/>
          <w:b w:val="0"/>
          <w:bCs w:val="0"/>
          <w:sz w:val="28"/>
          <w:szCs w:val="28"/>
          <w:lang w:val="en-US" w:eastAsia="zh-CN"/>
        </w:rPr>
        <w:t>开展满意度调查，共发放问卷10份，实际有效回收10份，有效回收率100%。根据问卷调查结果，项目组撰写了社会调查问卷汇总分析报告。</w:t>
      </w:r>
      <w:r>
        <w:rPr>
          <w:rFonts w:hint="eastAsia" w:ascii="仿宋" w:hAnsi="仿宋" w:eastAsia="仿宋" w:cs="仿宋"/>
          <w:b w:val="0"/>
          <w:bCs w:val="0"/>
          <w:sz w:val="28"/>
          <w:szCs w:val="28"/>
          <w:lang w:val="en-US" w:eastAsia="zh-CN"/>
        </w:rPr>
        <w:t>通过询问工作人员了解了项目组织、实施管理、后期投入使用的具体情况。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四、项目效益情况</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（一）社会效益</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本项目的实施，可以提高公安机关侦查破案能力，加强社会综合治理，有效节约警力的投入。项目建成后对全市道路、路口、学校、公共场所及重点部位等监控更加全面。</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8月上旬至9月中旬梁首府、晨曦映资江等建设工地发生多起升降机电缆被盗案件，通过调取该监控侦查员获得了该系列盗窃案的重要线索。9月27日北塔分局将该系列盗窃电缆案的嫌疑人简某飞、简某抓获，获得群众一致好评。</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（二）可持续影响</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本项目的实施使全区的社会治安视频监控平台建设了一个有机整体，项目组织及运维从全区角度考虑，并充分考虑与市里对接，项目具有可持续发展性。</w:t>
      </w:r>
    </w:p>
    <w:p>
      <w:pPr>
        <w:shd w:val="clear"/>
        <w:overflowPunct w:val="0"/>
        <w:spacing w:line="600" w:lineRule="exact"/>
        <w:ind w:firstLine="562" w:firstLineChars="200"/>
        <w:rPr>
          <w:rFonts w:hint="eastAsia" w:ascii="宋体" w:hAnsi="宋体" w:eastAsia="宋体" w:cs="宋体"/>
          <w:b/>
          <w:bCs/>
          <w:sz w:val="28"/>
          <w:szCs w:val="28"/>
        </w:rPr>
      </w:pPr>
      <w:r>
        <w:rPr>
          <w:rFonts w:hint="eastAsia" w:ascii="宋体" w:hAnsi="宋体" w:eastAsia="宋体" w:cs="宋体"/>
          <w:b/>
          <w:bCs/>
          <w:spacing w:val="0"/>
          <w:kern w:val="2"/>
          <w:sz w:val="28"/>
          <w:szCs w:val="28"/>
          <w:lang w:val="en-US" w:eastAsia="zh-CN" w:bidi="ar-SA"/>
        </w:rPr>
        <w:t>五、</w:t>
      </w:r>
      <w:r>
        <w:rPr>
          <w:rFonts w:hint="eastAsia" w:ascii="宋体" w:hAnsi="宋体" w:eastAsia="宋体" w:cs="宋体"/>
          <w:b/>
          <w:bCs/>
          <w:sz w:val="28"/>
          <w:szCs w:val="28"/>
        </w:rPr>
        <w:t>综合评价情况及评价结论</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通过对各项绩效指标的综合考核评分，</w:t>
      </w:r>
      <w:r>
        <w:rPr>
          <w:rFonts w:hint="default" w:ascii="仿宋" w:hAnsi="仿宋" w:eastAsia="仿宋" w:cs="仿宋"/>
          <w:kern w:val="2"/>
          <w:sz w:val="28"/>
          <w:szCs w:val="28"/>
          <w:shd w:val="clear" w:color="auto" w:fill="auto"/>
          <w:lang w:val="en-US" w:eastAsia="zh-CN" w:bidi="ar-SA"/>
        </w:rPr>
        <w:t>2022年重点民生实事“雪亮工程”建设</w:t>
      </w:r>
      <w:r>
        <w:rPr>
          <w:rFonts w:hint="eastAsia" w:ascii="仿宋" w:hAnsi="仿宋" w:eastAsia="仿宋" w:cs="仿宋"/>
          <w:kern w:val="2"/>
          <w:sz w:val="28"/>
          <w:szCs w:val="28"/>
          <w:shd w:val="clear" w:color="auto" w:fill="auto"/>
          <w:lang w:val="en-US" w:eastAsia="zh-CN" w:bidi="ar-SA"/>
        </w:rPr>
        <w:t>项目得分为94分，评价档次为“优”。具体评分情况如下：</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shd w:val="clear" w:color="auto" w:fill="auto"/>
          <w:lang w:val="en-US" w:eastAsia="zh-CN"/>
        </w:rPr>
      </w:pPr>
      <w:bookmarkStart w:id="0" w:name="_Toc2186"/>
      <w:bookmarkStart w:id="1" w:name="_Toc20677"/>
      <w:bookmarkStart w:id="2" w:name="_Toc14642"/>
      <w:bookmarkStart w:id="3" w:name="_Toc3360"/>
      <w:bookmarkStart w:id="4" w:name="_Toc21414"/>
      <w:bookmarkStart w:id="5" w:name="_Toc1052"/>
      <w:bookmarkStart w:id="6" w:name="_Toc27519"/>
      <w:bookmarkStart w:id="7" w:name="_Toc6223"/>
      <w:bookmarkStart w:id="8" w:name="_Toc32016"/>
      <w:bookmarkStart w:id="9" w:name="_Toc12255"/>
      <w:r>
        <w:rPr>
          <w:rFonts w:hint="eastAsia" w:ascii="仿宋" w:hAnsi="仿宋" w:eastAsia="仿宋" w:cs="仿宋"/>
          <w:b/>
          <w:bCs/>
          <w:color w:val="000000"/>
          <w:sz w:val="28"/>
          <w:szCs w:val="28"/>
          <w:shd w:val="clear" w:color="auto" w:fill="auto"/>
          <w:lang w:val="en-US" w:eastAsia="zh-CN"/>
        </w:rPr>
        <w:t>（一）共性指标-决策和过程评价</w:t>
      </w:r>
      <w:bookmarkEnd w:id="0"/>
      <w:bookmarkEnd w:id="1"/>
      <w:bookmarkEnd w:id="2"/>
      <w:bookmarkEnd w:id="3"/>
      <w:bookmarkEnd w:id="4"/>
      <w:bookmarkEnd w:id="5"/>
      <w:bookmarkEnd w:id="6"/>
      <w:bookmarkEnd w:id="7"/>
      <w:bookmarkEnd w:id="8"/>
      <w:bookmarkEnd w:id="9"/>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共性指标45分，实际得分39分，扣6分。其中决策总分20分，包括项目立项、绩效目标、资金投入，实际得分为20分，未扣分；过程总分25分，包括资金管理、组织实施，实际得分为19分，扣6分。具体扣分情况如下：</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1）项目决策。项目执行率没有在100%，根据“项目预算资金是否按照计划执行，用以反映或考核项目预算执行情况”。2022年7月1日财政局拨付155万项目建设资金，截至到2022年12月31日，实际使用97.35万元，预算执行率为62.81%，扣5分。</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项目过程。项目未进行专项核算，根据“项目实施是否符合相关管理规定，用以反映和考核相关管理制度的有效执行情况。”。本项目计划6月20日前完成招投标，而在8月4日才与中国电信股份有限公司邵阳分公司签订2022年“雪亮工程”项目合同书。项目结项时，按照规定进行了竣工验收。根据《基本建设财务规则》（中华人民共和国财政部令第81号）第28条的规定，竣工价款结算一般应当在项目竣工验收后2个月内完成，大型项目一般不得超过3个月。2022年“雪亮工程”工程验收时间为2022 年12月8日，2023年3月24日才开展结算工作，扣1分。</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shd w:val="clear" w:color="auto" w:fill="auto"/>
          <w:lang w:val="en-US" w:eastAsia="zh-CN"/>
        </w:rPr>
      </w:pPr>
      <w:bookmarkStart w:id="10" w:name="_Toc23457"/>
      <w:bookmarkStart w:id="11" w:name="_Toc6160"/>
      <w:bookmarkStart w:id="12" w:name="_Toc22394"/>
      <w:bookmarkStart w:id="13" w:name="_Toc11926"/>
      <w:bookmarkStart w:id="14" w:name="_Toc25454"/>
      <w:bookmarkStart w:id="15" w:name="_Toc13736"/>
      <w:bookmarkStart w:id="16" w:name="_Toc12502"/>
      <w:bookmarkStart w:id="17" w:name="_Toc5548"/>
      <w:bookmarkStart w:id="18" w:name="_Toc16771"/>
      <w:bookmarkStart w:id="19" w:name="_Toc2100"/>
      <w:r>
        <w:rPr>
          <w:rFonts w:hint="eastAsia" w:ascii="仿宋" w:hAnsi="仿宋" w:eastAsia="仿宋" w:cs="仿宋"/>
          <w:b/>
          <w:bCs/>
          <w:color w:val="000000"/>
          <w:sz w:val="28"/>
          <w:szCs w:val="28"/>
          <w:shd w:val="clear" w:color="auto" w:fill="auto"/>
          <w:lang w:val="en-US" w:eastAsia="zh-CN"/>
        </w:rPr>
        <w:t>（二）个性指标-预算支出产出和效益评价</w:t>
      </w:r>
      <w:bookmarkEnd w:id="10"/>
      <w:bookmarkEnd w:id="11"/>
      <w:bookmarkEnd w:id="12"/>
      <w:bookmarkEnd w:id="13"/>
      <w:bookmarkEnd w:id="14"/>
      <w:bookmarkEnd w:id="15"/>
      <w:bookmarkEnd w:id="16"/>
      <w:bookmarkEnd w:id="17"/>
      <w:bookmarkEnd w:id="18"/>
      <w:bookmarkEnd w:id="19"/>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个性指标设定分值为55分，其中产出指标30分，包括产出数量、产出质量、产出时效和产出成本，实际得分为30分，未扣分；效益指标25分，包括实施效益和满意度，实际得分为25分，未扣分。</w:t>
      </w:r>
    </w:p>
    <w:p>
      <w:pPr>
        <w:keepNext w:val="0"/>
        <w:keepLines w:val="0"/>
        <w:pageBreakBefore w:val="0"/>
        <w:shd w:val="clear"/>
        <w:kinsoku/>
        <w:wordWrap/>
        <w:overflowPunct/>
        <w:topLinePunct w:val="0"/>
        <w:bidi w:val="0"/>
        <w:spacing w:line="48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六、存在的问题</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（一）项目预算执行率低</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2022年7月1日财政局拨付155万项目建设资金，截至到2022年12月31日，实际使用97.35万元，预算执行率为62.81%，截至2023年6月30日实际使用139.65万元，预算执行率90.10%。</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（二）项目实施过程中制度执行有效性不高</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1、本项目计划6月20日前完成招投标，而在8月4日才与中国电信股份有限公司邵阳分公司签订2022年“雪亮工程”项目合同书。</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项目结项时，按照规定进行了竣工验收。根据《基本建设财务规则》（中华人民共和国财政部令第81号）第28条的规定，竣工价款结算一般应当在项目竣工验收后2个月内完成，大型项目一般不得超过3个月。2022年“雪亮工程”工程验收时间为2022 年12月8日，2023年3月24日才开展结算工作。</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（三）未进行绩效申报</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北塔区“雪亮工程”建设项目没有进行完整的一套的绩效目标的申报。</w:t>
      </w:r>
    </w:p>
    <w:p>
      <w:pPr>
        <w:pStyle w:val="4"/>
        <w:keepNext w:val="0"/>
        <w:keepLines w:val="0"/>
        <w:pageBreakBefore w:val="0"/>
        <w:shd w:val="clear"/>
        <w:kinsoku/>
        <w:wordWrap/>
        <w:overflowPunct/>
        <w:topLinePunct w:val="0"/>
        <w:bidi w:val="0"/>
        <w:spacing w:line="480" w:lineRule="exact"/>
        <w:ind w:firstLine="560" w:firstLineChars="200"/>
        <w:rPr>
          <w:rFonts w:hint="eastAsia" w:eastAsia="黑体"/>
          <w:sz w:val="28"/>
          <w:szCs w:val="28"/>
          <w:lang w:val="en-US" w:eastAsia="zh-CN"/>
        </w:rPr>
      </w:pPr>
      <w:r>
        <w:rPr>
          <w:rFonts w:hint="eastAsia" w:eastAsia="黑体"/>
          <w:sz w:val="28"/>
          <w:szCs w:val="28"/>
          <w:lang w:val="en-US" w:eastAsia="zh-CN"/>
        </w:rPr>
        <w:t>七、相关建议</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w:t>
      </w:r>
      <w:r>
        <w:rPr>
          <w:rFonts w:hint="default" w:ascii="仿宋" w:hAnsi="仿宋" w:eastAsia="仿宋" w:cs="仿宋"/>
          <w:b/>
          <w:bCs/>
          <w:sz w:val="28"/>
          <w:szCs w:val="28"/>
          <w:lang w:val="en-US" w:eastAsia="zh-CN"/>
        </w:rPr>
        <w:t>加强预算执行工作的刚性约束</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第一，细化预算工作。根据预算报告和项目实际情况以及单位员工的分配情况，依据不同部门、不同岗位、不同环节，对预算工作进行详细的划分，并通过考核体制和责任机制，加强各个岗位员工的责任感，提高预算执行的效率。</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default" w:ascii="仿宋" w:hAnsi="仿宋" w:eastAsia="仿宋" w:cs="仿宋"/>
          <w:kern w:val="2"/>
          <w:sz w:val="28"/>
          <w:szCs w:val="28"/>
          <w:shd w:val="clear" w:color="auto" w:fill="auto"/>
          <w:lang w:val="en-US" w:eastAsia="zh-CN" w:bidi="ar-SA"/>
        </w:rPr>
        <w:t>第二，加强预算管理。细化分工后，还要合理规划项目进度，在项目进行到一定阶段后，再公布下个阶段的预算方案和执行安排，避免资金用途被随意改变、资金超支甚至是资金被挪用。</w:t>
      </w:r>
    </w:p>
    <w:p>
      <w:pPr>
        <w:keepNext w:val="0"/>
        <w:keepLines w:val="0"/>
        <w:pageBreakBefore w:val="0"/>
        <w:shd w:val="clear"/>
        <w:kinsoku/>
        <w:wordWrap/>
        <w:overflowPunct/>
        <w:topLinePunct w:val="0"/>
        <w:bidi w:val="0"/>
        <w:spacing w:line="480" w:lineRule="exact"/>
        <w:ind w:firstLine="560" w:firstLineChars="200"/>
        <w:rPr>
          <w:rFonts w:hint="default" w:ascii="方正楷体_GB2312" w:hAnsi="方正楷体_GB2312" w:eastAsia="方正楷体_GB2312" w:cs="方正楷体_GB2312"/>
          <w:spacing w:val="0"/>
          <w:kern w:val="2"/>
          <w:sz w:val="28"/>
          <w:szCs w:val="28"/>
          <w:lang w:val="en-US" w:eastAsia="zh-CN" w:bidi="ar-SA"/>
        </w:rPr>
      </w:pPr>
      <w:r>
        <w:rPr>
          <w:rFonts w:hint="eastAsia" w:ascii="仿宋" w:hAnsi="仿宋" w:eastAsia="仿宋" w:cs="仿宋"/>
          <w:kern w:val="2"/>
          <w:sz w:val="28"/>
          <w:szCs w:val="28"/>
          <w:shd w:val="clear" w:color="auto" w:fill="auto"/>
          <w:lang w:val="en-US" w:eastAsia="zh-CN" w:bidi="ar-SA"/>
        </w:rPr>
        <w:t>第三，</w:t>
      </w:r>
      <w:r>
        <w:rPr>
          <w:rFonts w:hint="default" w:ascii="仿宋" w:hAnsi="仿宋" w:eastAsia="仿宋" w:cs="仿宋"/>
          <w:kern w:val="2"/>
          <w:sz w:val="28"/>
          <w:szCs w:val="28"/>
          <w:shd w:val="clear" w:color="auto" w:fill="auto"/>
          <w:lang w:val="en-US" w:eastAsia="zh-CN" w:bidi="ar-SA"/>
        </w:rPr>
        <w:t>提高单位工作人员对预算执行的重视程度</w:t>
      </w:r>
      <w:r>
        <w:rPr>
          <w:rFonts w:hint="eastAsia" w:ascii="仿宋" w:hAnsi="仿宋" w:eastAsia="仿宋" w:cs="仿宋"/>
          <w:kern w:val="2"/>
          <w:sz w:val="28"/>
          <w:szCs w:val="28"/>
          <w:shd w:val="clear" w:color="auto" w:fill="auto"/>
          <w:lang w:val="en-US" w:eastAsia="zh-CN" w:bidi="ar-SA"/>
        </w:rPr>
        <w:t>。</w:t>
      </w:r>
      <w:r>
        <w:rPr>
          <w:rFonts w:hint="default" w:ascii="仿宋" w:hAnsi="仿宋" w:eastAsia="仿宋" w:cs="仿宋"/>
          <w:kern w:val="2"/>
          <w:sz w:val="28"/>
          <w:szCs w:val="28"/>
          <w:shd w:val="clear" w:color="auto" w:fill="auto"/>
          <w:lang w:val="en-US" w:eastAsia="zh-CN" w:bidi="ar-SA"/>
        </w:rPr>
        <w:t>单位预算管理人员进行相关专业知识的培训和继续教育，增强其对先进预算工具和预算技术的掌握程度</w:t>
      </w:r>
      <w:r>
        <w:rPr>
          <w:rFonts w:hint="eastAsia" w:ascii="仿宋" w:hAnsi="仿宋" w:eastAsia="仿宋" w:cs="仿宋"/>
          <w:kern w:val="2"/>
          <w:sz w:val="28"/>
          <w:szCs w:val="28"/>
          <w:shd w:val="clear" w:color="auto" w:fill="auto"/>
          <w:lang w:val="en-US" w:eastAsia="zh-CN" w:bidi="ar-SA"/>
        </w:rPr>
        <w:t>。其次，</w:t>
      </w:r>
      <w:r>
        <w:rPr>
          <w:rFonts w:hint="default" w:ascii="仿宋" w:hAnsi="仿宋" w:eastAsia="仿宋" w:cs="仿宋"/>
          <w:kern w:val="2"/>
          <w:sz w:val="28"/>
          <w:szCs w:val="28"/>
          <w:shd w:val="clear" w:color="auto" w:fill="auto"/>
          <w:lang w:val="en-US" w:eastAsia="zh-CN" w:bidi="ar-SA"/>
        </w:rPr>
        <w:t>以讲座或会议的方式进行宣传引导，改变相关人员对预算执行所持的落后观念，提高其对预算执行的重视程度</w:t>
      </w:r>
      <w:r>
        <w:rPr>
          <w:rFonts w:hint="eastAsia" w:ascii="仿宋" w:hAnsi="仿宋" w:eastAsia="仿宋" w:cs="仿宋"/>
          <w:kern w:val="2"/>
          <w:sz w:val="28"/>
          <w:szCs w:val="28"/>
          <w:shd w:val="clear" w:color="auto" w:fill="auto"/>
          <w:lang w:val="en-US" w:eastAsia="zh-CN" w:bidi="ar-SA"/>
        </w:rPr>
        <w:t>。设立奖罚机制，</w:t>
      </w:r>
      <w:r>
        <w:rPr>
          <w:rFonts w:hint="default" w:ascii="仿宋" w:hAnsi="仿宋" w:eastAsia="仿宋" w:cs="仿宋"/>
          <w:kern w:val="2"/>
          <w:sz w:val="28"/>
          <w:szCs w:val="28"/>
          <w:shd w:val="clear" w:color="auto" w:fill="auto"/>
          <w:lang w:val="en-US" w:eastAsia="zh-CN" w:bidi="ar-SA"/>
        </w:rPr>
        <w:t>对预算编制质量好、预算执行效果好的部门及有关员工，提供一定的奖励;对于由态度问题导致的预算执行效果差的员工则进行一定的警告和处罚;对于一些虽有热情但工作效率不尽理想的员工，则可以根据实际情况，为其提供一定的方法学习和指导的</w:t>
      </w:r>
      <w:r>
        <w:rPr>
          <w:rFonts w:hint="default" w:ascii="方正楷体_GB2312" w:hAnsi="方正楷体_GB2312" w:eastAsia="方正楷体_GB2312" w:cs="方正楷体_GB2312"/>
          <w:spacing w:val="0"/>
          <w:kern w:val="2"/>
          <w:sz w:val="28"/>
          <w:szCs w:val="28"/>
          <w:lang w:val="en-US" w:eastAsia="zh-CN" w:bidi="ar-SA"/>
        </w:rPr>
        <w:t>机会。</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(二)健全项目监督管理制度</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促使项目承担单位重视专项资金的使用，强化项目承担单位的主体责任，明确项目承担单位在得到使用专项资金权利的同时，应当承担的责任和义务。</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 xml:space="preserve">各级业务主管部门应加强对项目的监督管理，落实监管责任，及时发现和解决项目实施过程出现的问题，按规定做好对专项资金项目的检查、督导、整改、考核验收等，确保专项资金安全有效地使用，发挥专项资金的预期使用效果。   </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对进度较慢的项目，采取督查、通报、约谈等方式，督促项目承担单位加快建设进度，完成目标任务。敦促项目单位，完善项目管理制度，强化对项目各个环节的管理，进一步规范项目管理，提高工作效率。</w:t>
      </w:r>
    </w:p>
    <w:p>
      <w:pPr>
        <w:keepNext w:val="0"/>
        <w:keepLines w:val="0"/>
        <w:pageBreakBefore w:val="0"/>
        <w:widowControl w:val="0"/>
        <w:shd w:val="clear"/>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（三）设置合理的指标体系，完善绩效目标</w:t>
      </w:r>
    </w:p>
    <w:p>
      <w:pPr>
        <w:keepNext w:val="0"/>
        <w:keepLines w:val="0"/>
        <w:pageBreakBefore w:val="0"/>
        <w:shd w:val="clear"/>
        <w:kinsoku/>
        <w:wordWrap/>
        <w:overflowPunct/>
        <w:topLinePunct w:val="0"/>
        <w:bidi w:val="0"/>
        <w:spacing w:line="480" w:lineRule="exact"/>
        <w:ind w:firstLine="560" w:firstLineChars="200"/>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单位财务部门应该加大对有关单位绩效目标的审核力度，构建完善的绩效指标体系，为提高资金使用绩效提供基础。主管部门要科学进行判断，帮助相关预算单位设置合理绩效目标。单位和部门要结合自身的业务特点，抓住与绩效相关的因素、指标、内容，建立自身核心的绩效指标体系。因此要构建一套完整的、科学的指标体系，在包含财政支出指标的同时，将部门、项目也包含其中，并且使得定性和定量指标、共性和个性指标有效结合，保证绩效管理工作顺利开展。</w:t>
      </w: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kern w:val="2"/>
          <w:sz w:val="28"/>
          <w:szCs w:val="28"/>
          <w:shd w:val="clear" w:color="auto" w:fill="auto"/>
          <w:lang w:val="en-US" w:eastAsia="zh-CN" w:bidi="ar-SA"/>
        </w:rPr>
      </w:pPr>
    </w:p>
    <w:p>
      <w:pPr>
        <w:keepNext w:val="0"/>
        <w:keepLines w:val="0"/>
        <w:pageBreakBefore w:val="0"/>
        <w:shd w:val="clear"/>
        <w:kinsoku/>
        <w:wordWrap/>
        <w:overflowPunct/>
        <w:topLinePunct w:val="0"/>
        <w:bidi w:val="0"/>
        <w:spacing w:line="480" w:lineRule="exact"/>
        <w:ind w:firstLine="560" w:firstLineChars="200"/>
        <w:rPr>
          <w:rFonts w:hint="eastAsia" w:ascii="仿宋" w:hAnsi="仿宋" w:eastAsia="仿宋" w:cs="仿宋"/>
          <w:spacing w:val="-20"/>
          <w:sz w:val="28"/>
          <w:szCs w:val="28"/>
        </w:rPr>
      </w:pPr>
      <w:r>
        <w:rPr>
          <w:rFonts w:hint="eastAsia" w:ascii="仿宋" w:hAnsi="仿宋" w:eastAsia="仿宋" w:cs="仿宋"/>
          <w:kern w:val="2"/>
          <w:sz w:val="28"/>
          <w:szCs w:val="28"/>
          <w:shd w:val="clear" w:color="auto" w:fill="auto"/>
          <w:lang w:val="en-US" w:eastAsia="zh-CN" w:bidi="ar-SA"/>
        </w:rPr>
        <w:t>附件：北塔区</w:t>
      </w:r>
      <w:r>
        <w:rPr>
          <w:rFonts w:hint="default" w:ascii="仿宋" w:hAnsi="仿宋" w:eastAsia="仿宋" w:cs="仿宋"/>
          <w:kern w:val="2"/>
          <w:sz w:val="28"/>
          <w:szCs w:val="28"/>
          <w:shd w:val="clear" w:color="auto" w:fill="auto"/>
          <w:lang w:val="en-US" w:eastAsia="zh-CN" w:bidi="ar-SA"/>
        </w:rPr>
        <w:t>2022年重点民生实事“雪亮工程”建设</w:t>
      </w:r>
      <w:r>
        <w:rPr>
          <w:rFonts w:hint="eastAsia" w:ascii="仿宋" w:hAnsi="仿宋" w:eastAsia="仿宋" w:cs="仿宋"/>
          <w:kern w:val="2"/>
          <w:sz w:val="28"/>
          <w:szCs w:val="28"/>
          <w:shd w:val="clear" w:color="auto" w:fill="auto"/>
          <w:lang w:val="en-US" w:eastAsia="zh-CN" w:bidi="ar-SA"/>
        </w:rPr>
        <w:t>项目绩效评价指标评分表</w:t>
      </w:r>
    </w:p>
    <w:p>
      <w:pPr>
        <w:shd w:val="clear"/>
        <w:spacing w:line="560" w:lineRule="exact"/>
        <w:jc w:val="right"/>
        <w:rPr>
          <w:rFonts w:hint="eastAsia" w:ascii="仿宋" w:hAnsi="仿宋" w:eastAsia="仿宋" w:cs="仿宋"/>
          <w:b/>
          <w:bCs/>
          <w:sz w:val="28"/>
          <w:szCs w:val="28"/>
          <w:lang w:eastAsia="zh-CN"/>
        </w:rPr>
      </w:pPr>
    </w:p>
    <w:p>
      <w:pPr>
        <w:shd w:val="clear"/>
        <w:spacing w:line="560" w:lineRule="exact"/>
        <w:jc w:val="right"/>
        <w:rPr>
          <w:rFonts w:hint="eastAsia" w:ascii="仿宋" w:hAnsi="仿宋" w:eastAsia="仿宋" w:cs="仿宋"/>
          <w:b/>
          <w:bCs/>
          <w:sz w:val="28"/>
          <w:szCs w:val="28"/>
          <w:lang w:eastAsia="zh-CN"/>
        </w:rPr>
      </w:pPr>
    </w:p>
    <w:p>
      <w:pPr>
        <w:shd w:val="clear"/>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spacing w:line="560" w:lineRule="exact"/>
        <w:rPr>
          <w:rFonts w:hint="default"/>
          <w:lang w:val="en-US" w:eastAsia="zh-CN"/>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w:t>
      </w:r>
      <w:r>
        <w:rPr>
          <w:rFonts w:hint="eastAsia" w:ascii="仿宋" w:hAnsi="仿宋" w:eastAsia="仿宋" w:cs="仿宋"/>
          <w:b/>
          <w:bCs/>
          <w:color w:val="000000"/>
          <w:sz w:val="28"/>
          <w:szCs w:val="28"/>
          <w:lang w:val="en-US" w:eastAsia="zh-CN"/>
        </w:rPr>
        <w:t>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p>
    <w:p>
      <w:pPr>
        <w:widowControl/>
        <w:shd w:val="clear"/>
        <w:spacing w:line="520" w:lineRule="exact"/>
        <w:jc w:val="both"/>
        <w:rPr>
          <w:rFonts w:hint="eastAsia" w:ascii="宋体" w:hAnsi="宋体" w:eastAsia="宋体" w:cs="宋体"/>
          <w:color w:val="auto"/>
          <w:kern w:val="0"/>
          <w:sz w:val="21"/>
          <w:szCs w:val="21"/>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5080" w:type="pct"/>
        <w:tblInd w:w="0" w:type="dxa"/>
        <w:shd w:val="clear" w:color="auto" w:fill="auto"/>
        <w:tblLayout w:type="autofit"/>
        <w:tblCellMar>
          <w:top w:w="0" w:type="dxa"/>
          <w:left w:w="0" w:type="dxa"/>
          <w:bottom w:w="0" w:type="dxa"/>
          <w:right w:w="0" w:type="dxa"/>
        </w:tblCellMar>
      </w:tblPr>
      <w:tblGrid>
        <w:gridCol w:w="80"/>
        <w:gridCol w:w="1275"/>
        <w:gridCol w:w="952"/>
        <w:gridCol w:w="1985"/>
        <w:gridCol w:w="1380"/>
        <w:gridCol w:w="4158"/>
        <w:gridCol w:w="3247"/>
        <w:gridCol w:w="1125"/>
      </w:tblGrid>
      <w:tr>
        <w:tblPrEx>
          <w:shd w:val="clear" w:color="auto" w:fill="auto"/>
          <w:tblCellMar>
            <w:top w:w="0" w:type="dxa"/>
            <w:left w:w="0" w:type="dxa"/>
            <w:bottom w:w="0" w:type="dxa"/>
            <w:right w:w="0" w:type="dxa"/>
          </w:tblCellMar>
        </w:tblPrEx>
        <w:trPr>
          <w:trHeight w:val="475" w:hRule="atLeast"/>
        </w:trPr>
        <w:tc>
          <w:tcPr>
            <w:tcW w:w="5000" w:type="pct"/>
            <w:gridSpan w:val="8"/>
            <w:tcBorders>
              <w:top w:val="nil"/>
              <w:left w:val="nil"/>
              <w:bottom w:val="nil"/>
              <w:right w:val="nil"/>
            </w:tcBorders>
            <w:shd w:val="clear" w:color="auto" w:fill="auto"/>
            <w:noWrap/>
            <w:tcMar>
              <w:top w:w="10" w:type="dxa"/>
              <w:left w:w="10" w:type="dxa"/>
              <w:right w:w="10" w:type="dxa"/>
            </w:tcMar>
            <w:vAlign w:val="center"/>
          </w:tcPr>
          <w:p>
            <w:pPr>
              <w:widowControl/>
              <w:shd w:val="clear"/>
              <w:spacing w:line="520" w:lineRule="exact"/>
              <w:jc w:val="both"/>
              <w:rPr>
                <w:rFonts w:hint="eastAsia" w:ascii="黑体" w:hAnsi="黑体" w:eastAsia="黑体" w:cs="仿宋"/>
                <w:spacing w:val="-10"/>
                <w:sz w:val="30"/>
                <w:szCs w:val="32"/>
                <w:lang w:val="en-US" w:eastAsia="zh-CN"/>
              </w:rPr>
            </w:pPr>
            <w:bookmarkStart w:id="20" w:name="_GoBack"/>
            <w:bookmarkEnd w:id="20"/>
            <w:r>
              <w:rPr>
                <w:rFonts w:hint="eastAsia" w:ascii="宋体" w:hAnsi="宋体" w:eastAsia="宋体" w:cs="宋体"/>
                <w:color w:val="auto"/>
                <w:kern w:val="0"/>
                <w:sz w:val="21"/>
                <w:szCs w:val="21"/>
              </w:rPr>
              <w:t>附件</w:t>
            </w:r>
          </w:p>
          <w:p>
            <w:pPr>
              <w:widowControl/>
              <w:shd w:val="clear"/>
              <w:spacing w:line="520" w:lineRule="exact"/>
              <w:jc w:val="center"/>
              <w:rPr>
                <w:rFonts w:hint="eastAsia" w:ascii="宋体" w:hAnsi="宋体" w:eastAsia="宋体" w:cs="宋体"/>
                <w:i w:val="0"/>
                <w:color w:val="000000"/>
                <w:sz w:val="21"/>
                <w:szCs w:val="21"/>
                <w:u w:val="none"/>
              </w:rPr>
            </w:pPr>
            <w:r>
              <w:rPr>
                <w:rFonts w:hint="eastAsia" w:ascii="黑体" w:hAnsi="黑体" w:eastAsia="黑体" w:cs="仿宋"/>
                <w:spacing w:val="-10"/>
                <w:sz w:val="30"/>
                <w:szCs w:val="32"/>
                <w:lang w:val="en-US" w:eastAsia="zh-CN"/>
              </w:rPr>
              <w:t>重点民生实事“雪亮工程”建设绩效评价指标表</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335" w:type="pc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699" w:type="pc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486" w:type="pc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c>
          <w:tcPr>
            <w:tcW w:w="1464" w:type="pc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评分要点</w:t>
            </w:r>
          </w:p>
        </w:tc>
        <w:tc>
          <w:tcPr>
            <w:tcW w:w="1143" w:type="pct"/>
            <w:tcBorders>
              <w:top w:val="single" w:color="000000" w:sz="8" w:space="0"/>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评分标准</w:t>
            </w:r>
          </w:p>
        </w:tc>
        <w:tc>
          <w:tcPr>
            <w:tcW w:w="39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得分</w:t>
            </w:r>
          </w:p>
        </w:tc>
      </w:tr>
      <w:tr>
        <w:tblPrEx>
          <w:tblCellMar>
            <w:top w:w="0" w:type="dxa"/>
            <w:left w:w="0" w:type="dxa"/>
            <w:bottom w:w="0" w:type="dxa"/>
            <w:right w:w="0" w:type="dxa"/>
          </w:tblCellMar>
        </w:tblPrEx>
        <w:trPr>
          <w:trHeight w:val="386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决策</w:t>
            </w: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项目立项</w:t>
            </w:r>
          </w:p>
        </w:tc>
        <w:tc>
          <w:tcPr>
            <w:tcW w:w="699" w:type="pc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立项依据充分性</w:t>
            </w:r>
          </w:p>
        </w:tc>
        <w:tc>
          <w:tcPr>
            <w:tcW w:w="486"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是否符合国家法律法规、国民经济发展规划和相关政策；②是否符合行业发展规划和政策要求；③是否与部门职责范围相符，属于部门履职所需；④是否属于公共财政支持范围，是否符合中央、地方事权支出责任划分原则；⑤是否与相关部门同类项目或部门内部相关项目重复。</w:t>
            </w:r>
          </w:p>
        </w:tc>
        <w:tc>
          <w:tcPr>
            <w:tcW w:w="1143" w:type="pc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项目立项符合国家法律法规、国民经济发展规划和相关政策，计1分，否则不得分；②项目立项符合行业发展规划和政策要求，计1分，否则不得分；③项目立项与部门职责范围相符，属于部门履职所需，计1分，否则不得分；④项目属于公共财政支持范围，符合中央、地方事权支出责任划分原则，计1分，否则不得分；⑤项目没有与相关部门同类项目或部门内部相关项目重复，计1分，否则不得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1256"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（20分）　</w:t>
            </w:r>
          </w:p>
        </w:tc>
        <w:tc>
          <w:tcPr>
            <w:tcW w:w="335"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（8分）　</w:t>
            </w:r>
          </w:p>
        </w:tc>
        <w:tc>
          <w:tcPr>
            <w:tcW w:w="699" w:type="pc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立项程序规范性</w:t>
            </w:r>
          </w:p>
        </w:tc>
        <w:tc>
          <w:tcPr>
            <w:tcW w:w="486"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64" w:type="pc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①是否按照规定的程序申请设立；②审批文件、材料是否符合相关要求；③事前是否已经过必要的可行性研究、专家论证、风险评估、绩效评估、集体决策。</w:t>
            </w:r>
          </w:p>
        </w:tc>
        <w:tc>
          <w:tcPr>
            <w:tcW w:w="1143" w:type="pc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①项目按照规定的程序申请设立，计1分，否则不得分；②审批文件、材料符合相关要求，计1分，否则不得分；③事前已经过必要的可行性研究、专家论证、风险评估、绩效评估、集体决策，计1分，否则不得分。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　</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绩效目标合理性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未设定预算绩效目标，也可考核其他工作任务目标）①项目是否有绩效目标；②项目绩效目标与实际工作内容是否具有相关性；③项目预期产出效益和效果是否符合正常的业绩水平；④是否与预算确定的项目投资额或资金量相匹配。</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项目有绩效目标，计1分，否则不得分；②项目绩效目标与实际工作内容具有相关性，计1分，否则不得分；③项目预期产出效益和效果符合正常的业绩水平，计0.5分，否则不得分；④与预算确定的项目投资额或资金量相匹配，计0.5分，否则不得分。</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shd w:val="clear" w:color="auto" w:fill="auto"/>
          <w:tblCellMar>
            <w:top w:w="0" w:type="dxa"/>
            <w:left w:w="0" w:type="dxa"/>
            <w:bottom w:w="0" w:type="dxa"/>
            <w:right w:w="0" w:type="dxa"/>
          </w:tblCellMar>
        </w:tblPrEx>
        <w:trPr>
          <w:trHeight w:val="134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left"/>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left"/>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绩效指标明确性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①是否将项目绩效目标细化分解为具体的绩效指标；②是否通过清晰、可衡量的指标值予以体现；③是否与项目目标任务数或计划数相对应。</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①将项目绩效目标细化分解为具体的绩效指标，计1分，否则不得分；②是通过清晰、可衡量的指标值予以体现，计1分，否则不得分；③与项目目标任务数或计划数相对应，计1分，否则不得分。</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资金投入</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预算编制科学性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①预算编制是否经过科学论证；②预算内容与项目内容是否匹配；③预算额度测算依据是否充分，是否按照标准编制；④预算确定的项目投资额或资金量是否与工作任务相匹配。</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①预算编制经过科学论证，计1分，否则不得分；②预算内容与项目内容匹配，计1分，否则不得分；③预算额度测算依据是充分，是按照标准编制，计1分，否则不得分；④预算确定的项目投资额或资金量与工作任务相匹配，计1分，否则不得分。</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资金分配合理性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项目预算资金分配是否有测算依据，与补助单位或地方实际是否相适应，用以反映和考核项目预算资金分配的科学性、合理性情况。</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评价要点：①预算资金分配依据是否充分；②资金分配额度是否合理，与项目单位或地方实际是否相适应。</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69"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47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过程</w:t>
            </w:r>
          </w:p>
        </w:tc>
        <w:tc>
          <w:tcPr>
            <w:tcW w:w="335" w:type="pct"/>
            <w:vMerge w:val="restart"/>
            <w:tcBorders>
              <w:top w:val="nil"/>
              <w:left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资金管理</w:t>
            </w:r>
          </w:p>
          <w:p>
            <w:pPr>
              <w:keepNext w:val="0"/>
              <w:keepLines w:val="0"/>
              <w:widowControl/>
              <w:suppressLineNumbers w:val="0"/>
              <w:shd w:val="clear"/>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（15分）</w:t>
            </w:r>
          </w:p>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资金到位率</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实际到位资金与预算资金的比率，用以反映和考核资金落实情况对项目实施的总体保障程度。</w:t>
            </w:r>
          </w:p>
        </w:tc>
        <w:tc>
          <w:tcPr>
            <w:tcW w:w="1143" w:type="pct"/>
            <w:tcBorders>
              <w:top w:val="nil"/>
              <w:left w:val="single" w:color="000000" w:sz="8" w:space="0"/>
              <w:bottom w:val="nil"/>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资金到位率=（实际到位资金/预算资金）×100%。</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shd w:val="clear" w:color="auto" w:fill="auto"/>
          <w:tblCellMar>
            <w:top w:w="0" w:type="dxa"/>
            <w:left w:w="0" w:type="dxa"/>
            <w:bottom w:w="0" w:type="dxa"/>
            <w:right w:w="0" w:type="dxa"/>
          </w:tblCellMar>
        </w:tblPrEx>
        <w:trPr>
          <w:trHeight w:val="795"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（25分）</w:t>
            </w:r>
          </w:p>
        </w:tc>
        <w:tc>
          <w:tcPr>
            <w:tcW w:w="335" w:type="pct"/>
            <w:vMerge w:val="continue"/>
            <w:tcBorders>
              <w:left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tcBorders>
              <w:top w:val="nil"/>
              <w:left w:val="single" w:color="000000" w:sz="8" w:space="0"/>
              <w:bottom w:val="nil"/>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实际到位资金：一定时期（本年度或项目期）内落实到具体项目的资金。预算资金：一定时期（本年度或项目期）内预算安排到具体项目的资金。</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tcBorders>
              <w:top w:val="nil"/>
              <w:left w:val="single" w:color="000000" w:sz="8" w:space="0"/>
              <w:bottom w:val="single" w:color="000000" w:sz="8" w:space="0"/>
              <w:right w:val="nil"/>
            </w:tcBorders>
            <w:shd w:val="clear" w:color="auto" w:fill="auto"/>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71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项目预算资金是否按照计划执行，用以反映或考核项目预算执行情况。</w:t>
            </w:r>
          </w:p>
        </w:tc>
        <w:tc>
          <w:tcPr>
            <w:tcW w:w="1143" w:type="pct"/>
            <w:tcBorders>
              <w:top w:val="nil"/>
              <w:left w:val="single" w:color="000000" w:sz="8" w:space="0"/>
              <w:bottom w:val="nil"/>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预算执行率=（实际支出资金/实际到位资金）×100%。</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CellMar>
            <w:top w:w="0" w:type="dxa"/>
            <w:left w:w="0" w:type="dxa"/>
            <w:bottom w:w="0" w:type="dxa"/>
            <w:right w:w="0" w:type="dxa"/>
          </w:tblCellMar>
        </w:tblPrEx>
        <w:trPr>
          <w:trHeight w:val="535"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实际支出资金：一定时期（本年度或项目期）内项目实际拨付的资金。</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资金使用合规性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项目资金使用是否符合相关的财务管理制度规定，用以反映和考核项目资金的规范运行情况。</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vMerge w:val="continue"/>
            <w:tcBorders>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529"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组织实施</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管理制度健全性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项目实施单位的财务和业务管理制度是否健全，用以反映和考核财务和业务管理制度对项目顺利实施的保障情况。</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评价要点：①是否已制定或具有相应的财务和业务管理制度；②财务和业务管理制度是否合法、合规、完整。</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制度执行有效性</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项目实施是否符合相关管理规定，用以反映和考核相关管理制度的有效执行情况。</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要点：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04"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w:t>
            </w: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产出数量</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项目实施的实际产出数量与计划产出数量的比率，用以反映和考核项目产出数量目标的实现程度</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（20分）</w:t>
            </w: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产出质量</w:t>
            </w:r>
          </w:p>
        </w:tc>
        <w:tc>
          <w:tcPr>
            <w:tcW w:w="699" w:type="pct"/>
            <w:vMerge w:val="restar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质量达标率</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项目完成的质量达标产出数与实际产出数的比率，用以反映和考核项目产出的质量状况</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64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（5分）</w:t>
            </w:r>
          </w:p>
        </w:tc>
        <w:tc>
          <w:tcPr>
            <w:tcW w:w="699" w:type="pct"/>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hd w:val="clear"/>
              <w:jc w:val="left"/>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产出时效</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完成及时率</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按计划时限完成的项目个数与项目总数的比率，用以反映项目完成的及时程度</w:t>
            </w:r>
          </w:p>
        </w:tc>
        <w:tc>
          <w:tcPr>
            <w:tcW w:w="1143" w:type="pct"/>
            <w:tcBorders>
              <w:top w:val="nil"/>
              <w:left w:val="single" w:color="000000" w:sz="8" w:space="0"/>
              <w:bottom w:val="nil"/>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实际完成时间：项目实施单位完成该项目实际所耗用的时间。</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6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hd w:val="clear"/>
              <w:jc w:val="left"/>
              <w:rPr>
                <w:rFonts w:hint="eastAsia" w:ascii="宋体" w:hAnsi="宋体" w:eastAsia="宋体" w:cs="宋体"/>
                <w:i w:val="0"/>
                <w:color w:val="000000"/>
                <w:sz w:val="21"/>
                <w:szCs w:val="21"/>
                <w:u w:val="none"/>
              </w:rPr>
            </w:pPr>
          </w:p>
        </w:tc>
        <w:tc>
          <w:tcPr>
            <w:tcW w:w="1143" w:type="pc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计划完成时间：按照项目实施计划或相关规定完成该项目所需的时间。</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产出成本</w:t>
            </w:r>
          </w:p>
        </w:tc>
        <w:tc>
          <w:tcPr>
            <w:tcW w:w="699"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成本节约率</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完成预算支出计划工作目标的实际节约成本与计划成本的比率，用以反映和考核预算支出的成本节约程度。</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7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（5分）</w:t>
            </w:r>
          </w:p>
        </w:tc>
        <w:tc>
          <w:tcPr>
            <w:tcW w:w="699"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left"/>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04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w:t>
            </w: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项目效益</w:t>
            </w:r>
          </w:p>
        </w:tc>
        <w:tc>
          <w:tcPr>
            <w:tcW w:w="699" w:type="pct"/>
            <w:tcBorders>
              <w:top w:val="nil"/>
              <w:left w:val="single" w:color="000000" w:sz="8" w:space="0"/>
              <w:bottom w:val="nil"/>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项目实施所产生的效益。</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项目实施所产生的效益，是否便于政府机构快速采取措施，缩短处置时间，减少犯罪的发生，维护公民的人身安全以及公共安全。</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（35分）　</w:t>
            </w:r>
          </w:p>
        </w:tc>
        <w:tc>
          <w:tcPr>
            <w:tcW w:w="335" w:type="pct"/>
            <w:tcBorders>
              <w:top w:val="nil"/>
              <w:left w:val="single" w:color="000000" w:sz="8" w:space="0"/>
              <w:bottom w:val="nil"/>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（35分）　</w:t>
            </w:r>
          </w:p>
        </w:tc>
        <w:tc>
          <w:tcPr>
            <w:tcW w:w="699" w:type="pc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（25分）</w:t>
            </w: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left"/>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35"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nil"/>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tcBorders>
              <w:top w:val="nil"/>
              <w:left w:val="single" w:color="000000" w:sz="8" w:space="0"/>
              <w:bottom w:val="nil"/>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目标群体满意度</w:t>
            </w:r>
          </w:p>
        </w:tc>
        <w:tc>
          <w:tcPr>
            <w:tcW w:w="486" w:type="pct"/>
            <w:vMerge w:val="restart"/>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64" w:type="pct"/>
            <w:vMerge w:val="restar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社会公众或服务对象对项目实施效果的满意程度。</w:t>
            </w:r>
          </w:p>
        </w:tc>
        <w:tc>
          <w:tcPr>
            <w:tcW w:w="1143" w:type="pct"/>
            <w:vMerge w:val="restart"/>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社会公众或服务对象是指因该项目实施而受到影响的部门（单位）、群体或个人。一般采取社会调查的方式。</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335"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699" w:type="pct"/>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w:t>
            </w:r>
          </w:p>
        </w:tc>
        <w:tc>
          <w:tcPr>
            <w:tcW w:w="486" w:type="pct"/>
            <w:vMerge w:val="continue"/>
            <w:tcBorders>
              <w:top w:val="nil"/>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c>
          <w:tcPr>
            <w:tcW w:w="1464" w:type="pct"/>
            <w:vMerge w:val="continue"/>
            <w:tcBorders>
              <w:top w:val="nil"/>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vMerge w:val="continue"/>
            <w:tcBorders>
              <w:top w:val="nil"/>
              <w:left w:val="single" w:color="000000" w:sz="8" w:space="0"/>
              <w:bottom w:val="single" w:color="000000" w:sz="8" w:space="0"/>
              <w:right w:val="nil"/>
            </w:tcBorders>
            <w:shd w:val="clear" w:color="auto" w:fill="FFFFFF"/>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hd w:val="clea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0" w:hRule="atLeast"/>
        </w:trPr>
        <w:tc>
          <w:tcPr>
            <w:tcW w:w="28" w:type="pct"/>
            <w:tcBorders>
              <w:top w:val="nil"/>
              <w:left w:val="nil"/>
              <w:bottom w:val="nil"/>
              <w:right w:val="nil"/>
            </w:tcBorders>
            <w:shd w:val="clear" w:color="auto" w:fill="auto"/>
            <w:noWrap/>
            <w:tcMar>
              <w:top w:w="10" w:type="dxa"/>
              <w:left w:w="10" w:type="dxa"/>
              <w:right w:w="10" w:type="dxa"/>
            </w:tcMar>
            <w:vAlign w:val="center"/>
          </w:tcPr>
          <w:p>
            <w:pPr>
              <w:shd w:val="clear"/>
              <w:rPr>
                <w:rFonts w:hint="eastAsia" w:ascii="宋体" w:hAnsi="宋体" w:eastAsia="宋体" w:cs="宋体"/>
                <w:i w:val="0"/>
                <w:color w:val="000000"/>
                <w:sz w:val="21"/>
                <w:szCs w:val="21"/>
                <w:u w:val="none"/>
              </w:rPr>
            </w:pPr>
          </w:p>
        </w:tc>
        <w:tc>
          <w:tcPr>
            <w:tcW w:w="449"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hd w:val="clear"/>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335"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699" w:type="pc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486" w:type="pct"/>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464" w:type="pc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1143" w:type="pct"/>
            <w:tcBorders>
              <w:top w:val="nil"/>
              <w:left w:val="single" w:color="000000" w:sz="8" w:space="0"/>
              <w:bottom w:val="single" w:color="000000" w:sz="8" w:space="0"/>
              <w:right w:val="nil"/>
            </w:tcBorders>
            <w:shd w:val="clear" w:color="auto" w:fill="auto"/>
            <w:tcMar>
              <w:top w:w="10" w:type="dxa"/>
              <w:left w:w="10" w:type="dxa"/>
              <w:right w:w="10" w:type="dxa"/>
            </w:tcMar>
            <w:vAlign w:val="center"/>
          </w:tcPr>
          <w:p>
            <w:pPr>
              <w:shd w:val="clear"/>
              <w:jc w:val="both"/>
              <w:rPr>
                <w:rFonts w:hint="eastAsia" w:ascii="宋体" w:hAnsi="宋体" w:eastAsia="宋体" w:cs="宋体"/>
                <w:i w:val="0"/>
                <w:color w:val="000000"/>
                <w:sz w:val="21"/>
                <w:szCs w:val="21"/>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r>
    </w:tbl>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p>
      <w:pPr>
        <w:pStyle w:val="6"/>
        <w:shd w:val="clear"/>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楷体_GB2312">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153"/>
                              <w:tab w:val="right"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44593F7C"/>
    <w:rsid w:val="08CB14A3"/>
    <w:rsid w:val="11655201"/>
    <w:rsid w:val="189419BE"/>
    <w:rsid w:val="245F25F8"/>
    <w:rsid w:val="28204509"/>
    <w:rsid w:val="2FB611C3"/>
    <w:rsid w:val="3BDB38CA"/>
    <w:rsid w:val="3E5315A9"/>
    <w:rsid w:val="44593F7C"/>
    <w:rsid w:val="4F654E1A"/>
    <w:rsid w:val="5240262A"/>
    <w:rsid w:val="53771DA6"/>
    <w:rsid w:val="55031290"/>
    <w:rsid w:val="55951476"/>
    <w:rsid w:val="564C5D9E"/>
    <w:rsid w:val="5C340F23"/>
    <w:rsid w:val="5E3478C6"/>
    <w:rsid w:val="63F01BBE"/>
    <w:rsid w:val="6F277732"/>
    <w:rsid w:val="6FCB1DE1"/>
    <w:rsid w:val="72463314"/>
    <w:rsid w:val="7DDF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3">
    <w:name w:val="Normal Indent"/>
    <w:basedOn w:val="1"/>
    <w:autoRedefine/>
    <w:unhideWhenUsed/>
    <w:qFormat/>
    <w:uiPriority w:val="0"/>
    <w:pPr>
      <w:adjustRightInd w:val="0"/>
      <w:spacing w:line="312" w:lineRule="atLeast"/>
      <w:ind w:firstLine="420" w:firstLineChars="0"/>
      <w:textAlignment w:val="baseline"/>
    </w:pPr>
    <w:rPr>
      <w:kern w:val="0"/>
      <w:sz w:val="21"/>
    </w:rPr>
  </w:style>
  <w:style w:type="paragraph" w:styleId="4">
    <w:name w:val="toa heading"/>
    <w:basedOn w:val="1"/>
    <w:next w:val="1"/>
    <w:autoRedefine/>
    <w:qFormat/>
    <w:uiPriority w:val="0"/>
    <w:rPr>
      <w:rFonts w:ascii="Arial" w:hAnsi="Arial" w:eastAsia="宋体" w:cs="Times New Roman"/>
      <w:sz w:val="24"/>
    </w:rPr>
  </w:style>
  <w:style w:type="paragraph" w:styleId="5">
    <w:name w:val="Body Text"/>
    <w:basedOn w:val="1"/>
    <w:next w:val="6"/>
    <w:autoRedefine/>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autoRedefine/>
    <w:unhideWhenUsed/>
    <w:qFormat/>
    <w:uiPriority w:val="99"/>
    <w:pPr>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autoRedefine/>
    <w:qFormat/>
    <w:uiPriority w:val="0"/>
  </w:style>
  <w:style w:type="character" w:customStyle="1" w:styleId="13">
    <w:name w:val="font31"/>
    <w:basedOn w:val="11"/>
    <w:autoRedefine/>
    <w:qFormat/>
    <w:uiPriority w:val="0"/>
    <w:rPr>
      <w:rFonts w:hint="eastAsia" w:ascii="黑体" w:hAnsi="宋体" w:eastAsia="黑体" w:cs="黑体"/>
      <w:color w:val="000000"/>
      <w:sz w:val="36"/>
      <w:szCs w:val="36"/>
      <w:u w:val="none"/>
    </w:rPr>
  </w:style>
  <w:style w:type="character" w:customStyle="1" w:styleId="14">
    <w:name w:val="font21"/>
    <w:basedOn w:val="11"/>
    <w:autoRedefine/>
    <w:qFormat/>
    <w:uiPriority w:val="0"/>
    <w:rPr>
      <w:rFonts w:hint="eastAsia" w:ascii="黑体" w:hAnsi="宋体" w:eastAsia="黑体" w:cs="黑体"/>
      <w:b/>
      <w:color w:val="000000"/>
      <w:sz w:val="20"/>
      <w:szCs w:val="20"/>
      <w:u w:val="none"/>
    </w:rPr>
  </w:style>
  <w:style w:type="character" w:customStyle="1" w:styleId="15">
    <w:name w:val="font11"/>
    <w:basedOn w:val="11"/>
    <w:qFormat/>
    <w:uiPriority w:val="0"/>
    <w:rPr>
      <w:rFonts w:hint="default" w:ascii="仿宋_GB2312" w:eastAsia="仿宋_GB2312" w:cs="仿宋_GB2312"/>
      <w:color w:val="000000"/>
      <w:sz w:val="20"/>
      <w:szCs w:val="20"/>
      <w:u w:val="none"/>
    </w:rPr>
  </w:style>
  <w:style w:type="paragraph" w:customStyle="1" w:styleId="16">
    <w:name w:val="样式1"/>
    <w:basedOn w:val="1"/>
    <w:autoRedefine/>
    <w:qFormat/>
    <w:uiPriority w:val="0"/>
    <w:pPr>
      <w:spacing w:line="520" w:lineRule="exact"/>
      <w:ind w:firstLine="560" w:firstLineChars="200"/>
    </w:pPr>
    <w:rPr>
      <w:rFonts w:hint="eastAsia" w:ascii="仿宋" w:hAnsi="仿宋" w:eastAsia="仿宋" w:cs="仿宋"/>
      <w:sz w:val="28"/>
      <w:szCs w:val="28"/>
      <w:shd w:val="clear" w:color="auto" w:fill="auto"/>
    </w:rPr>
  </w:style>
  <w:style w:type="character" w:customStyle="1" w:styleId="17">
    <w:name w:val="font01"/>
    <w:basedOn w:val="11"/>
    <w:autoRedefine/>
    <w:qFormat/>
    <w:uiPriority w:val="0"/>
    <w:rPr>
      <w:rFonts w:hint="default" w:ascii="Times New Roman" w:hAnsi="Times New Roman" w:cs="Times New Roman"/>
      <w:color w:val="000000"/>
      <w:sz w:val="21"/>
      <w:szCs w:val="21"/>
      <w:u w:val="none"/>
    </w:rPr>
  </w:style>
  <w:style w:type="paragraph" w:customStyle="1" w:styleId="18">
    <w:name w:val="样式6"/>
    <w:basedOn w:val="1"/>
    <w:autoRedefine/>
    <w:qFormat/>
    <w:uiPriority w:val="0"/>
    <w:pPr>
      <w:spacing w:line="300" w:lineRule="exact"/>
      <w:jc w:val="center"/>
    </w:pPr>
    <w:rPr>
      <w:rFonts w:ascii="Times New Roman" w:hAnsi="Times New Roman" w:eastAsia="宋体"/>
      <w:kern w:val="2"/>
      <w:sz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2023-11-23T07:56:00Z</dcterms:created>
  <dc:creator>文档存本地丢失不负责</dc:creator>
  <cp:lastModifiedBy>小鲸怡</cp:lastModifiedBy>
  <dcterms:modified xsi:type="dcterms:W3CDTF">2023-12-18T07:22:05Z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CFB0C0B8DF0F4D49A2D0C316D13EEEF0_13</vt:lpwstr>
  </property>
</Properties>
</file>